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widowControl w:val="0"/>
        <w:numPr>
          <w:ilvl w:val="0"/>
          <w:numId w:val="1"/>
        </w:numPr>
        <w:spacing w:after="240" w:before="0" w:line="276" w:lineRule="auto"/>
        <w:ind w:left="709" w:hanging="851"/>
        <w:rPr/>
      </w:pPr>
      <w:bookmarkStart w:colFirst="0" w:colLast="0" w:name="_heading=h.w34i9ym9yrth" w:id="0"/>
      <w:bookmarkEnd w:id="0"/>
      <w:r w:rsidDel="00000000" w:rsidR="00000000" w:rsidRPr="00000000">
        <w:rPr>
          <w:smallCaps w:val="1"/>
          <w:sz w:val="28"/>
          <w:szCs w:val="28"/>
          <w:rtl w:val="0"/>
        </w:rPr>
        <w:t xml:space="preserve">СТАТИСТИЧЕСКАЯ ОБРАБОТКА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numPr>
          <w:ilvl w:val="1"/>
          <w:numId w:val="1"/>
        </w:numPr>
        <w:spacing w:after="120" w:before="0" w:line="276" w:lineRule="auto"/>
        <w:ind w:left="709" w:hanging="709"/>
        <w:jc w:val="both"/>
        <w:rPr/>
      </w:pPr>
      <w:bookmarkStart w:colFirst="0" w:colLast="0" w:name="_heading=h.oetbd1d8u3tp" w:id="1"/>
      <w:bookmarkEnd w:id="1"/>
      <w:r w:rsidDel="00000000" w:rsidR="00000000" w:rsidRPr="00000000">
        <w:rPr>
          <w:sz w:val="24"/>
          <w:szCs w:val="24"/>
          <w:rtl w:val="0"/>
        </w:rPr>
        <w:t xml:space="preserve">Программное обеспечение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Статистический анализ будет проводиться с помощью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языка программирования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R (версии не ниже </w:t>
      </w:r>
      <w:sdt>
        <w:sdtPr>
          <w:id w:val="796574093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3.6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) с использованием специализированного программного обеспечения Rstudio.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numPr>
          <w:ilvl w:val="1"/>
          <w:numId w:val="1"/>
        </w:numPr>
        <w:spacing w:after="120" w:before="0" w:line="276" w:lineRule="auto"/>
        <w:ind w:left="709" w:hanging="709"/>
        <w:jc w:val="both"/>
        <w:rPr>
          <w:sz w:val="24"/>
          <w:szCs w:val="24"/>
        </w:rPr>
      </w:pPr>
      <w:bookmarkStart w:colFirst="0" w:colLast="0" w:name="_heading=h.3g862wv33q2t" w:id="2"/>
      <w:bookmarkEnd w:id="2"/>
      <w:r w:rsidDel="00000000" w:rsidR="00000000" w:rsidRPr="00000000">
        <w:rPr>
          <w:sz w:val="24"/>
          <w:szCs w:val="24"/>
          <w:rtl w:val="0"/>
        </w:rPr>
        <w:t xml:space="preserve">Представление данных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Все количественные показатели будут представлены в виде следующих параметров описательной статистики: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ab/>
        <w:t xml:space="preserve">Количество наблюдений;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ab/>
        <w:t xml:space="preserve">Среднее арифметическое;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ab/>
        <w:t xml:space="preserve">95% доверительный интервал (ДИ) для среднего;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ab/>
        <w:t xml:space="preserve">Стандартное отклонение;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          </w:t>
      </w:r>
      <w:sdt>
        <w:sdtPr>
          <w:id w:val="-1694000223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Коэффициент вариации;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ab/>
        <w:t xml:space="preserve">Медиана;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ab/>
        <w:t xml:space="preserve">Межквартильный размах;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ab/>
        <w:t xml:space="preserve">Минимальное значение;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ab/>
        <w:t xml:space="preserve">Максимальное значение.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Все порядковые, и качественные показатели будут представлены в виде следующих параметров описательной статистики: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ab/>
        <w:t xml:space="preserve">Абсолютная частота (количество наблюдений);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ab/>
        <w:t xml:space="preserve">Относительная частота (в процентах).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Все выполненные виды статистического анализа будут идентичны в отношении исследуемого препарата и в группе препарата сравнения.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нализ будет проводиться на основе имеющихся данных без иммутации пропущенных значений. Сопутствующие заболевания и НЯ будут кодироваться с использованием словаря терминов MedDRA текущей версии.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numPr>
          <w:ilvl w:val="1"/>
          <w:numId w:val="1"/>
        </w:numPr>
        <w:spacing w:after="120" w:before="0" w:line="276" w:lineRule="auto"/>
        <w:ind w:left="709" w:hanging="709"/>
        <w:jc w:val="both"/>
        <w:rPr>
          <w:sz w:val="24"/>
          <w:szCs w:val="24"/>
        </w:rPr>
      </w:pPr>
      <w:bookmarkStart w:colFirst="0" w:colLast="0" w:name="_heading=h.8u7l56om9ek" w:id="3"/>
      <w:bookmarkEnd w:id="3"/>
      <w:r w:rsidDel="00000000" w:rsidR="00000000" w:rsidRPr="00000000">
        <w:rPr>
          <w:sz w:val="24"/>
          <w:szCs w:val="24"/>
          <w:rtl w:val="0"/>
        </w:rPr>
        <w:t xml:space="preserve">Демографические и иные исходные данные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Все исходные демографические и клинические характеристики, полученные до начала применения исследуемого препарата или плацебо (включая демографические данные, анамнез, сопутствующую терапию, лабораторные показатели, данные инструментальных и физикальных обследований, показатели жизнедеятельности), будут представлены для каждой группы лечения с использованием методов описательной статистики. Формальное статистическое сравнение исходных характеристик между группами проводиться не будет, исходя из дизайна исследования.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ab/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numPr>
          <w:ilvl w:val="1"/>
          <w:numId w:val="1"/>
        </w:numPr>
        <w:spacing w:after="120" w:before="0" w:line="276" w:lineRule="auto"/>
        <w:ind w:left="709" w:hanging="709"/>
        <w:jc w:val="both"/>
        <w:rPr/>
      </w:pPr>
      <w:bookmarkStart w:colFirst="0" w:colLast="0" w:name="_heading=h.3btx6ssamnw8" w:id="4"/>
      <w:bookmarkEnd w:id="4"/>
      <w:r w:rsidDel="00000000" w:rsidR="00000000" w:rsidRPr="00000000">
        <w:rPr>
          <w:sz w:val="24"/>
          <w:szCs w:val="24"/>
          <w:rtl w:val="0"/>
        </w:rPr>
        <w:t xml:space="preserve">Анализ первичной конечной точки эффективности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12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1649027443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Оценка первичной конечной точки будет выполнена с использованием методов анализа выживаемости, включая лог-ранговый критерий и модель пропорциональных рисков Кокса.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numPr>
          <w:ilvl w:val="1"/>
          <w:numId w:val="1"/>
        </w:numPr>
        <w:spacing w:after="120" w:before="0" w:line="276" w:lineRule="auto"/>
        <w:ind w:left="709" w:hanging="709"/>
        <w:jc w:val="both"/>
        <w:rPr>
          <w:sz w:val="24"/>
          <w:szCs w:val="24"/>
        </w:rPr>
      </w:pPr>
      <w:bookmarkStart w:colFirst="0" w:colLast="0" w:name="_heading=h.jdy4xyi9jpaf" w:id="5"/>
      <w:bookmarkEnd w:id="5"/>
      <w:r w:rsidDel="00000000" w:rsidR="00000000" w:rsidRPr="00000000">
        <w:rPr>
          <w:sz w:val="24"/>
          <w:szCs w:val="24"/>
          <w:rtl w:val="0"/>
        </w:rPr>
        <w:t xml:space="preserve">Анализ вторичных конечных точек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исследовании выбраны следующие вторичные конечные точки:</w:t>
      </w:r>
    </w:p>
    <w:p w:rsidR="00000000" w:rsidDel="00000000" w:rsidP="00000000" w:rsidRDefault="00000000" w:rsidRPr="00000000" w14:paraId="0000001F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6oobb0tgir6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7dqr8ic8lkb2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Общее число госпитализаций по поводу декомпенсации ХСН (включая повторные), а также сердечно-сосудистые смерти за период наблюдения.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e8b9phrlfjzv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Изменение качества жизни по шкале KCCQ через 12 месяцев по сравнению с исходным уровнем.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bookmarkStart w:colFirst="0" w:colLast="0" w:name="_heading=h.lvik36dg7f1m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Изменение уровня NT-proBNP через 12 месяцев по сравнению с исходным уровнем.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jz54rgsv2ud3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</w:t>
      </w:r>
      <w:sdt>
        <w:sdtPr>
          <w:id w:val="-1270917097"/>
          <w:tag w:val="goog_rdk_3"/>
        </w:sdtPr>
        <w:sdtContent>
          <w:commentRangeStart w:id="3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 анализе вторичных конечных точек будут использованы следующие статистические методы: сравнение частотных показателей между группами будет выполняться с использованием критерия χ² Пирсона с расчетом отношения шансов; анализ временных показателей будет осуществляться с применением метода Каплана–Майера и лог-рангового критерия; </w:t>
      </w:r>
      <w:sdt>
        <w:sdtPr>
          <w:id w:val="-1665070694"/>
          <w:tag w:val="goog_rdk_4"/>
        </w:sdtPr>
        <w:sdtContent>
          <w:commentRangeStart w:id="4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сравнение изменений количественных показателей и шкальных величин (включая KCCQ и уровень NT-proBNP) между группами будет проводиться с использованием t-критерия Стьюдента для независимых выборок.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описании всех оцениваемых величин, будут представлены как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-значения, так и точечные оценки с соответствующими 95% доверительными интервалами.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98j159rv4r37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numPr>
          <w:ilvl w:val="1"/>
          <w:numId w:val="1"/>
        </w:numPr>
        <w:spacing w:after="120" w:line="276" w:lineRule="auto"/>
        <w:ind w:left="709" w:hanging="709"/>
        <w:jc w:val="both"/>
        <w:rPr>
          <w:sz w:val="24"/>
          <w:szCs w:val="24"/>
        </w:rPr>
      </w:pPr>
      <w:bookmarkStart w:colFirst="0" w:colLast="0" w:name="_heading=h.anrhlxt0rwiq" w:id="12"/>
      <w:bookmarkEnd w:id="12"/>
      <w:r w:rsidDel="00000000" w:rsidR="00000000" w:rsidRPr="00000000">
        <w:rPr>
          <w:sz w:val="24"/>
          <w:szCs w:val="24"/>
          <w:rtl w:val="0"/>
        </w:rPr>
        <w:t xml:space="preserve">Анализ параметров безопасности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Оценка безопасности будет включать в себя определение общего количества, частоты и степени тяжести: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Нежелательных явлений (НЯ), независимо от их взаимосвязи с лечением;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НЯ, связанных или возможно связанных с применением препарата;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НЯ, требующих прекращения терапии.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Неблагоприятные события будут закодированы с помощью номенклатуры MedDRA в последней версии. Они будут представлены предпочтительным термином (PT) и классом системного органа (SOC).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Для представления результатов будут использованы методы описательной статистики. </w:t>
      </w:r>
      <w:sdt>
        <w:sdtPr>
          <w:id w:val="-564263473"/>
          <w:tag w:val="goog_rdk_5"/>
        </w:sdtPr>
        <w:sdtContent>
          <w:commentRangeStart w:id="5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Сравнение частоты новых случаев НЯ в исследуемых группах будет проводиться с использованием  </w:t>
      </w:r>
      <w:sdt>
        <w:sdtPr>
          <w:id w:val="1136875152"/>
          <w:tag w:val="goog_rdk_6"/>
        </w:sdtPr>
        <w:sdtContent>
          <w:commentRangeStart w:id="6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критерия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Пирсона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. 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Изменения результатов лабораторных исследований с течением времени и частота патологических отклонений результатов исследований от нормы (исходя из референсных значений центральной лаборатории) будут обобщены по группам, а также будет проведено сравнение между группами с помощью соответствующих тестов для количественных и качественных данных.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Данные по безопасности будут анализироваться с использованием методов, обозначенных для применения оценки данных по эффективности.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numPr>
          <w:ilvl w:val="1"/>
          <w:numId w:val="1"/>
        </w:numPr>
        <w:spacing w:after="120" w:before="0" w:line="276" w:lineRule="auto"/>
        <w:ind w:left="709" w:hanging="709"/>
        <w:jc w:val="both"/>
        <w:rPr/>
      </w:pPr>
      <w:bookmarkStart w:colFirst="0" w:colLast="0" w:name="_heading=h.wypwz5g41b6a" w:id="13"/>
      <w:bookmarkEnd w:id="13"/>
      <w:r w:rsidDel="00000000" w:rsidR="00000000" w:rsidRPr="00000000">
        <w:rPr>
          <w:sz w:val="24"/>
          <w:szCs w:val="24"/>
          <w:rtl w:val="0"/>
        </w:rPr>
        <w:t xml:space="preserve">Промежуточный анализ данных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Промежуточный анализ данных не планируется в настоящем исследовании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numPr>
          <w:ilvl w:val="1"/>
          <w:numId w:val="1"/>
        </w:numPr>
        <w:spacing w:after="120" w:before="0" w:line="276" w:lineRule="auto"/>
        <w:ind w:left="709" w:hanging="709"/>
        <w:jc w:val="both"/>
        <w:rPr/>
      </w:pPr>
      <w:bookmarkStart w:colFirst="0" w:colLast="0" w:name="_heading=h.twm2jgy5wwb1" w:id="14"/>
      <w:bookmarkEnd w:id="14"/>
      <w:sdt>
        <w:sdtPr>
          <w:id w:val="1305579780"/>
          <w:tag w:val="goog_rdk_7"/>
        </w:sdtPr>
        <w:sdtContent>
          <w:commentRangeStart w:id="7"/>
        </w:sdtContent>
      </w:sdt>
      <w:r w:rsidDel="00000000" w:rsidR="00000000" w:rsidRPr="00000000">
        <w:rPr>
          <w:sz w:val="24"/>
          <w:szCs w:val="24"/>
          <w:rtl w:val="0"/>
        </w:rPr>
        <w:t xml:space="preserve">Расчет объема выборки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280" w:line="342.8571428571428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Статистической целью настоящего исследования является доказательство превосходящей эффективности (Superiority) экстракта боярышника по сравнению с плацебо в снижении риска наступления комбинированной первичной конечной точки (СС-смерть или незапланированная госпитализация по поводу декомпенсации СН).</w:t>
      </w:r>
    </w:p>
    <w:p w:rsidR="00000000" w:rsidDel="00000000" w:rsidP="00000000" w:rsidRDefault="00000000" w:rsidRPr="00000000" w14:paraId="00000033">
      <w:pPr>
        <w:shd w:fill="ffffff" w:val="clear"/>
        <w:spacing w:after="280" w:before="220" w:line="342.85714285714283" w:lineRule="auto"/>
        <w:jc w:val="both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оценки первичной конечной точки будет использован анализ выживаемости (время до наступления первого события) с применением лог-рангового критерия и модели пропорциональных рисков Кокса. В качестве исходных параметров для расчета были взяты данные исследования SPICE [1, 2]: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hd w:fill="ffffff" w:val="clear"/>
        <w:spacing w:after="0" w:before="220" w:line="342.85714285714283" w:lineRule="auto"/>
        <w:ind w:left="720" w:hanging="360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Из работы [1] следует, что совокупная частота событий (смерть или сердечный приступ) в группе контроля (плацебо) за 24 месяца составляет приблизительно 28.9%.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hd w:fill="ffffff" w:val="clear"/>
        <w:spacing w:after="0" w:before="0" w:line="342.85714285714283" w:lineRule="auto"/>
        <w:ind w:left="720" w:hanging="360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основании анализа подгрупп [1, 3] и ожидаемого терапевтического эффекта в целевой популяции (LVEF 25–40%), ожидаемое снижение относительного риска (Relative Risk Reduction) в группе экстракта боярышника составляет 22%, что соответствует отношению рисков (Hazard Ratio, HR) = 0.78.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hd w:fill="ffffff" w:val="clear"/>
        <w:spacing w:after="0" w:before="0" w:line="480" w:lineRule="auto"/>
        <w:ind w:left="720" w:hanging="360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Вероятность ошибки I рода (a): 0.05 (двусторонняя).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hd w:fill="ffffff" w:val="clear"/>
        <w:spacing w:after="0" w:before="0" w:line="480" w:lineRule="auto"/>
        <w:ind w:left="720" w:hanging="360"/>
        <w:rPr>
          <w:rFonts w:ascii="Arial" w:cs="Arial" w:eastAsia="Arial" w:hAnsi="Arial"/>
          <w:color w:val="1a1c1e"/>
          <w:sz w:val="21"/>
          <w:szCs w:val="21"/>
        </w:rPr>
      </w:pPr>
      <w:sdt>
        <w:sdtPr>
          <w:id w:val="-1838433409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Мощность (1−β): 80%.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hd w:fill="ffffff" w:val="clear"/>
        <w:spacing w:after="220" w:before="0" w:line="360" w:lineRule="auto"/>
        <w:ind w:left="720" w:hanging="360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Гипотеза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220" w:before="220"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H0: HR = 1;</w:t>
      </w:r>
    </w:p>
    <w:p w:rsidR="00000000" w:rsidDel="00000000" w:rsidP="00000000" w:rsidRDefault="00000000" w:rsidRPr="00000000" w14:paraId="0000003A">
      <w:pPr>
        <w:shd w:fill="ffffff" w:val="clear"/>
        <w:spacing w:after="220" w:before="220" w:line="360" w:lineRule="auto"/>
        <w:ind w:left="720" w:firstLine="0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Ha: HR не = 1</w:t>
      </w:r>
      <w:r w:rsidDel="00000000" w:rsidR="00000000" w:rsidRPr="00000000">
        <w:rPr>
          <w:rFonts w:ascii="Arial" w:cs="Arial" w:eastAsia="Arial" w:hAnsi="Arial"/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B">
      <w:pPr>
        <w:shd w:fill="ffffff" w:val="clear"/>
        <w:spacing w:after="280" w:before="220" w:line="342.85714285714283" w:lineRule="auto"/>
        <w:jc w:val="both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ind w:left="36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Была использована стандартная формула для оценки объема выборки из работы [4].</w:t>
      </w:r>
    </w:p>
    <w:p w:rsidR="00000000" w:rsidDel="00000000" w:rsidP="00000000" w:rsidRDefault="00000000" w:rsidRPr="00000000" w14:paraId="0000003E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bscript"/>
        </w:rPr>
        <w:drawing>
          <wp:inline distB="114300" distT="114300" distL="114300" distR="114300">
            <wp:extent cx="3495675" cy="838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924050" cy="609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Здесь:</w:t>
      </w:r>
    </w:p>
    <w:p w:rsidR="00000000" w:rsidDel="00000000" w:rsidP="00000000" w:rsidRDefault="00000000" w:rsidRPr="00000000" w14:paraId="00000041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количества пациентов в группе; p - совокупная частота событий для i-й группы лечения. </w:t>
        <w:tab/>
        <w:t xml:space="preserve">При расчете по формуле было использовано округление вверх до ближайшего целого.</w:t>
      </w:r>
    </w:p>
    <w:p w:rsidR="00000000" w:rsidDel="00000000" w:rsidP="00000000" w:rsidRDefault="00000000" w:rsidRPr="00000000" w14:paraId="00000042">
      <w:pPr>
        <w:spacing w:after="0" w:lineRule="auto"/>
        <w:ind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Количество событий 514 рассчитано по формуле (7.4.4) Chow et al., исходя из Hazard Ratio 0.78. Чтобы получить такое количество событий при частоте событий в 28.9% (группа плацебо), нам необходимо набрать 1980 пациентов. С учетом 10% потерь при наблюдении, объем рандомизации был установлен на уровне 2200 субъектов (По 1100 пациентов в каждой группе).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numPr>
          <w:ilvl w:val="1"/>
          <w:numId w:val="1"/>
        </w:numPr>
        <w:spacing w:after="120" w:before="0" w:line="276" w:lineRule="auto"/>
        <w:ind w:left="709" w:hanging="709"/>
        <w:jc w:val="both"/>
        <w:rPr>
          <w:sz w:val="24"/>
          <w:szCs w:val="24"/>
        </w:rPr>
      </w:pPr>
      <w:bookmarkStart w:colFirst="0" w:colLast="0" w:name="_heading=h.480luy8uz6v" w:id="15"/>
      <w:bookmarkEnd w:id="15"/>
      <w:r w:rsidDel="00000000" w:rsidR="00000000" w:rsidRPr="00000000">
        <w:rPr>
          <w:sz w:val="24"/>
          <w:szCs w:val="24"/>
          <w:rtl w:val="0"/>
        </w:rPr>
        <w:t xml:space="preserve">Список литературы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hd w:fill="ffffff" w:val="clear"/>
        <w:spacing w:after="0" w:before="220" w:line="342.85714285714283" w:lineRule="auto"/>
        <w:ind w:left="585" w:hanging="495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Holubarsch CJ, Colucci WS, Meinertz T, Gaus W, Tendera M. The efficacy and safety of Crataegus extract WS 1442 in patients with heart failure: the SPICE trial. European Journal of Heart Failure, 2008; 10(12):1255-63. PMID: 19019730.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hd w:fill="ffffff" w:val="clear"/>
        <w:spacing w:after="0" w:before="0" w:line="342.85714285714283" w:lineRule="auto"/>
        <w:ind w:left="585" w:hanging="495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Pittler MH, Guo R, Ernst E. Hawthorn extract for treating chronic heart failure. Cochrane Database of Systematic Reviews, 2008, Issue 1. Art. No.: CD005312.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hd w:fill="ffffff" w:val="clear"/>
        <w:spacing w:after="0" w:before="0" w:line="342.85714285714283" w:lineRule="auto"/>
        <w:ind w:left="585" w:hanging="495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Zick SM, Gillespie B, Aaronson KD. Hawthorn Extract Randomized Blinded Chronic Heart Failure Trial (HERB-CHF). European Journal of Heart Failure, 2009; 11(10):990-9.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hd w:fill="ffffff" w:val="clear"/>
        <w:spacing w:after="220" w:before="0" w:line="342.85714285714283" w:lineRule="auto"/>
        <w:ind w:left="585" w:hanging="495"/>
        <w:rPr>
          <w:rFonts w:ascii="Arial" w:cs="Arial" w:eastAsia="Arial" w:hAnsi="Arial"/>
          <w:color w:val="1a1c1e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Chow S, Shao J, Wang H. Sample Size Calculations in Clinical Research. 2nd Ed. Chapman &amp; Hall/CRC Biostatistics Series, 2008. (Chapter 7, Section 7.4.1, pp. 179-181)</w:t>
      </w:r>
      <w:r w:rsidDel="00000000" w:rsidR="00000000" w:rsidRPr="00000000">
        <w:rPr>
          <w:rFonts w:ascii="Arial" w:cs="Arial" w:eastAsia="Arial" w:hAnsi="Arial"/>
          <w:color w:val="1a1c1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A">
      <w:pPr>
        <w:spacing w:after="240" w:lineRule="auto"/>
        <w:ind w:left="585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numPr>
          <w:ilvl w:val="1"/>
          <w:numId w:val="1"/>
        </w:numPr>
        <w:spacing w:after="120" w:before="0" w:line="276" w:lineRule="auto"/>
        <w:ind w:left="709" w:hanging="709"/>
        <w:jc w:val="both"/>
        <w:rPr/>
      </w:pPr>
      <w:bookmarkStart w:colFirst="0" w:colLast="0" w:name="_heading=h.ry7psildc2bw" w:id="16"/>
      <w:bookmarkEnd w:id="16"/>
      <w:r w:rsidDel="00000000" w:rsidR="00000000" w:rsidRPr="00000000">
        <w:rPr>
          <w:sz w:val="24"/>
          <w:szCs w:val="24"/>
          <w:rtl w:val="0"/>
        </w:rPr>
        <w:t xml:space="preserve">Применяемый уровень значимости клинического исследования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статистические тесты в настоящем исследовании будут проводиться как двусторонние при уровне статистической значимости p = 0,05, с расчетом 95% доверительных интервалов.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numPr>
          <w:ilvl w:val="1"/>
          <w:numId w:val="1"/>
        </w:numPr>
        <w:spacing w:after="120" w:before="0" w:line="276" w:lineRule="auto"/>
        <w:ind w:left="709" w:hanging="709"/>
        <w:jc w:val="both"/>
        <w:rPr>
          <w:sz w:val="24"/>
          <w:szCs w:val="24"/>
        </w:rPr>
      </w:pPr>
      <w:bookmarkStart w:colFirst="0" w:colLast="0" w:name="_heading=h.tzn63no3ynxw" w:id="17"/>
      <w:bookmarkEnd w:id="17"/>
      <w:r w:rsidDel="00000000" w:rsidR="00000000" w:rsidRPr="00000000">
        <w:rPr>
          <w:sz w:val="24"/>
          <w:szCs w:val="24"/>
          <w:rtl w:val="0"/>
        </w:rPr>
        <w:t xml:space="preserve">Процедуры учета отсутствующих, не подлежащих анализу и сомнительных данных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ходе мониторинговых визитов в клинический центр специалисты по клиническим исследованиям (мониторы), уполномоченные спонсором, проведут анализ ИРК субъектов исследования на предмет отсутствия в них необходимых данных. В случае отсутствия данных в ИРК и наличия соответствующей информации в первичной документации, будут сформулированы запросы к исследователям и предписания по устранению несоответствий. 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Менеджеры по контролю и обработке данных при проверке базы данных результатов исследования проведут анализ на предмет наличия сомнительных, пропущенных и не подлежащих анализу данных, по результатам которого могут быть также сформулированы запросы к исследователям. Исследователи, по возможности, устранят выявленные ошибки в ИРК и проинформируют об этом главного исследователя и уполномоченных представителей спонсора. Если выявленные ошибки в данных будет невозможно устранить после завершения участия пациентов в исследовании, в ходе статистического анализа данных будет проводиться анализ чувствительности результирующих параметров к наличию сомнительных данных. 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Информация о пропущенных, сомнительных и не подлежащих анализу данных будет представлена в финальном отчете о клиническом исследовании. Для всех видов конечных точек и иных параметров анализ будет проведен только на фактически доступной информации, без восполнения данных методами предсказательной статистики (т.н. imputation).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numPr>
          <w:ilvl w:val="1"/>
          <w:numId w:val="1"/>
        </w:numPr>
        <w:spacing w:after="120" w:before="0" w:line="276" w:lineRule="auto"/>
        <w:ind w:left="709" w:hanging="709"/>
        <w:jc w:val="both"/>
        <w:rPr>
          <w:sz w:val="24"/>
          <w:szCs w:val="24"/>
        </w:rPr>
      </w:pPr>
      <w:bookmarkStart w:colFirst="0" w:colLast="0" w:name="_heading=h.2bo8vq1kikjr" w:id="18"/>
      <w:bookmarkEnd w:id="18"/>
      <w:r w:rsidDel="00000000" w:rsidR="00000000" w:rsidRPr="00000000">
        <w:rPr>
          <w:sz w:val="24"/>
          <w:szCs w:val="24"/>
          <w:rtl w:val="0"/>
        </w:rPr>
        <w:t xml:space="preserve">Процедуры сообщения о любых отклонениях от первоначального статистического плана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Все отклонения от первоначального статистического плана должны быть описаны и обоснованы в поправке к протоколу и/или финальном отчете об исследовании (в последнем случае, план статистического анализа, разрабатываемый до начала проведения финального статистического анализа, должен содержать список данных отклонений с обоснованием причин для отклонения от статистического плана по протоколу).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numPr>
          <w:ilvl w:val="1"/>
          <w:numId w:val="1"/>
        </w:numPr>
        <w:spacing w:after="120" w:before="0" w:line="276" w:lineRule="auto"/>
        <w:ind w:left="709" w:hanging="709"/>
        <w:jc w:val="both"/>
        <w:rPr>
          <w:sz w:val="24"/>
          <w:szCs w:val="24"/>
        </w:rPr>
      </w:pPr>
      <w:bookmarkStart w:colFirst="0" w:colLast="0" w:name="_heading=h.aptcva7ejovr" w:id="19"/>
      <w:bookmarkEnd w:id="19"/>
      <w:r w:rsidDel="00000000" w:rsidR="00000000" w:rsidRPr="00000000">
        <w:rPr>
          <w:sz w:val="24"/>
          <w:szCs w:val="24"/>
          <w:rtl w:val="0"/>
        </w:rPr>
        <w:t xml:space="preserve">Исследуемые популяции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4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проведения анализа будут использованы следующие популяции добровольцев: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Популяция всех включенных пациентов (intention-to-treat, ITT): все рандомизированные субъекты, применившие хотя бы одну дозу исследуемого препарата/плацебо и завершившие хотя </w:t>
        <w:tab/>
        <w:t xml:space="preserve">бы один визит оценки параметров эффективности.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Популяция пациентов, завершивших исследование согласно протоколу (per protocol, PP): все рандомизированные субъекты, которые завершили участие в исследовании в соответствии с протоколом (закончили предписанный период лечения и наблюдения без существенных отклонений от протокола).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Популяция безопасности (TS): все рандомизированные субъекты,  применившие хотя бы одну дозу исследуемого препарата/препарата сравнения и завершившие хотя бы один визит оценки  параметров безопасности. В отличие от популяции ITT, популяция TS будет анализироваться в зависимости от фактически полученного, а не назначенного лечения (в случае, если будут выявлены отличия между назначенным и фактически полученным лечением).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ugene Bakin" w:id="6" w:date="2026-01-17T21:07:45Z"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Чему будут соответствовать столбцы и строки таблицы сопряженности?</w:t>
      </w:r>
    </w:p>
  </w:comment>
  <w:comment w:author="Лена Марочкина" w:id="3" w:date="2026-01-17T20:44:14Z"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Конкретно какой тест используется для какой точки, а не общий набор</w:t>
      </w:r>
    </w:p>
  </w:comment>
  <w:comment w:author="Лена Марочкина" w:id="2" w:date="2026-01-17T20:44:14Z"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Описать подробнее, на какой популяции, оценка времени до первого события? Что если события 2 ?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Какой метод основной и какой подтверждающий?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Оценка эффекта как будет проводиться?</w:t>
      </w:r>
    </w:p>
  </w:comment>
  <w:comment w:author="Лена Марочкина" w:id="1" w:date="2026-01-17T20:44:20Z"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 ли он нужен?</w:t>
      </w:r>
    </w:p>
  </w:comment>
  <w:comment w:author="Eugene Bakin" w:id="5" w:date="2026-01-17T21:08:22Z"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Целесообразно сравнить общее число НЯ с помощью теста Пуассона.</w:t>
      </w:r>
    </w:p>
  </w:comment>
  <w:comment w:author="Eugene Bakin" w:id="0" w:date="2026-01-17T20:52:37Z"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Можно что-то посвежее предложить</w:t>
      </w:r>
    </w:p>
  </w:comment>
  <w:comment w:author="Eugene Bakin" w:id="4" w:date="2026-01-17T21:05:24Z"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этих двух показателей целесообразно рассмотреть модель ANCOVA, в которой зависимой переменной будет значение показателя через 12 месяцев, а поправка будет делаться на начальное значение показателя. О преимуществе такого подхода можно почитать тут: https://hbiostat.org/bbr/ancova.html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факультативный момент. Вариант с t-тестом является общепринятым и, скорее всего, не вызовет замечаний регулятора.</w:t>
      </w:r>
    </w:p>
  </w:comment>
  <w:comment w:author="Лена Марочкина" w:id="7" w:date="2026-01-17T20:43:53Z"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см. синопсис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5A" w15:done="0"/>
  <w15:commentEx w15:paraId="0000005B" w15:done="0"/>
  <w15:commentEx w15:paraId="0000005F" w15:done="0"/>
  <w15:commentEx w15:paraId="00000060" w15:done="0"/>
  <w15:commentEx w15:paraId="00000061" w15:done="0"/>
  <w15:commentEx w15:paraId="00000062" w15:done="0"/>
  <w15:commentEx w15:paraId="00000064" w15:done="0"/>
  <w15:commentEx w15:paraId="00000065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Arial"/>
  <w:font w:name="Gungsuh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9"/>
      <w:numFmt w:val="decimal"/>
      <w:lvlText w:val="%1."/>
      <w:lvlJc w:val="right"/>
      <w:pPr>
        <w:ind w:left="2880" w:hanging="360"/>
      </w:pPr>
      <w:rPr>
        <w:sz w:val="28"/>
        <w:szCs w:val="28"/>
        <w:u w:val="none"/>
      </w:rPr>
    </w:lvl>
    <w:lvl w:ilvl="1">
      <w:start w:val="1"/>
      <w:numFmt w:val="decimal"/>
      <w:lvlText w:val="%1.%2."/>
      <w:lvlJc w:val="right"/>
      <w:pPr>
        <w:ind w:left="3600" w:hanging="360"/>
      </w:pPr>
      <w:rPr>
        <w:b w:val="1"/>
        <w:bCs w:val="1"/>
        <w:sz w:val="24"/>
        <w:szCs w:val="24"/>
        <w:u w:val="none"/>
      </w:rPr>
    </w:lvl>
    <w:lvl w:ilvl="2">
      <w:start w:val="1"/>
      <w:numFmt w:val="decimal"/>
      <w:lvlText w:val="%1.%2.%3."/>
      <w:lvlJc w:val="right"/>
      <w:pPr>
        <w:ind w:left="4320" w:hanging="360"/>
      </w:pPr>
      <w:rPr>
        <w:sz w:val="24"/>
        <w:szCs w:val="24"/>
        <w:u w:val="none"/>
      </w:rPr>
    </w:lvl>
    <w:lvl w:ilvl="3">
      <w:start w:val="1"/>
      <w:numFmt w:val="decimal"/>
      <w:lvlText w:val="%1.%2.%3.%4."/>
      <w:lvlJc w:val="right"/>
      <w:pPr>
        <w:ind w:left="504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720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864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585" w:hanging="495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170" w:hanging="360"/>
      </w:pPr>
      <w:rPr/>
    </w:lvl>
    <w:lvl w:ilvl="2">
      <w:start w:val="1"/>
      <w:numFmt w:val="lowerRoman"/>
      <w:lvlText w:val="%3."/>
      <w:lvlJc w:val="right"/>
      <w:pPr>
        <w:ind w:left="1890" w:hanging="180"/>
      </w:pPr>
      <w:rPr/>
    </w:lvl>
    <w:lvl w:ilvl="3">
      <w:start w:val="1"/>
      <w:numFmt w:val="decimal"/>
      <w:lvlText w:val="%4."/>
      <w:lvlJc w:val="left"/>
      <w:pPr>
        <w:ind w:left="2610" w:hanging="360"/>
      </w:pPr>
      <w:rPr/>
    </w:lvl>
    <w:lvl w:ilvl="4">
      <w:start w:val="1"/>
      <w:numFmt w:val="lowerLetter"/>
      <w:lvlText w:val="%5."/>
      <w:lvlJc w:val="left"/>
      <w:pPr>
        <w:ind w:left="3330" w:hanging="360"/>
      </w:pPr>
      <w:rPr/>
    </w:lvl>
    <w:lvl w:ilvl="5">
      <w:start w:val="1"/>
      <w:numFmt w:val="lowerRoman"/>
      <w:lvlText w:val="%6."/>
      <w:lvlJc w:val="right"/>
      <w:pPr>
        <w:ind w:left="4050" w:hanging="180"/>
      </w:pPr>
      <w:rPr/>
    </w:lvl>
    <w:lvl w:ilvl="6">
      <w:start w:val="1"/>
      <w:numFmt w:val="decimal"/>
      <w:lvlText w:val="%7."/>
      <w:lvlJc w:val="left"/>
      <w:pPr>
        <w:ind w:left="4770" w:hanging="360"/>
      </w:pPr>
      <w:rPr/>
    </w:lvl>
    <w:lvl w:ilvl="7">
      <w:start w:val="1"/>
      <w:numFmt w:val="lowerLetter"/>
      <w:lvlText w:val="%8."/>
      <w:lvlJc w:val="left"/>
      <w:pPr>
        <w:ind w:left="5490" w:hanging="360"/>
      </w:pPr>
      <w:rPr/>
    </w:lvl>
    <w:lvl w:ilvl="8">
      <w:start w:val="1"/>
      <w:numFmt w:val="lowerRoman"/>
      <w:lvlText w:val="%9."/>
      <w:lvlJc w:val="right"/>
      <w:pPr>
        <w:ind w:left="621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9"/>
    <w:rsid w:val="0078581B"/>
    <w:rPr>
      <w:rFonts w:ascii="Times New Roman" w:cs="Times New Roman" w:eastAsia="Times New Roman" w:hAnsi="Times New Roman"/>
      <w:b w:val="1"/>
      <w:sz w:val="48"/>
      <w:szCs w:val="48"/>
      <w:lang w:eastAsia="ru-RU"/>
    </w:rPr>
  </w:style>
  <w:style w:type="character" w:styleId="20" w:customStyle="1">
    <w:name w:val="Заголовок 2 Знак"/>
    <w:basedOn w:val="a0"/>
    <w:link w:val="2"/>
    <w:rsid w:val="0078581B"/>
    <w:rPr>
      <w:rFonts w:ascii="Times New Roman" w:cs="Times New Roman" w:eastAsia="Times New Roman" w:hAnsi="Times New Roman"/>
      <w:b w:val="1"/>
      <w:sz w:val="36"/>
      <w:szCs w:val="36"/>
      <w:lang w:eastAsia="ru-RU"/>
    </w:rPr>
  </w:style>
  <w:style w:type="paragraph" w:styleId="a3">
    <w:name w:val="Normal (Web)"/>
    <w:basedOn w:val="a"/>
    <w:link w:val="a4"/>
    <w:uiPriority w:val="99"/>
    <w:unhideWhenUsed w:val="1"/>
    <w:rsid w:val="0078581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apple-tab-span" w:customStyle="1">
    <w:name w:val="apple-tab-span"/>
    <w:basedOn w:val="a0"/>
    <w:rsid w:val="0078581B"/>
  </w:style>
  <w:style w:type="paragraph" w:styleId="111" w:customStyle="1">
    <w:name w:val="Стиль1.1.1"/>
    <w:basedOn w:val="3"/>
    <w:qFormat w:val="1"/>
    <w:rsid w:val="0078581B"/>
    <w:pPr>
      <w:keepNext w:val="0"/>
      <w:keepLines w:val="0"/>
      <w:numPr>
        <w:ilvl w:val="2"/>
        <w:numId w:val="1"/>
      </w:numPr>
      <w:tabs>
        <w:tab w:val="left" w:pos="709"/>
      </w:tabs>
      <w:spacing w:after="120" w:before="0" w:line="360" w:lineRule="auto"/>
      <w:jc w:val="both"/>
    </w:pPr>
    <w:rPr>
      <w:rFonts w:ascii="Times New Roman" w:cs="Times New Roman" w:eastAsia="Calibri" w:hAnsi="Times New Roman"/>
      <w:bCs w:val="0"/>
      <w:color w:val="auto"/>
      <w:sz w:val="24"/>
      <w:szCs w:val="28"/>
    </w:rPr>
  </w:style>
  <w:style w:type="paragraph" w:styleId="11" w:customStyle="1">
    <w:name w:val="Стиль1.1"/>
    <w:basedOn w:val="2"/>
    <w:qFormat w:val="1"/>
    <w:rsid w:val="0078581B"/>
    <w:pPr>
      <w:keepNext w:val="0"/>
      <w:keepLines w:val="0"/>
      <w:numPr>
        <w:ilvl w:val="1"/>
        <w:numId w:val="1"/>
      </w:numPr>
      <w:spacing w:after="120" w:before="0" w:line="276" w:lineRule="auto"/>
      <w:jc w:val="both"/>
    </w:pPr>
    <w:rPr>
      <w:rFonts w:eastAsia="Calibri"/>
      <w:lang w:eastAsia="en-US"/>
    </w:rPr>
  </w:style>
  <w:style w:type="character" w:styleId="a4" w:customStyle="1">
    <w:name w:val="Обычный (веб) Знак"/>
    <w:basedOn w:val="a0"/>
    <w:link w:val="a3"/>
    <w:uiPriority w:val="99"/>
    <w:rsid w:val="0078581B"/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30" w:customStyle="1">
    <w:name w:val="Заголовок 3 Знак"/>
    <w:basedOn w:val="a0"/>
    <w:link w:val="3"/>
    <w:uiPriority w:val="9"/>
    <w:semiHidden w:val="1"/>
    <w:rsid w:val="0078581B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a5">
    <w:name w:val="Balloon Text"/>
    <w:basedOn w:val="a"/>
    <w:link w:val="a6"/>
    <w:uiPriority w:val="99"/>
    <w:semiHidden w:val="1"/>
    <w:unhideWhenUsed w:val="1"/>
    <w:rsid w:val="0078581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a6" w:customStyle="1">
    <w:name w:val="Текст выноски Знак"/>
    <w:basedOn w:val="a0"/>
    <w:link w:val="a5"/>
    <w:uiPriority w:val="99"/>
    <w:semiHidden w:val="1"/>
    <w:rsid w:val="0078581B"/>
    <w:rPr>
      <w:rFonts w:ascii="Tahoma" w:cs="Tahoma" w:hAnsi="Tahoma"/>
      <w:sz w:val="16"/>
      <w:szCs w:val="16"/>
    </w:rPr>
  </w:style>
  <w:style w:type="paragraph" w:styleId="a7">
    <w:name w:val="footer"/>
    <w:basedOn w:val="a"/>
    <w:link w:val="a8"/>
    <w:uiPriority w:val="99"/>
    <w:unhideWhenUsed w:val="1"/>
    <w:rsid w:val="00251DDC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4"/>
    </w:rPr>
  </w:style>
  <w:style w:type="character" w:styleId="a8" w:customStyle="1">
    <w:name w:val="Нижний колонтитул Знак"/>
    <w:basedOn w:val="a0"/>
    <w:link w:val="a7"/>
    <w:uiPriority w:val="99"/>
    <w:rsid w:val="00251DDC"/>
    <w:rPr>
      <w:rFonts w:ascii="Times New Roman" w:hAnsi="Times New Roman"/>
      <w:sz w:val="24"/>
    </w:rPr>
  </w:style>
  <w:style w:type="table" w:styleId="a9">
    <w:name w:val="Table Grid"/>
    <w:basedOn w:val="a1"/>
    <w:uiPriority w:val="39"/>
    <w:rsid w:val="00714765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aa">
    <w:name w:val="List Paragraph"/>
    <w:basedOn w:val="a"/>
    <w:uiPriority w:val="34"/>
    <w:qFormat w:val="1"/>
    <w:rsid w:val="008F3F2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hIUJeLkJKHJCTzBu03Wmnr8RLg==">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2023-01-14T05:35:00Z</dcterms:created>
  <dc:creator>Kenelm</dc:creator>
</cp:coreProperties>
</file>