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633"/>
        <w:tblGridChange w:id="0">
          <w:tblGrid>
            <w:gridCol w:w="2689"/>
            <w:gridCol w:w="6633"/>
          </w:tblGrid>
        </w:tblGridChange>
      </w:tblGrid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Проспективное, многоцентровое, рандомизированное, двойное слепое, плацебо-контролируемое клиническое исследование эффективности и безопасности экстракта боярышника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Crataegus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у пациентов с хронической сердечной недостаточностью со сниженной фракцией выброса левого желудочка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 исследования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11761961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  <w:t xml:space="preserve">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Спонсор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454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Homeopathy 2.0 Global Corp.</w:t>
              <w:tab/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Исследуемый препарат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Экстракт боярышника, таблетированная форма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Препарат сравнения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Плацебо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Фаза клинического исследования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Планируемая продолжительность исследования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15311154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месяца.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Общий период набора – 6 месяцев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Планируемое количество исследовательских центров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20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Планируемое количество субъектов в исследовании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исследование планируется включить (рандомизировать) 2200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c1e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пациентов (по 1100 пациентов в каждую группу) с учетом возможного досрочного выбывания 10%. Минимально достаточное для статистического анализа количество пациентов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c1e"/>
                <w:sz w:val="21"/>
                <w:szCs w:val="21"/>
                <w:highlight w:val="white"/>
                <w:rtl w:val="0"/>
              </w:rPr>
              <w:t xml:space="preserve">1980 пациентов</w:t>
            </w: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highlight w:val="white"/>
                <w:rtl w:val="0"/>
              </w:rPr>
              <w:t xml:space="preserve"> (по 990 в каждой группе)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закончивших исследование по Протоколу.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Способ применения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62709358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450 мг 2 раза в день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40"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94684148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Подтвердить превосходство экстракта боярышника (Crataegus) </w:t>
            </w:r>
            <w:commentRangeEnd w:id="3"/>
            <w:r w:rsidDel="00000000" w:rsidR="00000000" w:rsidRPr="00000000">
              <w:commentReference w:id="3"/>
            </w:r>
            <w:sdt>
              <w:sdtPr>
                <w:id w:val="323975778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над плацебо при применении в дополнение к оптимальной медикаментозной терапии по снижению риска наступления композитной конечной точки (госпитализация по поводу СН или сердечно-сосудистая смерть) у пациентов с ХСН и ФВЛЖ ≤40%</w:t>
                </w:r>
              </w:sdtContent>
            </w:sdt>
          </w:p>
        </w:tc>
      </w:tr>
      <w:tr>
        <w:trPr>
          <w:cantSplit w:val="0"/>
          <w:trHeight w:val="111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Задачи исследования</w:t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Основная задача</w:t>
            </w:r>
          </w:p>
          <w:p w:rsidR="00000000" w:rsidDel="00000000" w:rsidP="00000000" w:rsidRDefault="00000000" w:rsidRPr="00000000" w14:paraId="0000001E">
            <w:pPr>
              <w:spacing w:after="240"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29483390"/>
                <w:tag w:val="goog_rdk_5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влияние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экстракта боярышника (Crataegus) по сравнению с плацебо на </w:t>
            </w:r>
            <w:sdt>
              <w:sdtPr>
                <w:id w:val="-840491372"/>
                <w:tag w:val="goog_rdk_6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до первого наступления композитного клинического события, включающего госпитализацию по поводу декомпенсации ХСН или сердечно-сосудистую смерть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у пациентов с ХСН со сниженной фракцией выброса левого желудочка при применении в дополнение к оптимальной медикаментозной терапии.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Дополнительные задачи</w:t>
            </w:r>
          </w:p>
          <w:p w:rsidR="00000000" w:rsidDel="00000000" w:rsidP="00000000" w:rsidRDefault="00000000" w:rsidRPr="00000000" w14:paraId="00000020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Оценить влияние терапии экстрактом боярышника по сравнению с плацебо на общее число госпитализаций по поводу декомпенсации хронической сердечной недостаточности, включая повторные госпитализации, а также на частоту сердечно-сосудистых смертей за период наблюдения.</w:t>
            </w:r>
          </w:p>
          <w:p w:rsidR="00000000" w:rsidDel="00000000" w:rsidP="00000000" w:rsidRDefault="00000000" w:rsidRPr="00000000" w14:paraId="00000021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Оценить влияние терапии экстрактом боярышника по сравнению с плацебо на изменение качества жизни пациентов, измеряемое с использованием шкалы Kansas City Cardiomyopathy Questionnaire (KCCQ), через 12 месяцев по сравнению с исходным уровнем.</w:t>
            </w:r>
          </w:p>
          <w:p w:rsidR="00000000" w:rsidDel="00000000" w:rsidP="00000000" w:rsidRDefault="00000000" w:rsidRPr="00000000" w14:paraId="00000022">
            <w:pPr>
              <w:spacing w:after="0"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Оценить влияние терапии экстрактом боярышника по сравнению с плацебо на изменение уровня NT-proBNP через 12 месяцев по сравнению с исходным уровнем.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before="24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sdt>
              <w:sdtPr>
                <w:id w:val="860691931"/>
                <w:tag w:val="goog_rdk_7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Задачи по оценке безопасности и переносимости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профиль безопасности и переносимости терапии экстрактом боярышника (Crataegus), включая частоту, характер и тяжесть нежелательных и серьёзных нежелательных явлений, а также случаи прекращения терапии по причине нежелательных явлений.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Методология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Дизайн исследования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Проспективное, многоцентровое, </w:t>
            </w:r>
            <w:sdt>
              <w:sdtPr>
                <w:id w:val="-968742280"/>
                <w:tag w:val="goog_rdk_8"/>
              </w:sdtPr>
              <w:sdtContent>
                <w:commentRangeStart w:id="7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открытое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рандомизированное, клиническое исследование в параллельных группах.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Периоды исследования: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I. Скрининг + рандомизация + начало лечения: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Визит 1 (День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II.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Период лечения и планового наблюдения (контроль эффективности и безопасности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Визит 2-8 </w:t>
            </w:r>
            <w:sdt>
              <w:sdtPr>
                <w:id w:val="212227462"/>
                <w:tag w:val="goog_rdk_9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месяц 1, 3, 6, 9, 12, 18, 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Финальное наблюдение по безопасности после завершения терапии: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Визит 9 (месяц 25, через 30 дней после визита 8 / окончания терапии)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IV. Внеплановые визиты: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показаниям (ухудшение течения ХСН, подозрение на НЯ)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Визит 1 (День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Участие пациента в исследовании начинается с момента подписания им формы информированного согласия.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решения вопроса о включении пациента в исследование, используются данные следующих обследований: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Демографические данные (дата рождения, пол, возраст);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Измерение массы тела и роста;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Сбор анамнеза;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Регистрация сопутствующей терапии;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критериев включения/ невключения;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832150867"/>
                <w:tag w:val="goog_rdk_10"/>
              </w:sdtPr>
              <w:sdtContent>
                <w:commentRangeStart w:id="9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Измерение температуры тела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Заполнение опросника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Kansas City Cardiomyopathy Questionnaire (KCCQ)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врачом-исследователем;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Физикальный осмотр;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основных показателей жизнедеятельности (ЧСС, ЧДД, АД, температура);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Клинический анализ крови;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Биохимический анализ крови (NT-proBNP, креатинин, СКФ,  калий)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Электрокардиография 12-отведений;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Эхо-КГ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Экспресс-тест мочи на беременность;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Рандомизация;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Выдача препаратов исследования;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Начало терапии препаратами исследования.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проведения скрининговых обследований, в тот же день, пациенты, которые соответствуют всем критериям включения/невключения, будут рандомизированы в одну из групп терапии: ХХХ, или УУУ. Группа будет определяться с помощью рандомизации (в соотношении 1:1). Пациентам на руки выдается препарат, соответствующий группе лечения и дневник пациента. 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Визит 2 (месяц 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нежелательные явления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приверженность лечению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коррекция сопутствующей терапии по показаниям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Визит 3 (месяц 2)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нежелательные явления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приверженность лечению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коррекция сопутствующей терапии по показаниям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жизненные показатели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Визит 4 (месяц 6)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нежелательные явления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приверженность лечению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коррекция сопутствующей терапии по показаниям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62581816"/>
                <w:tag w:val="goog_rdk_11"/>
              </w:sdtPr>
              <w:sdtContent>
                <w:commentRangeStart w:id="10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жизненные показатели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ЭхоКГ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Визит 5 (месяц 9)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нежелательные явления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приверженность лечению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коррекция сопутствующей терапии по показаниям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жизненные показатели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Визит 6 (месяц 12)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нежелательные явления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приверженность лечению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коррекция сопутствующей терапии по показаниям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жизненные показатели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ЭхоКГ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Биохимический анализ крови (</w:t>
            </w:r>
            <w:sdt>
              <w:sdtPr>
                <w:id w:val="526396932"/>
                <w:tag w:val="goog_rdk_12"/>
              </w:sdtPr>
              <w:sdtContent>
                <w:commentRangeStart w:id="1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NT-proBNP)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Kansas City Cardiomyopathy Questionnaire (KCCQ)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87337171"/>
                <w:tag w:val="goog_rdk_13"/>
              </w:sdtPr>
              <w:sdtContent>
                <w:commentRangeStart w:id="12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NYHA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Визит 7 (месяц 18)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нежелательные явления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приверженность лечению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коррекция сопутствующей терапии по показаниям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жизненные показатели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sdt>
              <w:sdtPr>
                <w:id w:val="2050566383"/>
                <w:tag w:val="goog_rdk_14"/>
              </w:sdtPr>
              <w:sdtContent>
                <w:commentRangeStart w:id="13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Визит 8 (месяц 24)</w:t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нежелательные явления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приверженность лечению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коррекция сопутствующей терапии по показаниям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жизненные показатели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ЭхоКГ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Биохимический анализ крови (</w:t>
            </w:r>
            <w:sdt>
              <w:sdtPr>
                <w:id w:val="-1594023494"/>
                <w:tag w:val="goog_rdk_15"/>
              </w:sdtPr>
              <w:sdtContent>
                <w:commentRangeStart w:id="14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NT-proBNP</w:t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Kansas City Cardiomyopathy Questionnaire (KCCQ)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sdt>
              <w:sdtPr>
                <w:id w:val="-2040258155"/>
                <w:tag w:val="goog_rdk_16"/>
              </w:sdtPr>
              <w:sdtContent>
                <w:commentRangeStart w:id="15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NYHA</w:t>
            </w:r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Визит 9 (месяц 25)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 нежелательных явлений после отмены 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закрытие участия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Внеплановые визиты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Внеплановые визиты будут проводиться по мере необходимости, например, при ухудшении течения заболевания, развитии НЯ или в случае непереносимости терапии препаратом.  При проведении внепланового визита независимо от его причины исследователем выполняются следующие процедуры и заполняются соответствующие страницы эИРК (Внеплановый визит):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Физикальное обследование (включая местный осмотр);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Измерение основных показателей жизнедеятельности (АД, ЧСС, ЧДД, температура тела);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НЯ;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сопутствующей терапии;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наличии показаний может быть дополнительно выполнена любая из процедур исследования по решению Главного исследователя.</w:t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Основные параметры оценки эффективности и безопасности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Первичная конечная точка:</w:t>
            </w:r>
          </w:p>
          <w:p w:rsidR="00000000" w:rsidDel="00000000" w:rsidP="00000000" w:rsidRDefault="00000000" w:rsidRPr="00000000" w14:paraId="00000085">
            <w:pPr>
              <w:tabs>
                <w:tab w:val="center" w:leader="none" w:pos="4677"/>
                <w:tab w:val="right" w:leader="none" w:pos="9355"/>
              </w:tabs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69086051"/>
                <w:tag w:val="goog_rdk_17"/>
              </w:sdtPr>
              <w:sdtContent>
                <w:commentRangeStart w:id="16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до первого наступления композитного события, включающего:</w:t>
            </w: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"/>
              </w:numPr>
              <w:tabs>
                <w:tab w:val="center" w:leader="none" w:pos="4677"/>
                <w:tab w:val="right" w:leader="none" w:pos="9355"/>
              </w:tabs>
              <w:spacing w:after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госпитализацию по поводу декомпенсации хронической сердечной недостаточности, или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4"/>
              </w:numPr>
              <w:tabs>
                <w:tab w:val="center" w:leader="none" w:pos="4677"/>
                <w:tab w:val="right" w:leader="none" w:pos="9355"/>
              </w:tabs>
              <w:spacing w:after="24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сердечно-сосудистую смерть.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bookmarkStart w:colFirst="0" w:colLast="0" w:name="_heading=h.ns2d2px5al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Вторичные конечные точки: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sdt>
              <w:sdtPr>
                <w:id w:val="-1948308322"/>
                <w:tag w:val="goog_rdk_18"/>
              </w:sdtPr>
              <w:sdtContent>
                <w:commentRangeStart w:id="17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Общее число госпитализаций по поводу декомпенсации хронической сердечной недостаточности, включая повторные госпитализации, а также сердечно-сосудистые смерти за период наблюдения.</w:t>
            </w: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качества жизни по шкале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Kansas City Cardiomyopathy Questionnaire (KCCQ)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через </w:t>
            </w:r>
            <w:sdt>
              <w:sdtPr>
                <w:id w:val="13130868"/>
                <w:tag w:val="goog_rdk_19"/>
              </w:sdtPr>
              <w:sdtContent>
                <w:commentRangeStart w:id="18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месяцев </w:t>
            </w:r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сравнению с исходным уровнем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уровня NT-proBNP через </w:t>
            </w:r>
            <w:sdt>
              <w:sdtPr>
                <w:id w:val="-1204638936"/>
                <w:tag w:val="goog_rdk_20"/>
              </w:sdtPr>
              <w:sdtContent>
                <w:commentRangeStart w:id="19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месяцев</w:t>
            </w:r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 сравнению с исходным уровнем</w:t>
            </w:r>
          </w:p>
          <w:p w:rsidR="00000000" w:rsidDel="00000000" w:rsidP="00000000" w:rsidRDefault="00000000" w:rsidRPr="00000000" w14:paraId="0000008C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Госпитализация по поводу декомпенсации хронической сердечной недостаточности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определяется как незапланированная госпитализация, обусловленная ухудшением симптомов и/или признаков хронической сердечной недостаточности, требующая интенсификации терапии, включающей как минимум один из следующих видов лечения: внутривенное введение диуретиков; внутривенное введение вазодилататоров; внутривенное введение инотропных средств; иные внутривенные вмешательства, направленные на лечение декомпенсации ХСН.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e0e0e"/>
                <w:sz w:val="24"/>
                <w:szCs w:val="24"/>
                <w:rtl w:val="0"/>
              </w:rPr>
              <w:t xml:space="preserve">Экстренное обращение за медицинской помощью без госпитализации, приведшее к назначению внутривенной терапии по поводу ХСН, рассматривается как эквивалент госпитализации. </w:t>
            </w:r>
          </w:p>
          <w:p w:rsidR="00000000" w:rsidDel="00000000" w:rsidP="00000000" w:rsidRDefault="00000000" w:rsidRPr="00000000" w14:paraId="0000008D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Оценка качества жизни по шкале Kansas City Cardiomyopathy Questionnaire (KCCQ)</w:t>
            </w:r>
          </w:p>
          <w:p w:rsidR="00000000" w:rsidDel="00000000" w:rsidP="00000000" w:rsidRDefault="00000000" w:rsidRPr="00000000" w14:paraId="0000008E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Качество жизни пациентов оценивается с использованием Kansas City Cardiomyopathy Questionnaire (KCCQ) — валидированного опросника, специфичного для пациентов с хронической сердечной недостаточностью.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Опросник KCCQ включает оценку следующих доменов: выраженность симптомов, физические ограничения, качество жизни и социальная активность. Результаты KCCQ выражаются в виде суммарного балла (Total Symptom Score) по шкале от 0 до 100, где более высокие значения соответствуют меньшей выраженности симптомов и лучшему качеству жизни. Оценка проводится на исходном уровне и через 12 месяцев терапии. </w:t>
            </w:r>
            <w:sdt>
              <w:sdtPr>
                <w:id w:val="92221675"/>
                <w:tag w:val="goog_rdk_21"/>
              </w:sdtPr>
              <w:sdtContent>
                <w:commentRangeStart w:id="20"/>
              </w:sdtContent>
            </w:sdt>
            <w:sdt>
              <w:sdtPr>
                <w:id w:val="-1367446229"/>
                <w:tag w:val="goog_rdk_22"/>
              </w:sdtPr>
              <w:sdtContent>
                <w:commentRangeStart w:id="21"/>
              </w:sdtContent>
            </w:sdt>
            <w:sdt>
              <w:sdtPr>
                <w:id w:val="-1204179795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Изменение суммарного балла KCCQ на ≥5 баллов считается клинически значимым.</w:t>
                </w:r>
              </w:sdtContent>
            </w:sdt>
            <w:commentRangeEnd w:id="20"/>
            <w:r w:rsidDel="00000000" w:rsidR="00000000" w:rsidRPr="00000000">
              <w:commentReference w:id="20"/>
            </w:r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Параметры безопасности: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Общая частота нежелательных реакций (лекарственных нежелательных явлений).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Частота нежелательных реакций, стратифицированных по типам.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Число/доля пациентов, у которых не удалось оценить клинические результаты лечения в связи с нежелательными реакциями.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нежелательных явлений будет представлено согласно следующей схеме: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нежелательного явления;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тяжесть проявления;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длительность;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наличие связи с исследуемым препаратом;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исход.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Кодировка нежелательных явлений будет произведена в соответствии со словарем медицинских терминов для регуляторных целей MedDRA.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включения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Пациенты, отвечающие всем критериям включения, будут включены в исследование: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Добровольно подписанное пациентом Информированное согласие на участие в исследовании.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120" w:line="276" w:lineRule="auto"/>
              <w:ind w:left="502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42064652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Возраст ≥ 18 лет на момент скрининга.</w:t>
                </w:r>
              </w:sdtContent>
            </w:sdt>
          </w:p>
          <w:p w:rsidR="00000000" w:rsidDel="00000000" w:rsidP="00000000" w:rsidRDefault="00000000" w:rsidRPr="00000000" w14:paraId="000000A1">
            <w:pPr>
              <w:numPr>
                <w:ilvl w:val="0"/>
                <w:numId w:val="5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120" w:line="276" w:lineRule="auto"/>
              <w:ind w:left="502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Подтвержденный диагноз хронической сердечной недостаточности длительностью не менее 3 месяцев.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5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120" w:line="276" w:lineRule="auto"/>
              <w:ind w:left="502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Функциональный класс II–III по NYHA на момент скрининга.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5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120" w:line="276" w:lineRule="auto"/>
              <w:ind w:left="502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1364841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Сниженная фракция выброса левого желудочка (ФВЛЖ ≤ 40%), подтвержденная ЭхоКГ в течение 3 месяцев до рандомизации.</w:t>
                </w:r>
              </w:sdtContent>
            </w:sdt>
          </w:p>
          <w:p w:rsidR="00000000" w:rsidDel="00000000" w:rsidP="00000000" w:rsidRDefault="00000000" w:rsidRPr="00000000" w14:paraId="000000A4">
            <w:pPr>
              <w:numPr>
                <w:ilvl w:val="0"/>
                <w:numId w:val="5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120" w:line="276" w:lineRule="auto"/>
              <w:ind w:left="502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4607007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Повышенный уровень NT-proBNP: NT-proBNP ≥ 600 пг/мл, или NT-proBNP ≥ 400 пг/мл при наличии госпитализации по поводу ХСН в течение предшествующих 12 месяцев; или при наличии фибрилляции или трепетания предсердий — NT-proBNP ≥ 900 пг/мл независимо от анамнеза госпитализаций.</w:t>
                </w:r>
              </w:sdtContent>
            </w:sdt>
          </w:p>
          <w:p w:rsidR="00000000" w:rsidDel="00000000" w:rsidP="00000000" w:rsidRDefault="00000000" w:rsidRPr="00000000" w14:paraId="000000A5">
            <w:pPr>
              <w:numPr>
                <w:ilvl w:val="0"/>
                <w:numId w:val="5"/>
              </w:numPr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120" w:line="276" w:lineRule="auto"/>
              <w:ind w:left="502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33100000"/>
                <w:tag w:val="goog_rdk_27"/>
              </w:sdtPr>
              <w:sdtContent>
                <w:commentRangeStart w:id="22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оптимальной медикаментозной терапии хронической сердечной недостаточности в стабильных дозах не менее 4 недель до рандомизации, включая: ингибитор АПФ, или блокатор рецепторов ангиотензина, или сакубитрил/валсартан; β-адреноблокатор; антагонист минералокортикоидных рецепторов, ингибиторы натрий-глюкозного котранспортера 2 типа (дапаглифлозин или эмпаглифлозин) - при отсутствии противопоказаний.  Имплантируемые устройства (ИКД и/или CРT), при наличии показаний, должны быть имплантированы и функционировать исправно. Дозы препаратов подбираются индивидуально в соответствии с клиническими рекомендациями.</w:t>
            </w:r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  <w:tab w:val="center" w:leader="none" w:pos="4320"/>
                <w:tab w:val="right" w:leader="none" w:pos="8640"/>
              </w:tabs>
              <w:spacing w:after="120" w:before="0" w:line="276" w:lineRule="auto"/>
              <w:ind w:left="502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невключения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Пациенты, имеющие хотя бы один критерий, представленный ниже, не будут включены в исследование:</w:t>
            </w:r>
          </w:p>
          <w:p w:rsidR="00000000" w:rsidDel="00000000" w:rsidP="00000000" w:rsidRDefault="00000000" w:rsidRPr="00000000" w14:paraId="000000A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1.</w:t>
              <w:tab/>
              <w:t xml:space="preserve">Хроническая сердечная недостаточность IV ФК по NYHA.</w:t>
            </w:r>
          </w:p>
          <w:p w:rsidR="00000000" w:rsidDel="00000000" w:rsidP="00000000" w:rsidRDefault="00000000" w:rsidRPr="00000000" w14:paraId="000000A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2.</w:t>
              <w:tab/>
              <w:t xml:space="preserve">Острая декомпенсация ХСН, потребовавшая госпитализации или внутривенной терапии, менее чем за 14 дней до скрининга.</w:t>
            </w:r>
          </w:p>
          <w:p w:rsidR="00000000" w:rsidDel="00000000" w:rsidP="00000000" w:rsidRDefault="00000000" w:rsidRPr="00000000" w14:paraId="000000A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3.</w:t>
              <w:tab/>
              <w:t xml:space="preserve">Острый коронарный синдром, инсульт или кардиохирургическое вмешательство в течение последних 3 месяцев.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4.</w:t>
              <w:tab/>
              <w:t xml:space="preserve">Гемодинамически значимые клапанные пороки, требующие хирургической или интервенционной коррекции.</w:t>
            </w:r>
          </w:p>
          <w:p w:rsidR="00000000" w:rsidDel="00000000" w:rsidP="00000000" w:rsidRDefault="00000000" w:rsidRPr="00000000" w14:paraId="000000A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5.</w:t>
              <w:tab/>
              <w:t xml:space="preserve">Симптомная артериальная гипотензия или САД &lt;90 мм рт. ст. на момент скрининга.</w:t>
            </w:r>
          </w:p>
          <w:p w:rsidR="00000000" w:rsidDel="00000000" w:rsidP="00000000" w:rsidRDefault="00000000" w:rsidRPr="00000000" w14:paraId="000000A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6.</w:t>
              <w:tab/>
              <w:t xml:space="preserve">СКФ &lt;30 мл/мин/1,73 м² или быстро прогрессирующее ухудшение функции почек.</w:t>
            </w:r>
          </w:p>
          <w:p w:rsidR="00000000" w:rsidDel="00000000" w:rsidP="00000000" w:rsidRDefault="00000000" w:rsidRPr="00000000" w14:paraId="000000A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7.</w:t>
              <w:tab/>
              <w:t xml:space="preserve">Тяжёлая печёночная недостаточность (Child–Pugh C).</w:t>
            </w:r>
          </w:p>
          <w:p w:rsidR="00000000" w:rsidDel="00000000" w:rsidP="00000000" w:rsidRDefault="00000000" w:rsidRPr="00000000" w14:paraId="000000B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8.</w:t>
              <w:tab/>
              <w:t xml:space="preserve">Жизнеугрожающие нарушения ритма, не контролируемые терапией.</w:t>
            </w:r>
          </w:p>
          <w:p w:rsidR="00000000" w:rsidDel="00000000" w:rsidP="00000000" w:rsidRDefault="00000000" w:rsidRPr="00000000" w14:paraId="000000B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9.</w:t>
              <w:tab/>
              <w:t xml:space="preserve">Приём препаратов боярышника (Crataegus) или других  фитопрепаратов в течение 30 дней до скрининга.</w:t>
            </w:r>
          </w:p>
          <w:p w:rsidR="00000000" w:rsidDel="00000000" w:rsidP="00000000" w:rsidRDefault="00000000" w:rsidRPr="00000000" w14:paraId="000000B2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10.</w:t>
              <w:tab/>
              <w:t xml:space="preserve">Известная гиперчувствительность к компонентам исследуемого препарата.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исключения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Участие пациента в исследовании может быть прекращено преждевременно по следующим причинам: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Исследователем принято решение, что пациента необходимо исключить в интересах самого пациента;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Отзыв информированного согласия (нежелание пациента продолжать участие в исследовании);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Серьезное отклонение от протокола исследования;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Индивидуальная непереносимость препаратов исследования;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 пациента возникло клинически значимое нежелательное явление или серьезное нежелательное явление;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Пациент не соблюдает правила участия в исследовании;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Ошибочное включение (например, пациент был включен с нарушением критериев включения/невключения протокола);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Соответствие пациента критериям невключения во время проведения исследования;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Пациент получает/нуждается в дополнительном лечении, которое может повлиять на результат исследования или безопасность пациента;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Иные состояния или события, требующие, по мнению врача-исследователя, исключения пациента из исследования.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Статистическое обоснование количества субъектов в исследовании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hd w:fill="ffffff" w:val="clear"/>
              <w:spacing w:after="280" w:before="0" w:line="342.8571428571428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Статистической целью настоящего исследования является доказательство превосходящей эффективности (Superiority) экстракта боярышника по сравнению с плацебо в снижении </w:t>
            </w:r>
            <w:sdt>
              <w:sdtPr>
                <w:id w:val="-522064780"/>
                <w:tag w:val="goog_rdk_28"/>
              </w:sdtPr>
              <w:sdtContent>
                <w:commentRangeStart w:id="23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риска</w:t>
            </w:r>
            <w:commentRangeEnd w:id="23"/>
            <w:r w:rsidDel="00000000" w:rsidR="00000000" w:rsidRPr="00000000">
              <w:commentReference w:id="23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наступления комбинированной первичной конечной точки (СС-смерть или незапланированная госпитализация по поводу декомпенсации СН).</w:t>
            </w:r>
          </w:p>
          <w:p w:rsidR="00000000" w:rsidDel="00000000" w:rsidP="00000000" w:rsidRDefault="00000000" w:rsidRPr="00000000" w14:paraId="000000C2">
            <w:pPr>
              <w:shd w:fill="ffffff" w:val="clear"/>
              <w:spacing w:after="280" w:before="220" w:line="342.85714285714283" w:lineRule="auto"/>
              <w:jc w:val="both"/>
              <w:rPr>
                <w:rFonts w:ascii="Arial" w:cs="Arial" w:eastAsia="Arial" w:hAnsi="Arial"/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оценки первичной конечной точки будет использован анализ выживаемости (время до наступления первого события) </w:t>
            </w:r>
            <w:sdt>
              <w:sdtPr>
                <w:id w:val="176785331"/>
                <w:tag w:val="goog_rdk_29"/>
              </w:sdtPr>
              <w:sdtContent>
                <w:commentRangeStart w:id="24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применением лог-рангового критерия и модели пропорциональных рисков Кокса. </w:t>
            </w:r>
            <w:commentRangeEnd w:id="24"/>
            <w:r w:rsidDel="00000000" w:rsidR="00000000" w:rsidRPr="00000000">
              <w:commentReference w:id="24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качестве исходных параметров для расчета были взяты данные исследования </w:t>
            </w:r>
            <w:sdt>
              <w:sdtPr>
                <w:id w:val="-1775974171"/>
                <w:tag w:val="goog_rdk_30"/>
              </w:sdtPr>
              <w:sdtContent>
                <w:commentRangeStart w:id="25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SPICE [1, 2]:</w:t>
            </w:r>
            <w:commentRangeEnd w:id="25"/>
            <w:r w:rsidDel="00000000" w:rsidR="00000000" w:rsidRPr="00000000">
              <w:commentReference w:id="2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hd w:fill="ffffff" w:val="clear"/>
              <w:spacing w:after="0" w:before="220" w:line="342.85714285714283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 работы [1] следует, что совокупная частота событий (смерть или сердечный приступ) в группе контроля (плацебо) за 24 месяца составляет приблизительно 28.9%.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hd w:fill="ffffff" w:val="clear"/>
              <w:spacing w:after="0" w:before="0" w:line="342.85714285714283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основании анализа подгрупп [1, 3] и ожидаемого терапевтического эффекта в целевой популяции (LVEF 25–40%), ожидаемое снижение относительного риска (Relative Risk Reduction) в группе экстракта боярышника составляет 22%, что соответствует отношению рисков (Hazard Ratio, HR) = 0.78.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hd w:fill="ffffff" w:val="clear"/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Вероятность ошибки I рода (a): 0.05 (двусторонняя).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hd w:fill="ffffff" w:val="clear"/>
              <w:spacing w:after="0" w:before="0" w:line="480" w:lineRule="auto"/>
              <w:ind w:left="720" w:hanging="360"/>
              <w:rPr/>
            </w:pPr>
            <w:sdt>
              <w:sdtPr>
                <w:id w:val="1075251281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Мощность (1−β): 80%.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hd w:fill="ffffff" w:val="clear"/>
              <w:spacing w:after="220" w:before="0" w:line="360" w:lineRule="auto"/>
              <w:ind w:left="720" w:hanging="360"/>
              <w:rPr>
                <w:rFonts w:ascii="Arial" w:cs="Arial" w:eastAsia="Arial" w:hAnsi="Arial"/>
                <w:color w:val="1a1c1e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hd w:fill="ffffff" w:val="clear"/>
              <w:spacing w:after="220" w:before="220" w:line="36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17525166"/>
                <w:tag w:val="goog_rdk_32"/>
              </w:sdtPr>
              <w:sdtContent>
                <w:commentRangeStart w:id="26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H0: HR = 1;</w:t>
            </w:r>
            <w:commentRangeEnd w:id="26"/>
            <w:r w:rsidDel="00000000" w:rsidR="00000000" w:rsidRPr="00000000">
              <w:commentReference w:id="2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hd w:fill="ffffff" w:val="clear"/>
              <w:spacing w:after="220" w:before="220" w:line="360" w:lineRule="auto"/>
              <w:ind w:left="720" w:firstLine="0"/>
              <w:rPr>
                <w:rFonts w:ascii="Arial" w:cs="Arial" w:eastAsia="Arial" w:hAnsi="Arial"/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Ha: HR не = 1</w:t>
            </w: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A">
            <w:pPr>
              <w:shd w:fill="ffffff" w:val="clear"/>
              <w:spacing w:after="280" w:before="220" w:line="342.85714285714283" w:lineRule="auto"/>
              <w:jc w:val="both"/>
              <w:rPr>
                <w:rFonts w:ascii="Arial" w:cs="Arial" w:eastAsia="Arial" w:hAnsi="Arial"/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76" w:lineRule="auto"/>
              <w:ind w:left="36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Была использована стандартная формула для оценки объема выборки из работы [4].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drawing>
                <wp:inline distB="114300" distT="114300" distL="114300" distR="114300">
                  <wp:extent cx="3495675" cy="838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24050" cy="609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Здесь: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количества пациентов в группе; p - совокупная частота событий для i-й группы лечения. </w:t>
              <w:tab/>
              <w:t xml:space="preserve">При расчете по формуле было использовано округление вверх до ближайшего целого.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ind w:firstLine="70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событий 514 рассчитано по формуле (7.4.4) Chow et al., исходя из Hazard Ratio 0.78. Чтобы получить такое количество событий при частоте событий в 28.9% (группа плацебо), нам необходимо набрать 1980 пациентов. С учетом 10% потерь при наблюдении, объем рандомизации был установлен на уровне 2200 субъектов (По 1100 пациентов в каждой группе).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ind w:firstLine="70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Список литературы, использованной для статистического обоснования количества субъектов в исследовании: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7"/>
              </w:numPr>
              <w:shd w:fill="ffffff" w:val="clear"/>
              <w:spacing w:after="0" w:before="220" w:line="342.85714285714283" w:lineRule="auto"/>
              <w:ind w:left="585" w:hanging="495"/>
              <w:rPr>
                <w:rFonts w:ascii="Arial" w:cs="Arial" w:eastAsia="Arial" w:hAnsi="Arial"/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Holubarsch CJ, Colucci WS, Meinertz T, Gaus W, Tendera M. The efficacy and safety of Crataegus extract WS 1442 in patients with heart failure: the SPICE trial. European Journal of Heart Failure, 2008; 10(12):1255-63. PMID: 19019730.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7"/>
              </w:numPr>
              <w:shd w:fill="ffffff" w:val="clear"/>
              <w:spacing w:after="0" w:before="0" w:line="342.85714285714283" w:lineRule="auto"/>
              <w:ind w:left="585" w:hanging="495"/>
              <w:rPr>
                <w:rFonts w:ascii="Arial" w:cs="Arial" w:eastAsia="Arial" w:hAnsi="Arial"/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Pittler MH, Guo R, Ernst E. Hawthorn extract for treating chronic heart failure. Cochrane Database of Systematic Reviews, 2008, Issue 1. Art. No.: CD005312.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7"/>
              </w:numPr>
              <w:shd w:fill="ffffff" w:val="clear"/>
              <w:spacing w:after="0" w:before="0" w:line="342.85714285714283" w:lineRule="auto"/>
              <w:ind w:left="585" w:hanging="495"/>
              <w:rPr>
                <w:rFonts w:ascii="Arial" w:cs="Arial" w:eastAsia="Arial" w:hAnsi="Arial"/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Zick SM, Gillespie B, Aaronson KD. Hawthorn Extract Randomized Blinded Chronic Heart Failure Trial (HERB-CHF). European Journal of Heart Failure, 2009; 11(10):990-9.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7"/>
              </w:numPr>
              <w:shd w:fill="ffffff" w:val="clear"/>
              <w:spacing w:after="220" w:before="0" w:line="342.85714285714283" w:lineRule="auto"/>
              <w:ind w:left="585" w:hanging="495"/>
              <w:rPr>
                <w:rFonts w:ascii="Arial" w:cs="Arial" w:eastAsia="Arial" w:hAnsi="Arial"/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Chow S, Shao J, Wang H. Sample Size Calculations in Clinical Research. 2nd Ed. Chapman &amp; Hall/CRC Biostatistics Series, 2008. (Chapter 7, Section 7.4.1, pp. 179-181)</w:t>
            </w:r>
            <w:r w:rsidDel="00000000" w:rsidR="00000000" w:rsidRPr="00000000">
              <w:rPr>
                <w:rFonts w:ascii="Arial" w:cs="Arial" w:eastAsia="Arial" w:hAnsi="Arial"/>
                <w:color w:val="1a1c1e"/>
                <w:sz w:val="21"/>
                <w:szCs w:val="2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9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Лена Марочкина" w:id="8" w:date="2026-01-17T20:38:39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Лучше не месяцами а днями, в 1 месяце может быть разное количество дней.</w:t>
      </w:r>
    </w:p>
  </w:comment>
  <w:comment w:author="Eugene Bakin" w:id="19" w:date="2026-01-17T20:56:43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только в этой точке?</w:t>
      </w:r>
    </w:p>
  </w:comment>
  <w:comment w:author="Лена Марочкина" w:id="13" w:date="2026-01-17T20:38:37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Прямо указать что лечение заканчивается, длительность лечения нигде не указана</w:t>
      </w:r>
    </w:p>
  </w:comment>
  <w:comment w:author="Eugene Bakin" w:id="18" w:date="2026-01-17T20:56:33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только в этой точке?</w:t>
      </w:r>
    </w:p>
  </w:comment>
  <w:comment w:author="Eugene Bakin" w:id="21" w:date="2026-01-17T20:56:06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Стоит сравнить средний балл по KCCQ между группами, а также частоту клинически значимого изменения по KCCQ</w:t>
      </w:r>
    </w:p>
  </w:comment>
  <w:comment w:author="Лена Марочкина" w:id="16" w:date="2026-01-17T20:38:34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Госпитализация и смерть имеют разный клинический вес, а тут мы приравниваем это буквально к 1 событию.</w:t>
      </w:r>
    </w:p>
  </w:comment>
  <w:comment w:author="Лена Марочкина" w:id="17" w:date="2026-01-17T20:38:33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Смерти и госпитализации в одной точке, рекомендую разделить</w:t>
      </w:r>
    </w:p>
  </w:comment>
  <w:comment w:author="Eugene Bakin" w:id="5" w:date="2026-01-17T20:48:46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Достаточно рискнованная конечная точка - что делать, если событие возникнет у сравнительно небольшого процента пациентов? Риск наступления события за время наблюдения кажется более разумным выбором.</w:t>
      </w:r>
    </w:p>
  </w:comment>
  <w:comment w:author="Лена Марочкина" w:id="22" w:date="2026-01-17T20:38:29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 разрешенной терапии в отдельный пункт – не в критериях</w:t>
      </w:r>
    </w:p>
  </w:comment>
  <w:comment w:author="Лена Марочкина" w:id="20" w:date="2026-01-17T20:41:49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проще будет оценить среднее изменение балла между группами и потом посмотреть если оно клинически значимо?</w:t>
      </w:r>
    </w:p>
  </w:comment>
  <w:comment w:author="Eugene Bakin" w:id="15" w:date="2026-01-17T21:42:33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Нигде в анализе не упоминается.</w:t>
      </w:r>
    </w:p>
  </w:comment>
  <w:comment w:author="Лена Марочкина" w:id="25" w:date="2026-01-17T20:39:10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Источники старые, частота событий может быть сильно завышена.</w:t>
      </w:r>
    </w:p>
  </w:comment>
  <w:comment w:author="Eugene Bakin" w:id="12" w:date="2026-01-17T21:42:26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Нигде в анализе не упоминается.</w:t>
      </w:r>
    </w:p>
  </w:comment>
  <w:comment w:author="Eugene Bakin" w:id="9" w:date="2026-01-17T21:40:06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Входит в показатели жизнедеятельности</w:t>
      </w:r>
    </w:p>
  </w:comment>
  <w:comment w:author="Eugene Bakin" w:id="10" w:date="2026-01-17T21:39:29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Выше называлось "Показатели жизнедеятельности"</w:t>
      </w:r>
    </w:p>
  </w:comment>
  <w:comment w:author="Лена Марочкина" w:id="0" w:date="2026-01-17T20:38:47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Придумать, исследований без кода не бывает. Пример: CRAT-2025</w:t>
      </w:r>
    </w:p>
  </w:comment>
  <w:comment w:author="Eugene Bakin" w:id="26" w:date="2026-01-17T21:02:05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для проверки гипотезы будет использована модель Кокса, то метод Каплана-Майера можно убрать во вторичные КТ.</w:t>
      </w:r>
    </w:p>
  </w:comment>
  <w:comment w:author="Eugene Bakin" w:id="14" w:date="2026-01-17T21:23:56Z"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Остальные компоненты биохимии?</w:t>
      </w:r>
    </w:p>
  </w:comment>
  <w:comment w:author="Лена Марочкина" w:id="3" w:date="2026-01-17T20:38:43Z"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2473452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Лучше: оценить эффективность экстракта боярышника по сравнению с плацебо в снижении риска госпитализации по поводу сердечной недостаточности или сердечно-сосудистой смерти у пациентов с ХСН и ФВЛЖ ≤ 40% на фоне оптимальной медикаментозной терапии.</w:t>
          </w:r>
        </w:sdtContent>
      </w:sdt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 ПКТ тут точно говорить не нужно.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это всегда оценить, изучить, но не подтвердить</w:t>
      </w:r>
    </w:p>
  </w:comment>
  <w:comment w:author="Лена Марочкина" w:id="1" w:date="2026-01-17T20:38:45Z"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Расписывать подробнее, период набора пациентов в ходит в 24 месяца 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2200 пациентов за 6 месяцев?</w:t>
      </w:r>
    </w:p>
  </w:comment>
  <w:comment w:author="Eugene Bakin" w:id="11" w:date="2026-01-17T21:23:45Z"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Остальные компоненты биохимии?</w:t>
      </w:r>
    </w:p>
  </w:comment>
  <w:comment w:author="Лена Марочкина" w:id="4" w:date="2026-01-17T20:38:42Z"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значит оценить влияние ? в цели исследования – наступление события, здесь время до события.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Оценить влияние на время – лучше оценить время до события у пациентов, получающих боярышник в сравнении с …</w:t>
      </w:r>
    </w:p>
  </w:comment>
  <w:comment w:author="Лена Марочкина" w:id="2" w:date="2026-01-17T20:38:45Z"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Длительность приема</w:t>
      </w:r>
    </w:p>
  </w:comment>
  <w:comment w:author="Eugene Bakin" w:id="23" w:date="2026-01-17T21:00:04Z"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все-таки риск или время?</w:t>
      </w:r>
    </w:p>
  </w:comment>
  <w:comment w:author="Лена Марочкина" w:id="6" w:date="2026-01-17T20:38:41Z"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оставить в рамках доп задач, не обязательно выносить в отдельный раздел</w:t>
      </w:r>
    </w:p>
  </w:comment>
  <w:comment w:author="Eugene Bakin" w:id="24" w:date="2026-01-17T20:59:29Z"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делать, если результаты  этих двух тестов будут противоречить друг другу?</w:t>
      </w:r>
    </w:p>
  </w:comment>
  <w:comment w:author="Лена Марочкина" w:id="7" w:date="2026-01-17T20:38:40Z"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открытое?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B" w15:done="0"/>
  <w15:commentEx w15:paraId="000000DC" w15:done="0"/>
  <w15:commentEx w15:paraId="000000DD" w15:done="0"/>
  <w15:commentEx w15:paraId="000000DE" w15:done="0"/>
  <w15:commentEx w15:paraId="000000DF" w15:done="0"/>
  <w15:commentEx w15:paraId="000000E0" w15:done="0"/>
  <w15:commentEx w15:paraId="000000E1" w15:done="0"/>
  <w15:commentEx w15:paraId="000000E2" w15:done="0"/>
  <w15:commentEx w15:paraId="000000E3" w15:done="0"/>
  <w15:commentEx w15:paraId="000000E4" w15:done="0"/>
  <w15:commentEx w15:paraId="000000E5" w15:done="0"/>
  <w15:commentEx w15:paraId="000000E6" w15:done="0"/>
  <w15:commentEx w15:paraId="000000E7" w15:done="0"/>
  <w15:commentEx w15:paraId="000000E8" w15:done="0"/>
  <w15:commentEx w15:paraId="000000E9" w15:done="0"/>
  <w15:commentEx w15:paraId="000000EA" w15:done="0"/>
  <w15:commentEx w15:paraId="000000EB" w15:done="0"/>
  <w15:commentEx w15:paraId="000000EC" w15:done="0"/>
  <w15:commentEx w15:paraId="000000F0" w15:done="0"/>
  <w15:commentEx w15:paraId="000000F3" w15:done="0"/>
  <w15:commentEx w15:paraId="000000F4" w15:done="0"/>
  <w15:commentEx w15:paraId="000000F7" w15:done="0"/>
  <w15:commentEx w15:paraId="000000F8" w15:done="0"/>
  <w15:commentEx w15:paraId="000000F9" w15:done="0"/>
  <w15:commentEx w15:paraId="000000FA" w15:done="0"/>
  <w15:commentEx w15:paraId="000000FB" w15:done="0"/>
  <w15:commentEx w15:paraId="000000F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Gungsuh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85" w:hanging="495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567"/>
        <w:tab w:val="left" w:leader="none" w:pos="992"/>
      </w:tabs>
      <w:spacing w:before="480" w:line="360" w:lineRule="auto"/>
      <w:ind w:left="1423" w:hanging="430.99999999999994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before="360" w:line="360" w:lineRule="auto"/>
      <w:ind w:left="576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  <w:ind w:left="720" w:hanging="720"/>
      <w:jc w:val="both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20" w:line="259" w:lineRule="auto"/>
      <w:ind w:left="864" w:hanging="864"/>
    </w:pPr>
    <w:rPr>
      <w:rFonts w:ascii="Times New Roman" w:cs="Times New Roman" w:eastAsia="Times New Roman" w:hAnsi="Times New Roman"/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120" w:lineRule="auto"/>
      <w:ind w:left="1008" w:hanging="1008"/>
      <w:jc w:val="both"/>
    </w:pPr>
    <w:rPr>
      <w:rFonts w:ascii="Times New Roman" w:cs="Times New Roman" w:eastAsia="Times New Roman" w:hAnsi="Times New Roman"/>
      <w:i w:val="1"/>
      <w:iCs w:val="1"/>
      <w:color w:val="000000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  <w:ind w:left="1152" w:hanging="1152"/>
    </w:pPr>
    <w:rPr>
      <w:rFonts w:ascii="Calibri" w:cs="Calibri" w:eastAsia="Calibri" w:hAnsi="Calibri"/>
      <w:color w:val="1f3863"/>
      <w:sz w:val="24"/>
      <w:szCs w:val="24"/>
    </w:rPr>
  </w:style>
  <w:style w:type="paragraph" w:styleId="Title">
    <w:name w:val="Title"/>
    <w:basedOn w:val="Normal"/>
    <w:next w:val="Normal"/>
    <w:pPr>
      <w:spacing w:after="360" w:before="360" w:line="240" w:lineRule="auto"/>
      <w:jc w:val="center"/>
    </w:pPr>
    <w:rPr>
      <w:rFonts w:ascii="Times New Roman" w:cs="Times New Roman" w:eastAsia="Times New Roman" w:hAnsi="Times New Roman"/>
      <w:b w:val="1"/>
      <w:bCs w:val="1"/>
      <w:smallCap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0"/>
    <w:uiPriority w:val="9"/>
    <w:unhideWhenUsed w:val="1"/>
    <w:qFormat w:val="1"/>
    <w:rsid w:val="00F55835"/>
    <w:pPr>
      <w:keepNext w:val="1"/>
      <w:keepLines w:val="1"/>
      <w:spacing w:after="0" w:before="40" w:line="259" w:lineRule="auto"/>
      <w:ind w:left="1296" w:hanging="1296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  <w:sz w:val="24"/>
    </w:rPr>
  </w:style>
  <w:style w:type="paragraph" w:styleId="8">
    <w:name w:val="heading 8"/>
    <w:basedOn w:val="a1"/>
    <w:next w:val="a1"/>
    <w:link w:val="80"/>
    <w:uiPriority w:val="9"/>
    <w:unhideWhenUsed w:val="1"/>
    <w:qFormat w:val="1"/>
    <w:rsid w:val="00F55835"/>
    <w:pPr>
      <w:keepNext w:val="1"/>
      <w:keepLines w:val="1"/>
      <w:spacing w:after="0" w:before="40" w:line="259" w:lineRule="auto"/>
      <w:ind w:left="1440" w:hanging="14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 w:val="1"/>
    <w:qFormat w:val="1"/>
    <w:rsid w:val="00F55835"/>
    <w:pPr>
      <w:keepNext w:val="1"/>
      <w:keepLines w:val="1"/>
      <w:spacing w:after="0" w:before="40" w:line="259" w:lineRule="auto"/>
      <w:ind w:left="1584" w:hanging="1584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21" w:customStyle="1">
    <w:name w:val="Заголовок 2 Знак"/>
    <w:aliases w:val="Heading 2 Char1 Знак,Heading 2 Char Char Знак,Heading 2 Char1 Char Знак,Heading 2 Char Char Char Знак,Heading 2 Char Char1 Знак,Heading 2 Char1 Char1 Char Знак,Heading 2 Char Char Char1 Char Знак"/>
    <w:basedOn w:val="a2"/>
    <w:link w:val="20"/>
    <w:uiPriority w:val="9"/>
    <w:rsid w:val="009F07F9"/>
    <w:rPr>
      <w:rFonts w:cs="Times New Roman" w:eastAsiaTheme="majorEastAsia"/>
      <w:b w:val="1"/>
      <w:bCs w:val="1"/>
    </w:rPr>
  </w:style>
  <w:style w:type="character" w:styleId="10" w:customStyle="1">
    <w:name w:val="Заголовок 1 Знак"/>
    <w:link w:val="1"/>
    <w:uiPriority w:val="9"/>
    <w:qFormat w:val="1"/>
    <w:rsid w:val="009F07F9"/>
    <w:rPr>
      <w:rFonts w:cs="Times New Roman" w:eastAsia="Times New Roman"/>
      <w:b w:val="1"/>
      <w:bCs w:val="1"/>
      <w:color w:val="000000"/>
      <w:sz w:val="28"/>
      <w:szCs w:val="28"/>
    </w:rPr>
  </w:style>
  <w:style w:type="table" w:styleId="a5">
    <w:name w:val="Table Grid"/>
    <w:basedOn w:val="a3"/>
    <w:uiPriority w:val="39"/>
    <w:rsid w:val="005F0832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6">
    <w:name w:val="footer"/>
    <w:basedOn w:val="a1"/>
    <w:link w:val="a7"/>
    <w:uiPriority w:val="99"/>
    <w:unhideWhenUsed w:val="1"/>
    <w:rsid w:val="005B5181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styleId="a7" w:customStyle="1">
    <w:name w:val="Нижний колонтитул Знак"/>
    <w:basedOn w:val="a2"/>
    <w:link w:val="a6"/>
    <w:uiPriority w:val="99"/>
    <w:rsid w:val="005B5181"/>
    <w:rPr>
      <w:rFonts w:ascii="Times New Roman" w:hAnsi="Times New Roman"/>
      <w:sz w:val="24"/>
    </w:rPr>
  </w:style>
  <w:style w:type="paragraph" w:styleId="a8">
    <w:name w:val="List Paragraph"/>
    <w:basedOn w:val="a1"/>
    <w:link w:val="a9"/>
    <w:uiPriority w:val="34"/>
    <w:qFormat w:val="1"/>
    <w:rsid w:val="005B5181"/>
    <w:pPr>
      <w:suppressAutoHyphens w:val="1"/>
      <w:autoSpaceDN w:val="0"/>
      <w:spacing w:after="0"/>
      <w:jc w:val="both"/>
      <w:textAlignment w:val="baseline"/>
    </w:pPr>
    <w:rPr>
      <w:rFonts w:ascii="Times New Roman" w:cs="Times New Roman" w:eastAsia="Calibri" w:hAnsi="Times New Roman"/>
      <w:kern w:val="3"/>
      <w:sz w:val="24"/>
      <w:szCs w:val="20"/>
      <w:lang w:val="en-US"/>
    </w:rPr>
  </w:style>
  <w:style w:type="character" w:styleId="a9" w:customStyle="1">
    <w:name w:val="Абзац списка Знак"/>
    <w:link w:val="a8"/>
    <w:uiPriority w:val="34"/>
    <w:rsid w:val="005B5181"/>
    <w:rPr>
      <w:rFonts w:ascii="Times New Roman" w:cs="Times New Roman" w:eastAsia="Calibri" w:hAnsi="Times New Roman"/>
      <w:kern w:val="3"/>
      <w:sz w:val="24"/>
      <w:szCs w:val="20"/>
      <w:lang w:val="en-US"/>
    </w:rPr>
  </w:style>
  <w:style w:type="paragraph" w:styleId="SDText" w:customStyle="1">
    <w:name w:val="SD_Text"/>
    <w:basedOn w:val="a1"/>
    <w:link w:val="SDText0"/>
    <w:qFormat w:val="1"/>
    <w:rsid w:val="005B5181"/>
    <w:pPr>
      <w:spacing w:after="0"/>
      <w:jc w:val="both"/>
    </w:pPr>
    <w:rPr>
      <w:rFonts w:ascii="Times New Roman" w:cs="Times New Roman" w:eastAsia="Times New Roman" w:hAnsi="Times New Roman"/>
      <w:color w:val="000000"/>
      <w:sz w:val="24"/>
      <w:szCs w:val="28"/>
      <w:lang w:eastAsia="ru-RU"/>
    </w:rPr>
  </w:style>
  <w:style w:type="character" w:styleId="SDText0" w:customStyle="1">
    <w:name w:val="SD_Text Знак"/>
    <w:basedOn w:val="10"/>
    <w:link w:val="SDText"/>
    <w:rsid w:val="005B5181"/>
    <w:rPr>
      <w:rFonts w:ascii="Times New Roman" w:cs="Times New Roman" w:eastAsia="Times New Roman" w:hAnsi="Times New Roman"/>
      <w:b w:val="0"/>
      <w:bCs w:val="0"/>
      <w:color w:val="000000"/>
      <w:sz w:val="24"/>
      <w:szCs w:val="28"/>
      <w:lang w:eastAsia="ru-RU"/>
    </w:rPr>
  </w:style>
  <w:style w:type="paragraph" w:styleId="Standard" w:customStyle="1">
    <w:name w:val="Standard"/>
    <w:rsid w:val="005B5181"/>
    <w:pPr>
      <w:suppressAutoHyphens w:val="1"/>
      <w:autoSpaceDN w:val="0"/>
      <w:spacing w:after="0" w:line="240" w:lineRule="auto"/>
      <w:jc w:val="both"/>
      <w:textAlignment w:val="baseline"/>
    </w:pPr>
    <w:rPr>
      <w:rFonts w:ascii="Arial" w:cs="Times New Roman" w:eastAsia="Calibri" w:hAnsi="Arial"/>
      <w:kern w:val="3"/>
      <w:szCs w:val="20"/>
      <w:lang w:val="en-US"/>
    </w:rPr>
  </w:style>
  <w:style w:type="paragraph" w:styleId="a">
    <w:name w:val="List Number"/>
    <w:basedOn w:val="a1"/>
    <w:uiPriority w:val="2"/>
    <w:qFormat w:val="1"/>
    <w:rsid w:val="00F55835"/>
    <w:pPr>
      <w:numPr>
        <w:numId w:val="10"/>
      </w:numPr>
      <w:tabs>
        <w:tab w:val="clear" w:pos="360"/>
      </w:tabs>
      <w:spacing w:after="120" w:line="240" w:lineRule="auto"/>
      <w:jc w:val="both"/>
    </w:pPr>
    <w:rPr>
      <w:rFonts w:ascii="Times New Roman" w:cs="Times New Roman" w:eastAsia="Times New Roman" w:hAnsi="Times New Roman"/>
      <w:sz w:val="28"/>
    </w:rPr>
  </w:style>
  <w:style w:type="paragraph" w:styleId="2">
    <w:name w:val="List Bullet 2"/>
    <w:basedOn w:val="a1"/>
    <w:uiPriority w:val="39"/>
    <w:rsid w:val="00F55835"/>
    <w:pPr>
      <w:numPr>
        <w:numId w:val="11"/>
      </w:numPr>
      <w:spacing w:after="120" w:line="240" w:lineRule="auto"/>
      <w:jc w:val="both"/>
    </w:pPr>
    <w:rPr>
      <w:rFonts w:ascii="Times New Roman" w:cs="Times New Roman" w:eastAsia="Times New Roman" w:hAnsi="Times New Roman"/>
      <w:sz w:val="28"/>
    </w:rPr>
  </w:style>
  <w:style w:type="character" w:styleId="30" w:customStyle="1">
    <w:name w:val="Заголовок 3 Знак"/>
    <w:aliases w:val="Heading 3 Char1 Знак,Heading 3 Char Char Знак,Heading 3 Char1 Char Char Знак,Heading 3 Char Char Char Char Знак,Heading 3 Char1 Char Char Char Char Знак,Heading 3 Char Char Char Char Char Char Знак,Heading 3 Char1 Char1 Char Знак"/>
    <w:basedOn w:val="a2"/>
    <w:link w:val="3"/>
    <w:uiPriority w:val="9"/>
    <w:rsid w:val="00F55835"/>
    <w:rPr>
      <w:rFonts w:ascii="Times New Roman" w:hAnsi="Times New Roman" w:cstheme="majorBidi" w:eastAsiaTheme="majorEastAsia"/>
      <w:b w:val="1"/>
      <w:color w:val="000000" w:themeColor="text1"/>
      <w:sz w:val="28"/>
      <w:szCs w:val="24"/>
      <w:lang w:eastAsia="ru-RU"/>
    </w:rPr>
  </w:style>
  <w:style w:type="character" w:styleId="40" w:customStyle="1">
    <w:name w:val="Заголовок 4 Знак"/>
    <w:basedOn w:val="a2"/>
    <w:link w:val="4"/>
    <w:uiPriority w:val="9"/>
    <w:rsid w:val="00F55835"/>
    <w:rPr>
      <w:rFonts w:ascii="Times New Roman" w:hAnsi="Times New Roman" w:cstheme="majorBidi" w:eastAsiaTheme="majorEastAsia"/>
      <w:b w:val="1"/>
      <w:i w:val="1"/>
      <w:iCs w:val="1"/>
      <w:color w:val="000000" w:themeColor="text1"/>
      <w:sz w:val="24"/>
    </w:rPr>
  </w:style>
  <w:style w:type="character" w:styleId="50" w:customStyle="1">
    <w:name w:val="Заголовок 5 Знак"/>
    <w:basedOn w:val="a2"/>
    <w:link w:val="5"/>
    <w:uiPriority w:val="9"/>
    <w:rsid w:val="00F55835"/>
    <w:rPr>
      <w:rFonts w:ascii="Times New Roman" w:eastAsia="Times New Roman" w:hAnsi="Times New Roman" w:cstheme="majorBidi"/>
      <w:i w:val="1"/>
      <w:color w:val="000000" w:themeColor="text1"/>
      <w:sz w:val="24"/>
      <w:lang w:eastAsia="ru-RU"/>
    </w:rPr>
  </w:style>
  <w:style w:type="character" w:styleId="60" w:customStyle="1">
    <w:name w:val="Заголовок 6 Знак"/>
    <w:basedOn w:val="a2"/>
    <w:link w:val="6"/>
    <w:uiPriority w:val="9"/>
    <w:rsid w:val="00F55835"/>
    <w:rPr>
      <w:rFonts w:asciiTheme="majorHAnsi" w:cstheme="majorBidi" w:eastAsiaTheme="majorEastAsia" w:hAnsiTheme="majorHAnsi"/>
      <w:color w:val="1f3763" w:themeColor="accent1" w:themeShade="00007F"/>
      <w:sz w:val="24"/>
    </w:rPr>
  </w:style>
  <w:style w:type="character" w:styleId="70" w:customStyle="1">
    <w:name w:val="Заголовок 7 Знак"/>
    <w:basedOn w:val="a2"/>
    <w:link w:val="7"/>
    <w:uiPriority w:val="9"/>
    <w:rsid w:val="00F55835"/>
    <w:rPr>
      <w:rFonts w:asciiTheme="majorHAnsi" w:cstheme="majorBidi" w:eastAsiaTheme="majorEastAsia" w:hAnsiTheme="majorHAnsi"/>
      <w:i w:val="1"/>
      <w:iCs w:val="1"/>
      <w:color w:val="1f3763" w:themeColor="accent1" w:themeShade="00007F"/>
      <w:sz w:val="24"/>
    </w:rPr>
  </w:style>
  <w:style w:type="character" w:styleId="80" w:customStyle="1">
    <w:name w:val="Заголовок 8 Знак"/>
    <w:basedOn w:val="a2"/>
    <w:link w:val="8"/>
    <w:uiPriority w:val="9"/>
    <w:rsid w:val="00F5583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90" w:customStyle="1">
    <w:name w:val="Заголовок 9 Знак"/>
    <w:basedOn w:val="a2"/>
    <w:link w:val="9"/>
    <w:uiPriority w:val="9"/>
    <w:rsid w:val="00F5583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Dpicture" w:customStyle="1">
    <w:name w:val="SD_picture"/>
    <w:basedOn w:val="SDText"/>
    <w:qFormat w:val="1"/>
    <w:rsid w:val="00F55835"/>
    <w:rPr>
      <w:rFonts w:cstheme="minorBidi" w:eastAsiaTheme="minorHAnsi"/>
      <w:i w:val="1"/>
      <w:color w:val="auto"/>
      <w:szCs w:val="22"/>
    </w:rPr>
  </w:style>
  <w:style w:type="paragraph" w:styleId="a0">
    <w:name w:val="List Bullet"/>
    <w:basedOn w:val="a1"/>
    <w:uiPriority w:val="99"/>
    <w:unhideWhenUsed w:val="1"/>
    <w:rsid w:val="00A07B8C"/>
    <w:pPr>
      <w:numPr>
        <w:numId w:val="17"/>
      </w:numPr>
      <w:contextualSpacing w:val="1"/>
    </w:pPr>
  </w:style>
  <w:style w:type="character" w:styleId="aa">
    <w:name w:val="Strong"/>
    <w:basedOn w:val="a2"/>
    <w:uiPriority w:val="22"/>
    <w:qFormat w:val="1"/>
    <w:rsid w:val="003D32F1"/>
    <w:rPr>
      <w:b w:val="1"/>
      <w:bCs w:val="1"/>
      <w:lang w:val="ru-RU"/>
    </w:rPr>
  </w:style>
  <w:style w:type="character" w:styleId="ac" w:customStyle="1">
    <w:name w:val="Название Знак"/>
    <w:basedOn w:val="a2"/>
    <w:link w:val="ab"/>
    <w:uiPriority w:val="10"/>
    <w:rsid w:val="003D32F1"/>
    <w:rPr>
      <w:rFonts w:ascii="Times New Roman" w:hAnsi="Times New Roman" w:cstheme="majorBidi" w:eastAsiaTheme="majorEastAsia"/>
      <w:b w:val="1"/>
      <w:caps w:val="1"/>
      <w:kern w:val="28"/>
      <w:sz w:val="32"/>
      <w:szCs w:val="56"/>
    </w:rPr>
  </w:style>
  <w:style w:type="character" w:styleId="ad">
    <w:name w:val="annotation reference"/>
    <w:basedOn w:val="a2"/>
    <w:uiPriority w:val="99"/>
    <w:semiHidden w:val="1"/>
    <w:unhideWhenUsed w:val="1"/>
    <w:rsid w:val="002546B1"/>
    <w:rPr>
      <w:sz w:val="16"/>
      <w:szCs w:val="16"/>
    </w:rPr>
  </w:style>
  <w:style w:type="paragraph" w:styleId="ae">
    <w:name w:val="annotation text"/>
    <w:basedOn w:val="a1"/>
    <w:link w:val="af"/>
    <w:uiPriority w:val="99"/>
    <w:semiHidden w:val="1"/>
    <w:unhideWhenUsed w:val="1"/>
    <w:rsid w:val="002546B1"/>
    <w:pPr>
      <w:spacing w:line="240" w:lineRule="auto"/>
    </w:pPr>
    <w:rPr>
      <w:sz w:val="20"/>
      <w:szCs w:val="20"/>
    </w:rPr>
  </w:style>
  <w:style w:type="character" w:styleId="af" w:customStyle="1">
    <w:name w:val="Текст примечания Знак"/>
    <w:basedOn w:val="a2"/>
    <w:link w:val="ae"/>
    <w:uiPriority w:val="99"/>
    <w:semiHidden w:val="1"/>
    <w:rsid w:val="002546B1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 w:val="1"/>
    <w:unhideWhenUsed w:val="1"/>
    <w:rsid w:val="002546B1"/>
    <w:rPr>
      <w:b w:val="1"/>
      <w:bCs w:val="1"/>
    </w:rPr>
  </w:style>
  <w:style w:type="character" w:styleId="af1" w:customStyle="1">
    <w:name w:val="Тема примечания Знак"/>
    <w:basedOn w:val="af"/>
    <w:link w:val="af0"/>
    <w:uiPriority w:val="99"/>
    <w:semiHidden w:val="1"/>
    <w:rsid w:val="002546B1"/>
    <w:rPr>
      <w:b w:val="1"/>
      <w:bCs w:val="1"/>
      <w:sz w:val="20"/>
      <w:szCs w:val="20"/>
    </w:rPr>
  </w:style>
  <w:style w:type="paragraph" w:styleId="af2">
    <w:name w:val="Balloon Text"/>
    <w:basedOn w:val="a1"/>
    <w:link w:val="af3"/>
    <w:uiPriority w:val="99"/>
    <w:semiHidden w:val="1"/>
    <w:unhideWhenUsed w:val="1"/>
    <w:rsid w:val="002546B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f3" w:customStyle="1">
    <w:name w:val="Текст выноски Знак"/>
    <w:basedOn w:val="a2"/>
    <w:link w:val="af2"/>
    <w:uiPriority w:val="99"/>
    <w:semiHidden w:val="1"/>
    <w:rsid w:val="002546B1"/>
    <w:rPr>
      <w:rFonts w:ascii="Segoe UI" w:cs="Segoe UI" w:hAnsi="Segoe UI"/>
      <w:sz w:val="18"/>
      <w:szCs w:val="18"/>
    </w:rPr>
  </w:style>
  <w:style w:type="paragraph" w:styleId="af4">
    <w:name w:val="footnote text"/>
    <w:basedOn w:val="a1"/>
    <w:link w:val="af5"/>
    <w:uiPriority w:val="99"/>
    <w:semiHidden w:val="1"/>
    <w:unhideWhenUsed w:val="1"/>
    <w:rsid w:val="005D50CA"/>
    <w:pPr>
      <w:spacing w:after="0" w:line="240" w:lineRule="auto"/>
    </w:pPr>
    <w:rPr>
      <w:sz w:val="20"/>
      <w:szCs w:val="20"/>
    </w:rPr>
  </w:style>
  <w:style w:type="character" w:styleId="af5" w:customStyle="1">
    <w:name w:val="Текст сноски Знак"/>
    <w:basedOn w:val="a2"/>
    <w:link w:val="af4"/>
    <w:uiPriority w:val="99"/>
    <w:semiHidden w:val="1"/>
    <w:rsid w:val="005D50CA"/>
    <w:rPr>
      <w:sz w:val="20"/>
      <w:szCs w:val="20"/>
    </w:rPr>
  </w:style>
  <w:style w:type="character" w:styleId="af6">
    <w:name w:val="footnote reference"/>
    <w:basedOn w:val="a2"/>
    <w:uiPriority w:val="99"/>
    <w:semiHidden w:val="1"/>
    <w:unhideWhenUsed w:val="1"/>
    <w:rsid w:val="005D50CA"/>
    <w:rPr>
      <w:vertAlign w:val="superscript"/>
    </w:rPr>
  </w:style>
  <w:style w:type="paragraph" w:styleId="af7">
    <w:name w:val="Revision"/>
    <w:hidden w:val="1"/>
    <w:uiPriority w:val="99"/>
    <w:semiHidden w:val="1"/>
    <w:rsid w:val="00C76003"/>
    <w:pPr>
      <w:spacing w:after="0" w:line="240" w:lineRule="auto"/>
    </w:pPr>
  </w:style>
  <w:style w:type="paragraph" w:styleId="af8">
    <w:name w:val="header"/>
    <w:basedOn w:val="a1"/>
    <w:link w:val="af9"/>
    <w:uiPriority w:val="99"/>
    <w:unhideWhenUsed w:val="1"/>
    <w:rsid w:val="006A4D59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styleId="af9" w:customStyle="1">
    <w:name w:val="Верхний колонтитул Знак"/>
    <w:basedOn w:val="a2"/>
    <w:link w:val="af8"/>
    <w:uiPriority w:val="99"/>
    <w:rsid w:val="006A4D59"/>
    <w:rPr>
      <w:rFonts w:ascii="Times New Roman" w:hAnsi="Times New Roman"/>
      <w:sz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hwGQbzLhsWF249f86kAnXYi4w==">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2023-01-13T11:40:00Z</dcterms:created>
  <dc:creator>Александр Бураков</dc:creator>
</cp:coreProperties>
</file>