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A07036" w14:textId="77777777" w:rsidR="005864C2" w:rsidRDefault="003D0DE6">
      <w:pPr>
        <w:pStyle w:val="a4"/>
      </w:pPr>
      <w: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</w:t>
      </w:r>
      <w:r>
        <w:t>са левого желудочка.</w:t>
      </w:r>
    </w:p>
    <w:p w14:paraId="0DFD7BD8" w14:textId="77777777" w:rsidR="005864C2" w:rsidRDefault="003D0DE6">
      <w:pPr>
        <w:pStyle w:val="Author"/>
      </w:pPr>
      <w: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521521364"/>
        <w:docPartObj>
          <w:docPartGallery w:val="Table of Contents"/>
          <w:docPartUnique/>
        </w:docPartObj>
      </w:sdtPr>
      <w:sdtEndPr/>
      <w:sdtContent>
        <w:p w14:paraId="5084D819" w14:textId="77777777" w:rsidR="005864C2" w:rsidRDefault="003D0DE6">
          <w:pPr>
            <w:pStyle w:val="af0"/>
          </w:pPr>
          <w:r>
            <w:t>Оглавление</w:t>
          </w:r>
        </w:p>
        <w:p w14:paraId="13630DA1" w14:textId="77777777" w:rsidR="003D0DE6" w:rsidRDefault="003D0DE6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668756" w:history="1">
            <w:r w:rsidRPr="00DC77AF">
              <w:rPr>
                <w:rStyle w:val="af"/>
                <w:noProof/>
              </w:rPr>
              <w:t>1</w:t>
            </w:r>
            <w:r>
              <w:rPr>
                <w:noProof/>
              </w:rPr>
              <w:tab/>
            </w:r>
            <w:r w:rsidRPr="00DC77AF">
              <w:rPr>
                <w:rStyle w:val="af"/>
                <w:noProof/>
              </w:rPr>
              <w:t>Проверка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8518" w14:textId="77777777" w:rsidR="003D0DE6" w:rsidRDefault="003D0DE6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68757" w:history="1">
            <w:r w:rsidRPr="00DC77AF">
              <w:rPr>
                <w:rStyle w:val="af"/>
                <w:noProof/>
              </w:rPr>
              <w:t>2</w:t>
            </w:r>
            <w:r>
              <w:rPr>
                <w:noProof/>
              </w:rPr>
              <w:tab/>
            </w:r>
            <w:r w:rsidRPr="00DC77AF">
              <w:rPr>
                <w:rStyle w:val="af"/>
                <w:noProof/>
              </w:rPr>
              <w:t>Описательная характеристика показателей на первом визите.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4DEFA" w14:textId="77777777" w:rsidR="003D0DE6" w:rsidRDefault="003D0DE6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68758" w:history="1">
            <w:r w:rsidRPr="00DC77AF">
              <w:rPr>
                <w:rStyle w:val="af"/>
                <w:noProof/>
              </w:rPr>
              <w:t>3</w:t>
            </w:r>
            <w:r>
              <w:rPr>
                <w:noProof/>
              </w:rPr>
              <w:tab/>
            </w:r>
            <w:r w:rsidRPr="00DC77AF">
              <w:rPr>
                <w:rStyle w:val="af"/>
                <w:noProof/>
              </w:rPr>
              <w:t>Анализ 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B274B" w14:textId="77777777" w:rsidR="003D0DE6" w:rsidRDefault="003D0DE6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68759" w:history="1">
            <w:r w:rsidRPr="00DC77AF">
              <w:rPr>
                <w:rStyle w:val="af"/>
                <w:noProof/>
              </w:rPr>
              <w:t>4</w:t>
            </w:r>
            <w:r>
              <w:rPr>
                <w:noProof/>
              </w:rPr>
              <w:tab/>
            </w:r>
            <w:r w:rsidRPr="00DC77AF">
              <w:rPr>
                <w:rStyle w:val="af"/>
                <w:noProof/>
              </w:rPr>
              <w:t>Анализ ВКТ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0F22" w14:textId="77777777" w:rsidR="005864C2" w:rsidRDefault="003D0DE6">
          <w:r>
            <w:fldChar w:fldCharType="end"/>
          </w:r>
        </w:p>
      </w:sdtContent>
    </w:sdt>
    <w:p w14:paraId="0B546F9C" w14:textId="77777777" w:rsidR="005864C2" w:rsidRDefault="003D0DE6">
      <w:pPr>
        <w:pStyle w:val="1"/>
      </w:pPr>
      <w:bookmarkStart w:id="0" w:name="проверка-данных"/>
      <w:bookmarkStart w:id="1" w:name="_Toc219668756"/>
      <w:r>
        <w:rPr>
          <w:rStyle w:val="SectionNumber"/>
        </w:rPr>
        <w:t>1</w:t>
      </w:r>
      <w:r>
        <w:tab/>
        <w:t>Проверка данных</w:t>
      </w:r>
      <w:bookmarkEnd w:id="1"/>
    </w:p>
    <w:p w14:paraId="414A687F" w14:textId="77777777" w:rsidR="005864C2" w:rsidRDefault="003D0DE6">
      <w:pPr>
        <w:pStyle w:val="FirstParagraph"/>
      </w:pPr>
      <w:r>
        <w:t>По доступным данным визита V1 формальные отклонения от критериев включения/невключения были в</w:t>
      </w:r>
      <w:r>
        <w:t>ыявлены у 417 пациентов (19.0%). Основной вклад (398 пациентов, 94.5%) был обусловлен значениями NT-proBNP ниже условно принятого порога ≥600 пг/мл. Следует отметить, что в базе отсутствовали данные о наличии фибрилляции предсердий и недавних госпитализаци</w:t>
      </w:r>
      <w:r>
        <w:t>й по поводу ХСН, что не позволило применить дифференцированные пороги NT-proBNP, предусмотренные протоколом. Кроме того, у 23 пациентов (1.0%) отмечалось снижение eGFR &lt;30 мл/мин/1,73 м². Несмотря на то что снижение eGFR &lt;30 мл/мин/1,73 м² являлось формаль</w:t>
      </w:r>
      <w:r>
        <w:t>ным критерием невключения, данные пациенты не были исключены из основного анализа, который выполнялся по принципу intention-to-treat. Выявленные несоответствия по NT-proBNP следует рассматривать как потенциальные и обусловленные ограничениями доступных дан</w:t>
      </w:r>
      <w:r>
        <w:t>ных.</w:t>
      </w:r>
    </w:p>
    <w:p w14:paraId="5E97AC26" w14:textId="77777777" w:rsidR="005864C2" w:rsidRDefault="003D0DE6">
      <w:pPr>
        <w:pStyle w:val="TableCaption"/>
      </w:pPr>
      <w:bookmarkStart w:id="2" w:name="tab:unnamed-chunk-3"/>
      <w:bookmarkEnd w:id="2"/>
      <w:r>
        <w:lastRenderedPageBreak/>
        <w:t>Table 1.1: Количество пациентов с отклонениями на этапах вкл/искл.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36"/>
        <w:gridCol w:w="820"/>
        <w:gridCol w:w="1548"/>
        <w:gridCol w:w="1659"/>
        <w:gridCol w:w="2278"/>
      </w:tblGrid>
      <w:tr w:rsidR="005864C2" w14:paraId="2192268C" w14:textId="77777777" w:rsidTr="0058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409B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692F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1F38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NT-proBNP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7CF3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СКФ (eGFR)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518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Всего не подошло</w:t>
            </w:r>
          </w:p>
        </w:tc>
      </w:tr>
      <w:tr w:rsidR="005864C2" w14:paraId="01DCFB71" w14:textId="77777777" w:rsidTr="005864C2">
        <w:trPr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D8A6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4289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66DF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398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67F2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681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417</w:t>
            </w:r>
          </w:p>
        </w:tc>
      </w:tr>
    </w:tbl>
    <w:p w14:paraId="15A6D86C" w14:textId="77777777" w:rsidR="005864C2" w:rsidRDefault="003D0DE6">
      <w:pPr>
        <w:pStyle w:val="1"/>
      </w:pPr>
      <w:bookmarkStart w:id="3" w:name="X657eec22441ed9cde3627e94174dae6da5c07fe"/>
      <w:bookmarkStart w:id="4" w:name="_Toc219668757"/>
      <w:bookmarkEnd w:id="0"/>
      <w:r>
        <w:rPr>
          <w:rStyle w:val="SectionNumber"/>
        </w:rPr>
        <w:t>2</w:t>
      </w:r>
      <w:r>
        <w:tab/>
        <w:t>Описательная характеристика показателей на первом визите.</w:t>
      </w:r>
      <w:bookmarkEnd w:id="4"/>
    </w:p>
    <w:p w14:paraId="3CC96DD2" w14:textId="77777777" w:rsidR="005864C2" w:rsidRDefault="003D0DE6">
      <w:pPr>
        <w:pStyle w:val="FirstParagraph"/>
      </w:pPr>
      <w: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</w:t>
      </w:r>
      <w:r>
        <w:t>кг/м², при диапазоне значений от 13.0 до 65.6 кг/м², что соответствует преимущественно избыточной массе тела.</w:t>
      </w:r>
    </w:p>
    <w:p w14:paraId="1686DFD1" w14:textId="77777777" w:rsidR="005864C2" w:rsidRDefault="003D0DE6">
      <w:pPr>
        <w:pStyle w:val="a0"/>
      </w:pPr>
      <w:r>
        <w:t>Исходный уровень NT-proBNP характеризовался выраженной вариабельностью и асимметрией распределения: среднее значение составило 1722.4 ± 1582.1 пг/</w:t>
      </w:r>
      <w:r>
        <w:t>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 w14:paraId="4F451630" w14:textId="77777777" w:rsidR="005864C2" w:rsidRDefault="003D0DE6">
      <w:pPr>
        <w:pStyle w:val="a0"/>
      </w:pPr>
      <w:r>
        <w:t>Качество жизни по шкале KCCQ характеризовалось ум</w:t>
      </w:r>
      <w:r>
        <w:t>еренным снижением: среднее значение общего балла составило 54.7 ± 17.9, медиана - 55 баллов при полном диапазоне значений от 0 до 100.</w:t>
      </w:r>
    </w:p>
    <w:p w14:paraId="2871114C" w14:textId="77777777" w:rsidR="005864C2" w:rsidRDefault="003D0DE6">
      <w:pPr>
        <w:pStyle w:val="a0"/>
      </w:pPr>
      <w:r>
        <w:t xml:space="preserve">В каждую группу лечения было включено по 1100 пациентов. Исходные демографические и клинические характеристики в группах </w:t>
      </w:r>
      <w:r>
        <w:t>Crataegus и Placebo были сопоставимы.</w:t>
      </w:r>
    </w:p>
    <w:p w14:paraId="14B14CA1" w14:textId="77777777" w:rsidR="005864C2" w:rsidRDefault="003D0DE6">
      <w:pPr>
        <w:pStyle w:val="a0"/>
      </w:pPr>
      <w:r>
        <w:t>Средний возраст в группе Crataegus составил 65.9 ± 10.1 года, в группе Placebo 66.4 ± 9.7 года. Антропометрические показатели практически не различались между группами: средний BMI составил 28.5 ± 6.2 кг/м² в группе Crataegus и 28.6 ± 6.4 кг/м² в группе Pl</w:t>
      </w:r>
      <w:r>
        <w:t>acebo.</w:t>
      </w:r>
    </w:p>
    <w:p w14:paraId="70D582EB" w14:textId="77777777" w:rsidR="005864C2" w:rsidRDefault="003D0DE6">
      <w:pPr>
        <w:pStyle w:val="a0"/>
      </w:pPr>
      <w:r>
        <w:t>Показатели функции почек были сходными: средняя СКФ 68.3 ± 17.3 мл/мин в группе Crataegus и 67.9 ± 17.5 мл/мин в группе Placebo, уровни креатинина и калия также не демонстрировали клинически значимых различий.</w:t>
      </w:r>
    </w:p>
    <w:p w14:paraId="4A0C67AF" w14:textId="77777777" w:rsidR="005864C2" w:rsidRDefault="003D0DE6">
      <w:pPr>
        <w:pStyle w:val="a0"/>
      </w:pPr>
      <w:r>
        <w:t>Исходные уровни NT-proBNP были высокими</w:t>
      </w:r>
      <w:r>
        <w:t xml:space="preserve"> и сопоставимыми между группами: среднее значение 1740.4 ± 1629.3 пг/мл в группе Crataegus и 1704.3 ± 1534.1 пг/мл в группе Placebo, медианные значения также близки. Показатели качества жизни по KCCQ были практически идентичны в обеих группах, со средними </w:t>
      </w:r>
      <w:r>
        <w:t>значениями около 55 баллов.</w:t>
      </w:r>
    </w:p>
    <w:p w14:paraId="58F27738" w14:textId="77777777" w:rsidR="005864C2" w:rsidRDefault="003D0DE6">
      <w:pPr>
        <w:pStyle w:val="a0"/>
      </w:pPr>
      <w:r>
        <w:t>Исходные демографические и клинические характеристики пациентов в группах Crataegus и Placebo хорошо сбалансированы, клинически значимых различий между группами на исходном уровне не выявлено.</w:t>
      </w:r>
    </w:p>
    <w:p w14:paraId="68D48698" w14:textId="77777777" w:rsidR="005864C2" w:rsidRDefault="003D0DE6">
      <w:pPr>
        <w:pStyle w:val="TableCaption"/>
      </w:pPr>
      <w:bookmarkStart w:id="5" w:name="tab:tbl-demographics"/>
      <w:bookmarkEnd w:id="5"/>
      <w:r>
        <w:lastRenderedPageBreak/>
        <w:t xml:space="preserve">Table 2.1: Клинико-демографические </w:t>
      </w:r>
      <w:r>
        <w:t>характеристики групп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2900"/>
        <w:gridCol w:w="751"/>
        <w:gridCol w:w="1985"/>
        <w:gridCol w:w="2068"/>
        <w:gridCol w:w="1985"/>
      </w:tblGrid>
      <w:tr w:rsidR="005864C2" w14:paraId="723CD385" w14:textId="77777777" w:rsidTr="0058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C5A9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C703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965D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Placebo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3BE3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Crataegus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451A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5864C2" w14:paraId="54A1CD18" w14:textId="77777777" w:rsidTr="005864C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B987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3FC1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B04C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584 (53%)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831AE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642 (58%)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B532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1,226 (56%)</w:t>
            </w:r>
          </w:p>
        </w:tc>
      </w:tr>
      <w:tr w:rsidR="005864C2" w14:paraId="541980E2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45E7F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0A4D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03866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083A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7C5BC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4B3B4CCA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231C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D34D4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07B1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66.4 (9.7)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DEAA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 (10.1)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30F53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66.1 (9.9)</w:t>
            </w:r>
          </w:p>
        </w:tc>
      </w:tr>
      <w:tr w:rsidR="005864C2" w14:paraId="56877A00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FDC21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CBF7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AAF9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CE3E7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E5D2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</w:tr>
      <w:tr w:rsidR="005864C2" w14:paraId="6B1EF999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048F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Рост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CD6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C9B26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8EDAC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2DCD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3434EBEC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5A461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F9C3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59159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D33D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DB9D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</w:tr>
      <w:tr w:rsidR="005864C2" w14:paraId="16FDAFF2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B82C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5793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81A4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197.8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C60EA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E1C3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</w:tr>
      <w:tr w:rsidR="005864C2" w14:paraId="0BC02661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3865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Масса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5B6F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9B34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0249B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91890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3660FC48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8D177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98A2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662F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81.5 (15.9)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FABB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81.3 (15.3)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B93C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81.4 (15.6)</w:t>
            </w:r>
          </w:p>
        </w:tc>
      </w:tr>
      <w:tr w:rsidR="005864C2" w14:paraId="3FCA9775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BB18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A683EB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1F9D6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135.0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703E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DED0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</w:tr>
      <w:tr w:rsidR="005864C2" w14:paraId="42A28296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2137A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Индекс массы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60B4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F83F46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05EE9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5DB80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7DAFFED8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87A1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1077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8602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28.6 (6.4)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CD49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846F5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(6.3)</w:t>
            </w:r>
          </w:p>
        </w:tc>
      </w:tr>
      <w:tr w:rsidR="005864C2" w14:paraId="015A06C6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0A50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88B82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CE56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13.1 – 56.1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63F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9027F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</w:tr>
      <w:tr w:rsidR="005864C2" w14:paraId="35B10A3A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29DD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KCCQ Overall Score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D242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FFD33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166FD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8F37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24780372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E21F6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DC4F9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6607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54.0 (43.0; 66.5)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0BFB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98295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</w:tr>
      <w:tr w:rsidR="005864C2" w14:paraId="3AAD07A0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8EF7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7E499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9B425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0E53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F6D09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</w:tr>
      <w:tr w:rsidR="005864C2" w14:paraId="2EA3DD00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A45C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ЧСС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426D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37C8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DCA5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120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96B3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5864C2" w14:paraId="2E667D1E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621AA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ЧДД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611E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88C9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6BBB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B8E15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204 (9.3%)</w:t>
            </w:r>
          </w:p>
        </w:tc>
      </w:tr>
      <w:tr w:rsidR="005864C2" w14:paraId="13492EC5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AB84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АД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D11A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A150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0632B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D5848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(11%)</w:t>
            </w:r>
          </w:p>
        </w:tc>
      </w:tr>
      <w:tr w:rsidR="005864C2" w14:paraId="6058E4D6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3F03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температуры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4489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1F9E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D41C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(9.5%)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C22D8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221 (10%)</w:t>
            </w:r>
          </w:p>
        </w:tc>
      </w:tr>
      <w:tr w:rsidR="005864C2" w14:paraId="10FF88D1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4FD54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Гемоглобин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7234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1EE2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A3C50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D8A35B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501F4AC9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307A9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BC353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14A8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F3FA5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D9019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</w:tr>
      <w:tr w:rsidR="005864C2" w14:paraId="3A77E8C8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4D2C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68990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8236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 – 18.0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38C0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EA47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18.0</w:t>
            </w:r>
          </w:p>
        </w:tc>
      </w:tr>
      <w:tr w:rsidR="005864C2" w14:paraId="6FBDBAE1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A170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Лейкоциты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311C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D169F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98EC1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65669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168BB344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7478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40786F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592B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 (2.1)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E558D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8EC79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</w:tr>
      <w:tr w:rsidR="005864C2" w14:paraId="37A350A2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68EF2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AB6E8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C163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C5E3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A867C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</w:tr>
      <w:tr w:rsidR="005864C2" w14:paraId="054170D1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927E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Тромбоциты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5D771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F0FA4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F7CF56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9D80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32BF85D0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1C77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9DC2ED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4BB56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241.0 (62.7)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7ABF7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241.8 (59.3)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098B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241.4 (61.0)</w:t>
            </w:r>
          </w:p>
        </w:tc>
      </w:tr>
      <w:tr w:rsidR="005864C2" w14:paraId="3570C7CB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D548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0A252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0178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946E7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416.0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F8B5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</w:tr>
      <w:tr w:rsidR="005864C2" w14:paraId="29CF0695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AD8C0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NT-proBNP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E1440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C9551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F9222A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061A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56C5BA8C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3C3D7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F1F6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4811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1,240.5 (716.0; 2,123.5)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944E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1,253.0 (723.0; 2,162.0)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5C51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1,251.0 (720.0; 2,147.5)</w:t>
            </w:r>
          </w:p>
        </w:tc>
      </w:tr>
      <w:tr w:rsidR="005864C2" w14:paraId="0B1E4B79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26E7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A5A53F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15B3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83.0 – 14,282.0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469E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07DF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</w:tr>
      <w:tr w:rsidR="005864C2" w14:paraId="251D2653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21E6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Креатинин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506C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28E7C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104BC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F8A65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79F5D67E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540BB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1D228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8133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6C24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91E8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</w:tr>
      <w:tr w:rsidR="005864C2" w14:paraId="45360466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32A6B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2BFEE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F9D43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4E47A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E873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</w:tr>
      <w:tr w:rsidR="005864C2" w14:paraId="197A9654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5398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СКФ (исходная)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D152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13FAD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4A6C4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E7BA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244EFA13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E5D42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07D7FF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61B9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67.9 (17.5)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D546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68.3 (17.3)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C10D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68.1 (17.4)</w:t>
            </w:r>
          </w:p>
        </w:tc>
      </w:tr>
      <w:tr w:rsidR="005864C2" w14:paraId="59EF6A9D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C68F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B2CEAE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AF969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2081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19.0 – 128.0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6D01E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128.0</w:t>
            </w:r>
          </w:p>
        </w:tc>
      </w:tr>
      <w:tr w:rsidR="005864C2" w14:paraId="7C50E702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9E59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Калий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8F86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6DF2D0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08F14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CF0DC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522A8484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B35A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73B17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2A3E5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6470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0CD2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</w:tr>
      <w:tr w:rsidR="005864C2" w14:paraId="66EA043C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A9CC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CB264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4801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2E36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B83B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</w:tr>
      <w:tr w:rsidR="005864C2" w14:paraId="676DE81A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1678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Нарушение ритма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CCDC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F262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F89936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A990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229 (10%)</w:t>
            </w:r>
          </w:p>
        </w:tc>
      </w:tr>
      <w:tr w:rsidR="005864C2" w14:paraId="0A4AD503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E149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Изменения ST-T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9F62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5CAB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3F2C1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C5FF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5864C2" w14:paraId="46A9D6BB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A89B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QT-аномалия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2F39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809A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(9.2%)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861F2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722A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(9.7%)</w:t>
            </w:r>
          </w:p>
        </w:tc>
      </w:tr>
      <w:tr w:rsidR="005864C2" w14:paraId="155FE4FB" w14:textId="77777777" w:rsidTr="005864C2">
        <w:trPr>
          <w:jc w:val="center"/>
        </w:trPr>
        <w:tc>
          <w:tcPr>
            <w:tcW w:w="0" w:type="auto"/>
            <w:gridSpan w:val="5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FB14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1AE0270F" w14:textId="77777777" w:rsidR="005864C2" w:rsidRDefault="003D0DE6">
      <w:pPr>
        <w:pStyle w:val="1"/>
      </w:pPr>
      <w:bookmarkStart w:id="6" w:name="анализ-пкт"/>
      <w:bookmarkStart w:id="7" w:name="_Toc219668758"/>
      <w:bookmarkEnd w:id="3"/>
      <w:r>
        <w:rPr>
          <w:rStyle w:val="SectionNumber"/>
        </w:rPr>
        <w:t>3</w:t>
      </w:r>
      <w:r>
        <w:tab/>
        <w:t>Анализ ПКТ</w:t>
      </w:r>
      <w:bookmarkEnd w:id="7"/>
    </w:p>
    <w:p w14:paraId="244734EE" w14:textId="77777777" w:rsidR="005864C2" w:rsidRDefault="003D0DE6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 w14:paraId="5AC65711" w14:textId="77777777" w:rsidR="005864C2" w:rsidRDefault="003D0DE6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</w:t>
      </w:r>
      <w:r>
        <w:t>ти рисков (тест на основе остатков Шонфилда). Результаты теста (p=0.28 для группы терапии и p=0.28 для модели в целом) подтверждают соблюдение допущения о пропорциональности рисков. Это позволяет считать полученную оценку Hazard Ratio (HR) корректной и ста</w:t>
      </w:r>
      <w:r>
        <w:t>бильной на всем интервале наблюдения (24 месяца).</w:t>
      </w:r>
    </w:p>
    <w:p w14:paraId="06070165" w14:textId="77777777" w:rsidR="005864C2" w:rsidRDefault="003D0DE6">
      <w:pPr>
        <w:pStyle w:val="a0"/>
      </w:pPr>
      <w:r>
        <w:lastRenderedPageBreak/>
        <w:t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</w:t>
      </w:r>
      <w:r>
        <w:t>кта боярышника не приносит дополнительного статистически значимого снижения риска по жестким конечным точкам.</w:t>
      </w:r>
    </w:p>
    <w:p w14:paraId="55CD277A" w14:textId="77777777" w:rsidR="005864C2" w:rsidRDefault="003D0DE6">
      <w:pPr>
        <w:pStyle w:val="TableCaption"/>
      </w:pPr>
      <w:bookmarkStart w:id="8" w:name="tab:unnamed-chunk-4"/>
      <w:bookmarkEnd w:id="8"/>
      <w:r>
        <w:t>Table 3.1: Результаты анализа пропорциональных рисков Кокса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3521"/>
        <w:gridCol w:w="1421"/>
        <w:gridCol w:w="2553"/>
        <w:gridCol w:w="2194"/>
      </w:tblGrid>
      <w:tr w:rsidR="005864C2" w14:paraId="11D1226A" w14:textId="77777777" w:rsidTr="0058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05E7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4F1B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8F3D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E243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5864C2" w14:paraId="0A124E77" w14:textId="77777777" w:rsidTr="005864C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1EADA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groupPlacebo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B811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B03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0.92-1.11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C55BE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</w:tr>
    </w:tbl>
    <w:p w14:paraId="7B58E931" w14:textId="77777777" w:rsidR="005864C2" w:rsidRDefault="003D0DE6">
      <w:pPr>
        <w:pStyle w:val="a0"/>
      </w:pPr>
      <w:r>
        <w:rPr>
          <w:noProof/>
        </w:rPr>
        <w:drawing>
          <wp:inline distT="0" distB="0" distL="0" distR="0" wp14:anchorId="7DB249E6" wp14:editId="3BC9FE68">
            <wp:extent cx="5334000" cy="400050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70553" w14:textId="77777777" w:rsidR="005864C2" w:rsidRDefault="003D0DE6">
      <w:pPr>
        <w:pStyle w:val="1"/>
      </w:pPr>
      <w:bookmarkStart w:id="9" w:name="анализ-вкт"/>
      <w:bookmarkStart w:id="10" w:name="_Toc219668759"/>
      <w:bookmarkEnd w:id="6"/>
      <w:r>
        <w:rPr>
          <w:rStyle w:val="SectionNumber"/>
        </w:rPr>
        <w:t>4</w:t>
      </w:r>
      <w:r>
        <w:tab/>
      </w:r>
      <w:r>
        <w:t>Анализ ВКТ</w:t>
      </w:r>
      <w:bookmarkEnd w:id="10"/>
    </w:p>
    <w:p w14:paraId="4B93F2D4" w14:textId="77777777" w:rsidR="005864C2" w:rsidRDefault="003D0DE6">
      <w:pPr>
        <w:pStyle w:val="FirstParagraph"/>
      </w:pPr>
      <w:r>
        <w:t>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плацебо. Кривые выживаемости (Каплана-Мейера) демонстрируют высокую степень конгруэнтности на протяжен</w:t>
      </w:r>
      <w:r>
        <w:t>ии всего 24-месячного периода наблюдения. Выраженная суперпозиция доверительных интервалов подтверждает отсутствие превосходства исследуемой терапии над контрольной группой.</w:t>
      </w:r>
    </w:p>
    <w:p w14:paraId="05D79945" w14:textId="77777777" w:rsidR="005864C2" w:rsidRDefault="003D0DE6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"Strata"</w:t>
      </w:r>
    </w:p>
    <w:p w14:paraId="3B1F8EE9" w14:textId="77777777" w:rsidR="005864C2" w:rsidRDefault="003D0DE6">
      <w:pPr>
        <w:pStyle w:val="FirstParagraph"/>
      </w:pPr>
      <w:r>
        <w:rPr>
          <w:noProof/>
        </w:rPr>
        <w:lastRenderedPageBreak/>
        <w:drawing>
          <wp:inline distT="0" distB="0" distL="0" distR="0" wp14:anchorId="4F31AD61" wp14:editId="3FD534A9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Значение p=1(крайне редкое дл</w:t>
      </w:r>
      <w:r>
        <w:t>я реальных данных) указывает на абсолютную идентичность кривых накопления событий госпитализации в обеих группах. Это означает, что вероятность попасть в больницу с декомпенсацией СН была абсолютно одинаковой как для пациентов, принимавших Crataegus, так и</w:t>
      </w:r>
      <w:r>
        <w:t xml:space="preserve"> для группы контроля.</w:t>
      </w:r>
    </w:p>
    <w:p w14:paraId="44BA45E1" w14:textId="77777777" w:rsidR="005864C2" w:rsidRDefault="003D0DE6">
      <w:pPr>
        <w:pStyle w:val="a0"/>
      </w:pPr>
      <w:r>
        <w:t>В отношении наиболее «жесткой» точки — смертности — наблюдается минимальное, статистически незначимое расхождение кривых.</w:t>
      </w:r>
    </w:p>
    <w:p w14:paraId="39179C49" w14:textId="77777777" w:rsidR="005864C2" w:rsidRDefault="003D0DE6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59D3644D" w14:textId="77777777" w:rsidR="005864C2" w:rsidRDefault="003D0DE6">
      <w:pPr>
        <w:pStyle w:val="FirstParagraph"/>
      </w:pPr>
      <w:r>
        <w:rPr>
          <w:noProof/>
        </w:rPr>
        <w:lastRenderedPageBreak/>
        <w:drawing>
          <wp:inline distT="0" distB="0" distL="0" distR="0" wp14:anchorId="715209BD" wp14:editId="734C8966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or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BB843" w14:textId="77777777" w:rsidR="005864C2" w:rsidRDefault="003D0DE6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4598B775" w14:textId="77777777" w:rsidR="005864C2" w:rsidRDefault="003D0DE6">
      <w:pPr>
        <w:pStyle w:val="FirstParagraph"/>
      </w:pPr>
      <w:r>
        <w:rPr>
          <w:noProof/>
        </w:rPr>
        <w:lastRenderedPageBreak/>
        <w:drawing>
          <wp:inline distT="0" distB="0" distL="0" distR="0" wp14:anchorId="5A400411" wp14:editId="64E8DD4F">
            <wp:extent cx="5334000" cy="42672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ort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2EA89" w14:textId="77777777" w:rsidR="005864C2" w:rsidRDefault="003D0DE6">
      <w:pPr>
        <w:pStyle w:val="a0"/>
      </w:pPr>
      <w:r>
        <w:t>Анализ и</w:t>
      </w:r>
      <w:r>
        <w:t>зменение качества жизни по шкале KCCQ проводился с помощью ANCOVA.</w:t>
      </w:r>
    </w:p>
    <w:p w14:paraId="66AC33E1" w14:textId="77777777" w:rsidR="005864C2" w:rsidRDefault="003D0DE6">
      <w:pPr>
        <w:pStyle w:val="TableCaption"/>
      </w:pPr>
      <w:bookmarkStart w:id="11" w:name="tab:unnamed-chunk-8"/>
      <w:bookmarkEnd w:id="11"/>
      <w:r>
        <w:t>Table 4.1: Частота регистрации сердечно-сосудистых осложнений и летальных исходов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7364"/>
        <w:gridCol w:w="2325"/>
      </w:tblGrid>
      <w:tr w:rsidR="005864C2" w14:paraId="3A0D7C7C" w14:textId="77777777" w:rsidTr="0058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F1BB9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7720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5864C2" w14:paraId="11016018" w14:textId="77777777" w:rsidTr="005864C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D7F0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Тип зарегистрированного осложнения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E4106" w14:textId="77777777" w:rsidR="005864C2" w:rsidRDefault="005864C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864C2" w14:paraId="2A37CD2A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0352F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CENSORED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953C5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472 (21%)</w:t>
            </w:r>
          </w:p>
        </w:tc>
      </w:tr>
      <w:tr w:rsidR="005864C2" w14:paraId="7D0D9478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680A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CV_DEATH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24995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5864C2" w14:paraId="5F5AD7C9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5BA6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HF_HOSP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CD02B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1,219 (55%)</w:t>
            </w:r>
          </w:p>
        </w:tc>
      </w:tr>
      <w:tr w:rsidR="005864C2" w14:paraId="770E5AF7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535E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12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C0B5E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340 (15%)</w:t>
            </w:r>
          </w:p>
        </w:tc>
      </w:tr>
      <w:tr w:rsidR="005864C2" w14:paraId="4B5D4F04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4BAF3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24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4FAFC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5864C2" w14:paraId="707767D6" w14:textId="77777777" w:rsidTr="005864C2">
        <w:trPr>
          <w:jc w:val="center"/>
        </w:trPr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D328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2FD768F1" w14:textId="77777777" w:rsidR="005864C2" w:rsidRDefault="003D0DE6">
      <w:pPr>
        <w:pStyle w:val="a0"/>
      </w:pPr>
      <w:r>
        <w:t>ANCOVA</w:t>
      </w:r>
    </w:p>
    <w:p w14:paraId="75E1A41D" w14:textId="77777777" w:rsidR="005864C2" w:rsidRDefault="003D0DE6">
      <w:pPr>
        <w:pStyle w:val="TableCaption"/>
      </w:pPr>
      <w:bookmarkStart w:id="12" w:name="tab:ancova"/>
      <w:bookmarkEnd w:id="12"/>
      <w:r>
        <w:t xml:space="preserve">Table 4.2: </w:t>
      </w:r>
      <w:r>
        <w:t>Оценка межгрупповых различий качества жизни (KCCQ) с поправкой на исходный уровень (ANCOVA)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477"/>
        <w:gridCol w:w="5979"/>
        <w:gridCol w:w="2233"/>
      </w:tblGrid>
      <w:tr w:rsidR="005864C2" w14:paraId="200044AE" w14:textId="77777777" w:rsidTr="0058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1E012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Визит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E165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Межгрупповая разница (95% ДИ)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BCE9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p-значение</w:t>
            </w:r>
          </w:p>
        </w:tc>
      </w:tr>
      <w:tr w:rsidR="005864C2" w14:paraId="3F41B55F" w14:textId="77777777" w:rsidTr="005864C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793F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12 мес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33807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 (-1.00; 1.53)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3638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0.678</w:t>
            </w:r>
          </w:p>
        </w:tc>
      </w:tr>
      <w:tr w:rsidR="005864C2" w14:paraId="48B17A33" w14:textId="77777777" w:rsidTr="005864C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7CBBD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мес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FE8E1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(-0.59; 2.40)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5C3B4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0.234</w:t>
            </w:r>
          </w:p>
        </w:tc>
      </w:tr>
      <w:tr w:rsidR="005864C2" w14:paraId="1EB6A049" w14:textId="77777777" w:rsidTr="005864C2">
        <w:trPr>
          <w:jc w:val="center"/>
        </w:trPr>
        <w:tc>
          <w:tcPr>
            <w:tcW w:w="0" w:type="auto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9DE00" w14:textId="77777777" w:rsidR="005864C2" w:rsidRDefault="003D0D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Разница рассчитана для группы Боярышник относительно группы Плацебо.</w:t>
            </w:r>
          </w:p>
        </w:tc>
      </w:tr>
    </w:tbl>
    <w:p w14:paraId="5F2FD4C7" w14:textId="77777777" w:rsidR="005864C2" w:rsidRDefault="003D0DE6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</w:p>
    <w:p w14:paraId="4902C257" w14:textId="77777777" w:rsidR="005864C2" w:rsidRDefault="003D0DE6">
      <w:pPr>
        <w:keepNext/>
        <w:spacing w:after="60"/>
      </w:pPr>
      <w:r>
        <w:rPr>
          <w:rFonts w:ascii="Calibri" w:hAnsi="Calibri"/>
          <w:color w:val="333333"/>
          <w:sz w:val="20"/>
        </w:rPr>
        <w:t>Данные представлены как среднее±СО. Межгрупповая разница на 12 и 24 мес оценена ANCOVA с поправкой на исходный KCCQ.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77"/>
        <w:gridCol w:w="929"/>
        <w:gridCol w:w="1120"/>
        <w:gridCol w:w="3687"/>
        <w:gridCol w:w="1082"/>
      </w:tblGrid>
      <w:tr w:rsidR="005864C2" w14:paraId="6A8E4119" w14:textId="77777777" w:rsidTr="005864C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9E65A9A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52E750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24B5D89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050371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Средняя межгрупповая разница (95% ДИ)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05F7EC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864C2" w14:paraId="17586912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E644282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5864C2" w14:paraId="39728C51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C3841F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B07606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AC991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794006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A0305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7086BDBD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DCD6C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EABC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51FC8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219E4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B81EE9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EA24235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C29E77B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5864C2" w14:paraId="379EDC9C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2D414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EE199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C19EB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F2E7A9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AE311C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11BB0F3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2138D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501FB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54.4±17.9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9DA65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5C10DD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F9C4A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4227A038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6053F5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1DD9B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57.7±20.1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F6A0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58.4±20.2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3B63B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2E2E7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48CC200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A5831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60D1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3.3±14.0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11B86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3.5±14.5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C9BA4C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 (-1.0 до 1.5)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CCE8D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0.678</w:t>
            </w:r>
          </w:p>
        </w:tc>
      </w:tr>
      <w:tr w:rsidR="005864C2" w14:paraId="74645E69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6FB5E7C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5864C2" w14:paraId="7F40297D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86D828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1F53AB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9987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BBFDA8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ECE61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B4269CF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4A0D6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B1879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54.5±17.9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868E8E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7CB0E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D5C062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783F45F2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20DDA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A548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55.5±21.5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C90A39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56.6±21.2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9DE02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6E080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506A3937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B3EA4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4ED871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1.0±16.2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25019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1.9±15.7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7C23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 (-0.6 до 2.4)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3CBB1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0.234</w:t>
            </w:r>
          </w:p>
        </w:tc>
      </w:tr>
    </w:tbl>
    <w:p w14:paraId="1621CCD3" w14:textId="77777777" w:rsidR="005864C2" w:rsidRDefault="003D0DE6">
      <w:pPr>
        <w:pStyle w:val="a0"/>
      </w:pPr>
      <w:r>
        <w:t>Таблица Х. Динамика качества жизни по шкале KCCQ</w:t>
      </w:r>
    </w:p>
    <w:p w14:paraId="29BB65F6" w14:textId="77777777" w:rsidR="005864C2" w:rsidRDefault="003D0DE6">
      <w:pPr>
        <w:pStyle w:val="a0"/>
      </w:pPr>
      <w:r>
        <w:t>Исходные значения суммарного балла Kansas City Cardiomyopathy Questionnaire (KCCQ) были сопостав</w:t>
      </w:r>
      <w:r>
        <w:t>имы между группами лечения. Для анализов через 12 и 24 месяца использовались данные пациентов с доступной оценкой KCCQ на соответствующем визите. Статистически значимых различий между группами лечения выявлено не было. Через 12 месяцев наблюдения скорректи</w:t>
      </w:r>
      <w:r>
        <w:t>рованная межгрупповая разница суммарного балла KCCQ (боярышник минус плацебо) составила 0,3 балла (95% ДИ от −1,0 до 1,5; p = 0,678). Через 24 месяца наблюдения соответствующая скорректированная межгрупповая разница составила 0,9 балла (95% ДИ от −0,6 до 2</w:t>
      </w:r>
      <w:r>
        <w:t>,4; p = 0,234). Дополнительно динамика качества жизни по KCCQ в зависимости от группы лечения в различных сроках наблюдения отражены на рисунке Х.</w:t>
      </w:r>
    </w:p>
    <w:p w14:paraId="154367C2" w14:textId="77777777" w:rsidR="005864C2" w:rsidRDefault="003D0DE6">
      <w:pPr>
        <w:pStyle w:val="a0"/>
      </w:pPr>
      <w:r>
        <w:rPr>
          <w:i/>
          <w:iCs/>
        </w:rPr>
        <w:lastRenderedPageBreak/>
        <w:t>Рисунок</w:t>
      </w:r>
      <w:r>
        <w:t xml:space="preserve"> </w:t>
      </w:r>
      <w:r>
        <w:rPr>
          <w:noProof/>
        </w:rPr>
        <w:drawing>
          <wp:inline distT="0" distB="0" distL="0" distR="0" wp14:anchorId="547F176F" wp14:editId="2AB2E135">
            <wp:extent cx="4620126" cy="3696101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eport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Рисунок X. Динамика качества жизни по шкале KCCQ в группах лечения</w:t>
      </w:r>
    </w:p>
    <w:p w14:paraId="55F04BB3" w14:textId="77777777" w:rsidR="005864C2" w:rsidRDefault="003D0DE6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ascii="Calibri" w:hAnsi="Calibri"/>
        </w:rPr>
        <w:t>:</w:t>
      </w:r>
      <w:r>
        <w:rPr>
          <w:rFonts w:ascii="Calibri" w:hAnsi="Calibri"/>
        </w:rPr>
        <w:t xml:space="preserve"> </w:t>
      </w:r>
      <w:r>
        <w:rPr>
          <w:rFonts w:ascii="Calibri" w:hAnsi="Calibri"/>
          <w:color w:val="333333"/>
        </w:rPr>
        <w:t>Клинически значимое улучшение качества жизни по KCCQ</w:t>
      </w:r>
    </w:p>
    <w:p w14:paraId="7E950424" w14:textId="77777777" w:rsidR="005864C2" w:rsidRDefault="003D0DE6">
      <w:pPr>
        <w:keepNext/>
        <w:spacing w:after="60"/>
      </w:pPr>
      <w:r>
        <w:rPr>
          <w:rFonts w:ascii="Calibri" w:hAnsi="Calibri"/>
          <w:color w:val="333333"/>
          <w:sz w:val="20"/>
        </w:rPr>
        <w:t>Улучшение определено как ΔKCCQ ≥ 5 баллов от исходного уровня. В анализ включены пациенты с оценкой на соответствующем визите.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522"/>
        <w:gridCol w:w="1089"/>
        <w:gridCol w:w="1120"/>
        <w:gridCol w:w="1082"/>
      </w:tblGrid>
      <w:tr w:rsidR="005864C2" w14:paraId="415AA79F" w14:textId="77777777" w:rsidTr="005864C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5CCCB6B" w14:textId="77777777" w:rsidR="005864C2" w:rsidRDefault="005864C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CA4A8E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3F0886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DAC9846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864C2" w14:paraId="3E946984" w14:textId="77777777" w:rsidTr="005864C2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DDD51B5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 месяцев</w:t>
            </w:r>
          </w:p>
        </w:tc>
      </w:tr>
      <w:tr w:rsidR="005864C2" w14:paraId="22FAC114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0C1D8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Число пациентов с оценкой </w:t>
            </w:r>
            <w:r>
              <w:rPr>
                <w:rFonts w:ascii="Calibri" w:hAnsi="Calibri"/>
                <w:sz w:val="20"/>
              </w:rPr>
              <w:t>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3973F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2347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44082F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FF6366B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DD31E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28D7E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431 (46.3%)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EE8C22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448 (48.2%)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2D371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0.431</w:t>
            </w:r>
          </w:p>
        </w:tc>
      </w:tr>
      <w:tr w:rsidR="005864C2" w14:paraId="39128FC1" w14:textId="77777777" w:rsidTr="005864C2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39292B2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24 месяца</w:t>
            </w:r>
          </w:p>
        </w:tc>
      </w:tr>
      <w:tr w:rsidR="005864C2" w14:paraId="7A59DB70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21B7D5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61C4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6B417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F7C553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2867CB98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44532B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77FA6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352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8D3C7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(45.2%)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1564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0.159</w:t>
            </w:r>
          </w:p>
        </w:tc>
      </w:tr>
    </w:tbl>
    <w:p w14:paraId="30FA4BFB" w14:textId="77777777" w:rsidR="005864C2" w:rsidRDefault="003D0DE6">
      <w:pPr>
        <w:pStyle w:val="a0"/>
      </w:pPr>
      <w:r>
        <w:t>Как уже отмечалось, клинически значимое улучшение определено как увеличение суммарного балла KCCQ ≥ 5 пунктов по сравнению с исходным уровнем. В анализ включены пациенты с доступной оценкой KCCQ на соответствующем визите. Через 12 месяцев клинически значим</w:t>
      </w:r>
      <w:r>
        <w:t>ое улучшение качества жизни (ΔKCCQ ≥ 5 баллов) было отмечено у 431 пациента (46,3%) в группе плацебо и у 448 пациентов (48,2%) в группе боярышника; статистически значимых различий между группами не выявлено (χ² с поправкой Йейтса, p = 0,431). Через 24 меся</w:t>
      </w:r>
      <w:r>
        <w:t>ца клинически значимое улучшение наблюдалось у 352 пациентов (41,7%) в группе плацебо и у 383 пациентов (45,2%) в группе боярышника; межгрупповые различия также не достигли статистической значимости (χ² с поправкой Йейтса, p = 0,159).</w:t>
      </w:r>
    </w:p>
    <w:p w14:paraId="0D419F49" w14:textId="77777777" w:rsidR="005864C2" w:rsidRDefault="003D0DE6">
      <w:pPr>
        <w:pStyle w:val="a0"/>
      </w:pPr>
      <w:r>
        <w:rPr>
          <w:noProof/>
        </w:rPr>
        <w:lastRenderedPageBreak/>
        <w:drawing>
          <wp:inline distT="0" distB="0" distL="0" distR="0" wp14:anchorId="2B76669A" wp14:editId="784AEC32">
            <wp:extent cx="4620126" cy="3696101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Report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86D1B" w14:textId="77777777" w:rsidR="005864C2" w:rsidRDefault="003D0DE6">
      <w:pPr>
        <w:pStyle w:val="a0"/>
      </w:pPr>
      <w:r>
        <w:rPr>
          <w:noProof/>
        </w:rPr>
        <w:drawing>
          <wp:inline distT="0" distB="0" distL="0" distR="0" wp14:anchorId="6D543A97" wp14:editId="53589995">
            <wp:extent cx="4620126" cy="3696101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Report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В связи с выражен</w:t>
      </w:r>
      <w:r>
        <w:t>ной асимметрией распределения NT-proBNP анализ проводился с использованием логарифмического преобразования; результаты представлены в виде геометрических средних и отношений геометрических средних с 95% доверительными интервалами</w:t>
      </w:r>
    </w:p>
    <w:p w14:paraId="71CE5BC4" w14:textId="77777777" w:rsidR="005864C2" w:rsidRDefault="003D0DE6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</w:rPr>
        <w:t>VISIT  ratio   lcl   ucl  pval</w:t>
      </w:r>
      <w:r>
        <w:br/>
      </w:r>
      <w:r>
        <w:rPr>
          <w:rStyle w:val="VerbatimChar"/>
        </w:rPr>
        <w:lastRenderedPageBreak/>
        <w:t>##   &lt;chr&gt;  &lt;dbl&gt; &lt;dbl&gt; &lt;dbl&gt; &lt;dbl&gt;</w:t>
      </w:r>
      <w:r>
        <w:br/>
      </w:r>
      <w:r>
        <w:rPr>
          <w:rStyle w:val="VerbatimChar"/>
        </w:rPr>
        <w:t>## 1 12 мес 0.994 0.940  1.05 0.824</w:t>
      </w:r>
    </w:p>
    <w:p w14:paraId="14A3642E" w14:textId="77777777" w:rsidR="005864C2" w:rsidRDefault="003D0DE6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>##   VISIT  ratio   lcl   ucl  pval</w:t>
      </w:r>
      <w:r>
        <w:br/>
      </w:r>
      <w:r>
        <w:rPr>
          <w:rStyle w:val="VerbatimChar"/>
        </w:rPr>
        <w:t>##   &lt;chr&gt;  &lt;dbl&gt; &lt;dbl&gt; &lt;dbl&gt; &lt;dbl&gt;</w:t>
      </w:r>
      <w:r>
        <w:br/>
      </w:r>
      <w:r>
        <w:rPr>
          <w:rStyle w:val="VerbatimChar"/>
        </w:rPr>
        <w:t>## 1 24 мес  1.00 0.936  1.08 0.914</w:t>
      </w:r>
    </w:p>
    <w:p w14:paraId="5B46FF38" w14:textId="77777777" w:rsidR="005864C2" w:rsidRDefault="003D0DE6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</w:instrText>
      </w:r>
      <w:r>
        <w:instrText xml:space="preserve">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NT-proBNP: динамика (log-ANCOVA)</w:t>
      </w:r>
    </w:p>
    <w:p w14:paraId="4DB9DE43" w14:textId="77777777" w:rsidR="005864C2" w:rsidRDefault="003D0DE6">
      <w:pPr>
        <w:keepNext/>
        <w:spacing w:after="60"/>
      </w:pPr>
      <w:r>
        <w:rPr>
          <w:rFonts w:ascii="Calibri" w:hAnsi="Calibri"/>
          <w:color w:val="333333"/>
          <w:sz w:val="20"/>
        </w:rPr>
        <w:t>NT-proBNP проанализирован после лог-преобразования; представлены геометрические средние. Межгрупповый эффект — отношение геом. средних (Crataegus/Placebo), 95% ДИ.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24"/>
        <w:gridCol w:w="862"/>
        <w:gridCol w:w="1120"/>
        <w:gridCol w:w="3357"/>
        <w:gridCol w:w="1046"/>
      </w:tblGrid>
      <w:tr w:rsidR="005864C2" w14:paraId="01CA9039" w14:textId="77777777" w:rsidTr="005864C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E907ECA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85CEC0B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FD821C2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193FF6C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Отношение геом. с</w:t>
            </w:r>
            <w:r>
              <w:rPr>
                <w:rFonts w:ascii="Calibri" w:hAnsi="Calibri"/>
                <w:sz w:val="20"/>
              </w:rPr>
              <w:t>редних (ANCOVA), 95% ДИ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5BA93F3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864C2" w14:paraId="7CA6CAD4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30B8980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5864C2" w14:paraId="7AFF92C2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C01F94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882E4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645EDE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834E7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325BFB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70919916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E0FDE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A386F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7ECC3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C2854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3DEA8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6199B7FA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CAADAD4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5864C2" w14:paraId="14682A5B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33DE2A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DEE42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26490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89FFC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5E5ED0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35EFC358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DA1E6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A8E147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729D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D477F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C888F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77293B48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5E84D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DA9F1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7D3F77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8ABEC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84197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41BD81D4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D43BE9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B0BC7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CF7243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F4B2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 (0.94 до 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41F32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0.824</w:t>
            </w:r>
          </w:p>
        </w:tc>
      </w:tr>
      <w:tr w:rsidR="005864C2" w14:paraId="5D771966" w14:textId="77777777" w:rsidTr="005864C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2A727E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5864C2" w14:paraId="63600267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63ECA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391F8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B38E9F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30DBA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2799B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2E674F00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9141D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958F8E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0E72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A13962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339A5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24F45AA4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E8798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4AED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3E856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1505AE" w14:textId="77777777" w:rsidR="005864C2" w:rsidRDefault="005864C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7C744" w14:textId="77777777" w:rsidR="005864C2" w:rsidRDefault="005864C2">
            <w:pPr>
              <w:keepNext/>
              <w:spacing w:after="60"/>
              <w:jc w:val="center"/>
            </w:pPr>
          </w:p>
        </w:tc>
      </w:tr>
      <w:tr w:rsidR="005864C2" w14:paraId="33EA5D53" w14:textId="77777777" w:rsidTr="005864C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5FE60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C769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DCD1A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24745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 (0.94 до 1.08)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50054" w14:textId="77777777" w:rsidR="005864C2" w:rsidRDefault="003D0DE6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0.914</w:t>
            </w:r>
          </w:p>
        </w:tc>
      </w:tr>
      <w:tr w:rsidR="005864C2" w14:paraId="5EE1E318" w14:textId="77777777" w:rsidTr="005864C2">
        <w:trPr>
          <w:cantSplit/>
          <w:jc w:val="center"/>
        </w:trPr>
        <w:tc>
          <w:tcPr>
            <w:tcW w:w="0" w:type="auto"/>
            <w:gridSpan w:val="5"/>
          </w:tcPr>
          <w:p w14:paraId="410B0594" w14:textId="77777777" w:rsidR="005864C2" w:rsidRDefault="003D0DE6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*Изменение от исходного рассчитано как (геом. среднее на визите / геом. среднее исходно − 1)×100%.</w:t>
            </w:r>
          </w:p>
        </w:tc>
      </w:tr>
    </w:tbl>
    <w:p w14:paraId="1AD1F1E1" w14:textId="77777777" w:rsidR="005864C2" w:rsidRDefault="003D0DE6">
      <w:pPr>
        <w:pStyle w:val="FirstParagraph"/>
      </w:pPr>
      <w:r>
        <w:t>Таблица Х. Динамика уровня NT-proBNP</w:t>
      </w:r>
    </w:p>
    <w:p w14:paraId="0338F645" w14:textId="77777777" w:rsidR="005864C2" w:rsidRDefault="003D0DE6">
      <w:pPr>
        <w:pStyle w:val="a0"/>
      </w:pPr>
      <w:r>
        <w:t>Исходные уровни NT-proBNP были сопоставимы между группами лечения. Анализ вторичной конечной точки был выполнен с использованием анализа ковариации (ANCOVA) после логарифмического преобразования значений NT-proBNP с поп</w:t>
      </w:r>
      <w:r>
        <w:t>равкой на исходный уровень показателя. Результаты представлены в виде отношения геометрических средних между группами лечения с соответствующими 95% доверительными интервалами. (</w:t>
      </w:r>
      <w:r>
        <w:rPr>
          <w:i/>
          <w:iCs/>
        </w:rPr>
        <w:t>ЭТО НАДО ПЕРЕМЕСТИТЬ В РАЗДЕЛ СТАТ АНАЛИЗА</w:t>
      </w:r>
      <w:r>
        <w:t>) Статистически значимых различий ме</w:t>
      </w:r>
      <w:r>
        <w:t>жду группами лечения выявлено не было. Через 12 месяцев наблюдения отношение геометрических средних NT-proBNP (боярышник/плацебо) составило 0,99 (95% ДИ 0,94–1,05; p = 0,824). Через 24 месяца наблюдения соответствующее отношение геометрических средних сост</w:t>
      </w:r>
      <w:r>
        <w:t xml:space="preserve">авило 1,00 </w:t>
      </w:r>
      <w:r>
        <w:lastRenderedPageBreak/>
        <w:t>(95% ДИ 0,94–1,08; p = 0,914).Дополнительно динамика уровни NT-proBNP в зависимости от группы лечения в различных сроках наблюдения отражены на рисунке Х.</w:t>
      </w:r>
    </w:p>
    <w:p w14:paraId="3B4C6B04" w14:textId="77777777" w:rsidR="005864C2" w:rsidRDefault="003D0DE6">
      <w:pPr>
        <w:pStyle w:val="a0"/>
      </w:pPr>
      <w:r>
        <w:rPr>
          <w:noProof/>
        </w:rPr>
        <w:drawing>
          <wp:inline distT="0" distB="0" distL="0" distR="0" wp14:anchorId="0908C42C" wp14:editId="305A73B3">
            <wp:extent cx="4620126" cy="3696101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Report_files/figure-docx/unnamed-chunk-19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Рисунок X. Динамика уровня NT-proBNP</w:t>
      </w:r>
      <w:bookmarkEnd w:id="9"/>
    </w:p>
    <w:sectPr w:rsidR="005864C2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2CE2A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64C2"/>
    <w:rsid w:val="003D0DE6"/>
    <w:rsid w:val="00586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7CDB0"/>
  <w15:docId w15:val="{C86E4E05-799E-4EF3-896B-A8CF2481E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3D0DE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2109</Words>
  <Characters>12026</Characters>
  <Application>Microsoft Office Word</Application>
  <DocSecurity>0</DocSecurity>
  <Lines>100</Lines>
  <Paragraphs>28</Paragraphs>
  <ScaleCrop>false</ScaleCrop>
  <Company/>
  <LinksUpToDate>false</LinksUpToDate>
  <CharactersWithSpaces>14107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2026-01-18T17:45:00Z</dcterms:created>
  <dcterms:modified xsi:type="dcterms:W3CDTF">2026-01-18T17:45:00Z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toc-title">
    <vt:lpwstr>Оглавление</vt:lpwstr>
  </property>
</Properties>
</file>