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Capitolul 6 (rezultate) – Testare și evaluare experimentală</w:t>
      </w:r>
    </w:p>
    <w:p>
      <w:pPr>
        <w:spacing w:after="140" w:line="300"/>
        <w:jc w:val="both"/>
      </w:pPr>
      <w:r>
        <w:t xml:space="preserve">Acest material prezintă rezultatele experimentale ale suitei de teste automate aplicate sistemului distribuit Vendomat și poate fi inserat ca atare în capitolul de testare al lucrării. Suita a fost adaptată stivei tehnologice reale a proiectului — .NET / C# cu cadrul de testare xUnit — și a fost executată atât asupra componentelor software, cât și asupra dispozitivelor fizice reale (tableta-controller și telefonul de management), conectate prin ADB. Testarea acoperă cele patru categorii prevăzute: teste unitare, teste de integrare, teste funcționale pe scenarii end-to-end și teste de securitate.</w:t>
      </w:r>
    </w:p>
    <w:p>
      <w:pPr>
        <w:spacing w:after="140" w:line="300"/>
        <w:jc w:val="both"/>
      </w:pPr>
      <w:r>
        <w:t xml:space="preserve">Au fost executate în total </w:t>
      </w:r>
      <w:r>
        <w:rPr>
          <w:b/>
          <w:bCs/>
        </w:rPr>
        <w:t xml:space="preserve">60 de cazuri de test, toate trecute (0 eșuate)</w:t>
      </w:r>
      <w:r>
        <w:t xml:space="preserve">. Serverul central a fost rulat ca proces izolat, cu o bază de date SQLite dedicată, separată de cea de producție, asigurând independența și repetabilitatea testelor.</w:t>
      </w:r>
    </w:p>
    <w:p>
      <w:pPr>
        <w:pStyle w:val="Heading2"/>
      </w:pPr>
      <w:r>
        <w:t xml:space="preserve">Mediul de testare</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2400"/>
        <w:gridCol w:w="678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Element</w:t>
            </w:r>
          </w:p>
        </w:tc>
        <w:tc>
          <w:tcPr>
            <w:tcW w:type="dxa" w:w="67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Detaliu</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Server central</w:t>
            </w:r>
          </w:p>
        </w:tc>
        <w:tc>
          <w:tcPr>
            <w:tcW w:type="dxa" w:w="67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Vendomat.Controller.Cloud (ASP.NET Core, .NET 10), proces izolat pe 127.0.0.1, port dinamic</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Bază de date</w:t>
            </w:r>
          </w:p>
        </w:tc>
        <w:tc>
          <w:tcPr>
            <w:tcW w:type="dxa" w:w="67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SQLite dedicată (test.db), separată de producție, ștearsă la teardown</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Tabletă controller</w:t>
            </w:r>
          </w:p>
        </w:tc>
        <w:tc>
          <w:tcPr>
            <w:tcW w:type="dxa" w:w="67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192.168.100.85 – YF_023D, Android 11, ro.vendomat.controller.tablet v0.1.0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Telefon companion</w:t>
            </w:r>
          </w:p>
        </w:tc>
        <w:tc>
          <w:tcPr>
            <w:tcW w:type="dxa" w:w="67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192.168.100.78 – Samsung SM-S928B, Android 16, ro.vendomat.controller.mobile v1.0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Cadru de testare</w:t>
            </w:r>
          </w:p>
        </w:tc>
        <w:tc>
          <w:tcPr>
            <w:tcW w:type="dxa" w:w="67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xUnit 2.9 + dotnet test; rezultate în format TRX; acoperire prin coverlet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Izolare</w:t>
            </w:r>
          </w:p>
        </w:tc>
        <w:tc>
          <w:tcPr>
            <w:tcW w:type="dxa" w:w="67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fiecare test independent (fixture cu setup/teardown, baze de date efemere)</w:t>
            </w:r>
          </w:p>
        </w:tc>
      </w:tr>
    </w:tbl>
    <w:p>
      <w:pPr>
        <w:spacing w:after="200" w:before="60"/>
        <w:jc w:val="center"/>
      </w:pPr>
      <w:r>
        <w:rPr>
          <w:i/>
          <w:iCs/>
          <w:color w:val="555555"/>
          <w:sz w:val="20"/>
          <w:szCs w:val="20"/>
        </w:rPr>
        <w:t xml:space="preserve">Tabelul 6.r1 – Mediul de testare</w:t>
      </w:r>
    </w:p>
    <w:p>
      <w:pPr>
        <w:pStyle w:val="Heading2"/>
      </w:pPr>
      <w:r>
        <w:t xml:space="preserve">Sumar al rezultatelor</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5000"/>
        <w:gridCol w:w="4188"/>
      </w:tblGrid>
      <w:tr>
        <w:trPr>
          <w:tblHeader/>
        </w:trPr>
        <w:tc>
          <w:tcPr>
            <w:tcW w:type="dxa" w:w="50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Metrică</w:t>
            </w:r>
          </w:p>
        </w:tc>
        <w:tc>
          <w:tcPr>
            <w:tcW w:type="dxa" w:w="41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Valoare</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Total teste executate</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60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Teste trecute</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60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Teste eșuate</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0</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Metode de test ([Fact]/[Theory])</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45</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Aserțiuni</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99</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Acoperire logică critică (SaleMath / MachineSettings)</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100% linii</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Acoperire AdminPasscodeHasher / RateLimiter</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88% / 89% linii</w:t>
            </w:r>
          </w:p>
        </w:tc>
      </w:tr>
      <w:tr>
        <w:tc>
          <w:tcPr>
            <w:tcW w:type="dxa" w:w="50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Durată totală execuție</w:t>
            </w:r>
          </w:p>
        </w:tc>
        <w:tc>
          <w:tcPr>
            <w:tcW w:type="dxa" w:w="41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~3,3 secunde</w:t>
            </w:r>
          </w:p>
        </w:tc>
      </w:tr>
    </w:tbl>
    <w:p>
      <w:pPr>
        <w:spacing w:after="200" w:before="60"/>
        <w:jc w:val="center"/>
      </w:pPr>
      <w:r>
        <w:rPr>
          <w:i/>
          <w:iCs/>
          <w:color w:val="555555"/>
          <w:sz w:val="20"/>
          <w:szCs w:val="20"/>
        </w:rPr>
        <w:t xml:space="preserve">Tabelul 6.r2 – Sumarul execuției suitei de teste</w:t>
      </w:r>
    </w:p>
    <w:p>
      <w:pPr>
        <w:pStyle w:val="Heading2"/>
      </w:pPr>
      <w:r>
        <w:t xml:space="preserve">Rezultate pe categorii</w:t>
      </w:r>
    </w:p>
    <w:p>
      <w:pPr>
        <w:pStyle w:val="Heading3"/>
      </w:pPr>
      <w:r>
        <w:t xml:space="preserve">Teste unitare — 34/34</w:t>
      </w:r>
    </w:p>
    <w:p>
      <w:pPr>
        <w:spacing w:after="140" w:line="300"/>
        <w:jc w:val="both"/>
      </w:pPr>
      <w:r>
        <w:t xml:space="preserve">Testează în izolare logica de domeniu, fără hardware, rețea sau bază de date.</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888"/>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Suită</w:t>
            </w:r>
          </w:p>
        </w:tc>
        <w:tc>
          <w:tcPr>
            <w:tcW w:type="dxa" w:w="9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Cazuri</w:t>
            </w:r>
          </w:p>
        </w:tc>
        <w:tc>
          <w:tcPr>
            <w:tcW w:type="dxa" w:w="58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Ce verifică</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SaleMathTests</w:t>
            </w:r>
          </w:p>
        </w:tc>
        <w:tc>
          <w:tcPr>
            <w:tcW w:type="dxa" w:w="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18</w:t>
            </w:r>
          </w:p>
        </w:tc>
        <w:tc>
          <w:tcPr>
            <w:tcW w:type="dxa" w:w="58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Volum din credit (rotunjire în jos), sumă pentru volum, mărginire volum livrat, decontare la anulare (cash/card), clamp supra-debit</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AdminPasscodeHasherTests</w:t>
            </w:r>
          </w:p>
        </w:tc>
        <w:tc>
          <w:tcPr>
            <w:tcW w:type="dxa" w:w="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6</w:t>
            </w:r>
          </w:p>
        </w:tc>
        <w:tc>
          <w:tcPr>
            <w:tcW w:type="dxa" w:w="58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Hashing PBKDF2, salt unic, compatibilitate hash legacy, detecție parolă implicită</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BusinessLogicTests</w:t>
            </w:r>
          </w:p>
        </w:tc>
        <w:tc>
          <w:tcPr>
            <w:tcW w:type="dxa" w:w="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10</w:t>
            </w:r>
          </w:p>
        </w:tc>
        <w:tc>
          <w:tcPr>
            <w:tcW w:type="dxa" w:w="58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Nivel stoc (StockFillPercent), clamp [0,1], gardă împărțire la zero, prag alertă stoc, valoare stoc, venit per vânzare</w:t>
            </w:r>
          </w:p>
        </w:tc>
      </w:tr>
    </w:tbl>
    <w:p>
      <w:pPr>
        <w:pStyle w:val="Heading3"/>
      </w:pPr>
      <w:r>
        <w:t xml:space="preserve">Teste de integrare — 14/14</w:t>
      </w:r>
    </w:p>
    <w:p>
      <w:pPr>
        <w:spacing w:after="140" w:line="300"/>
        <w:jc w:val="both"/>
      </w:pPr>
      <w:r>
        <w:t xml:space="preserve">Verifică interacțiunea reală REST ↔ SQLite și WebSocket ↔ server, prin serverul Cloud rulat ca proces.</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3200"/>
        <w:gridCol w:w="5988"/>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Test</w:t>
            </w:r>
          </w:p>
        </w:tc>
        <w:tc>
          <w:tcPr>
            <w:tcW w:type="dxa" w:w="59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Verifică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Health / Root endpoints</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/api/health 200 cu versiune schemă; descriptor serviciu JSON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Device endpoints require auth (×3)</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status / dashboard / settings → 401 fără token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Pairing claim missing fields</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validare input → 400</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JSON decimal round-trip</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serializare/deserializare valori zecimale corectă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Machine sync persists &amp; readable</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POST sync → citire status (CRUD pe SQLite)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Settings update queued as command</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PUT settings → comandă în coadă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Update overwrites previous value</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UPDATE suprascrie valoarea anterioară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Health machine count</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contorul de mașini crește la înregistrare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WS machine/companion without auth</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conexiune WebSocket fără credențiale → refuzată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WS machine accepts registered machine</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handshake WebSocket reușit pentru mașină înregistrată</w:t>
            </w:r>
          </w:p>
        </w:tc>
      </w:tr>
    </w:tbl>
    <w:p>
      <w:pPr>
        <w:pStyle w:val="Heading3"/>
      </w:pPr>
      <w:r>
        <w:t xml:space="preserve">Teste funcționale (scenarii end-to-end) — 5/5</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2900"/>
        <w:gridCol w:w="6288"/>
      </w:tblGrid>
      <w:tr>
        <w:trPr>
          <w:tblHeader/>
        </w:trPr>
        <w:tc>
          <w:tcPr>
            <w:tcW w:type="dxa" w:w="29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Scenariu</w:t>
            </w:r>
          </w:p>
        </w:tc>
        <w:tc>
          <w:tcPr>
            <w:tcW w:type="dxa" w:w="62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Comportament verificat</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 Pierdere conectivitate și resincronizare</w:t>
            </w:r>
          </w:p>
        </w:tc>
        <w:tc>
          <w:tcPr>
            <w:tcW w:type="dxa" w:w="62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comanda offline e livrată la reconectare și nu se dublează după confirmare (idempotență)</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2. Conflict de sincronizare</w:t>
            </w:r>
          </w:p>
        </w:tc>
        <w:tc>
          <w:tcPr>
            <w:tcW w:type="dxa" w:w="62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rezolvare last-writer-wins: ultima scriere câștigă</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3. Volum mare (150 tranzacții)</w:t>
            </w:r>
          </w:p>
        </w:tc>
        <w:tc>
          <w:tcPr>
            <w:tcW w:type="dxa" w:w="62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toate cele 150 sincronizate fără pierderi</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4. Eroare server central</w:t>
            </w:r>
          </w:p>
        </w:tc>
        <w:tc>
          <w:tcPr>
            <w:tcW w:type="dxa" w:w="62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eșec graceful (excepție tratabilă); după repornire, comanda persistată nu e pierdută</w:t>
            </w:r>
          </w:p>
        </w:tc>
      </w:tr>
      <w:tr>
        <w:tc>
          <w:tcPr>
            <w:tcW w:type="dxa" w:w="29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5. Alertă stoc minim</w:t>
            </w:r>
          </w:p>
        </w:tc>
        <w:tc>
          <w:tcPr>
            <w:tcW w:type="dxa" w:w="62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starea de stoc sub prag e propagată corect către operator</w:t>
            </w:r>
          </w:p>
        </w:tc>
      </w:tr>
    </w:tbl>
    <w:p>
      <w:pPr>
        <w:pStyle w:val="Heading3"/>
      </w:pPr>
      <w:r>
        <w:t xml:space="preserve">Teste de securitate — 7/7</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3200"/>
        <w:gridCol w:w="5988"/>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Test</w:t>
            </w:r>
          </w:p>
        </w:tc>
        <w:tc>
          <w:tcPr>
            <w:tcW w:type="dxa" w:w="59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Verifică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Acces fără token</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 401 (Unauthorized)</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Token invalid</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 400, niciodată 5xx (fără scurgere de eroare internă)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Sumă credit negativă</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 400 (respinsă)</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Injecție SQL în token</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payload respins; tabela machines intactă (interogări parametrizate)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JSON malformat</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 400; serverul rămâne funcțional</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Payload supradimensionat (2 MB)</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fără 5xx; serverul rămâne viu</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Mașină neînregistrată</w:t>
            </w:r>
          </w:p>
        </w:tc>
        <w:tc>
          <w:tcPr>
            <w:tcW w:type="dxa" w:w="59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nu poate finaliza comenzi → 400</w:t>
            </w:r>
          </w:p>
        </w:tc>
      </w:tr>
    </w:tbl>
    <w:p>
      <w:pPr>
        <w:pStyle w:val="Heading2"/>
      </w:pPr>
      <w:r>
        <w:t xml:space="preserve">Validare pe dispozitive reale</w:t>
      </w:r>
    </w:p>
    <w:p>
      <w:pPr>
        <w:spacing w:after="140" w:line="300"/>
        <w:jc w:val="both"/>
      </w:pPr>
      <w:r>
        <w:t xml:space="preserve">Pe lângă testele automate, sistemul a fost validat live pe dispozitivele fizice. Figura 6.r1 prezintă, în stânga, interfața controllerului de pe tabletă (nodul de margine) și, în dreapta, aplicația de management de pe telefon. Ambele afișează simultan aceleași date live — </w:t>
      </w:r>
      <w:r>
        <w:rPr>
          <w:b/>
          <w:bCs/>
        </w:rPr>
        <w:t xml:space="preserve">stoc 115,07 L din 200 L</w:t>
      </w:r>
      <w:r>
        <w:t xml:space="preserve"> și </w:t>
      </w:r>
      <w:r>
        <w:rPr>
          <w:b/>
          <w:bCs/>
        </w:rPr>
        <w:t xml:space="preserve">temperatură 27,6 °C</w:t>
      </w:r>
      <w:r>
        <w:t xml:space="preserve"> provenită de la senzorul ESP32 — ceea ce dovedește funcționarea în timp real a întregului lanț distribuit: ESP32 → tabletă (edge) → server cloud (tunel) → telefon companion. Pe tabletă este vizibil indicatorul „Audit local” (persistență locală, Offline-First), iar pe telefon secțiunea „Bridge cloud” cu marca temporală a ultimei sincronizări și indicatorul de stare „Online”.</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4594"/>
        <w:gridCol w:w="4594"/>
      </w:tblGrid>
      <w:tr>
        <w:tc>
          <w:tcPr>
            <w:tcW w:type="dxa" w:w="4594"/>
            <w:tcBorders>
              <w:top w:val="none"/>
              <w:left w:val="none"/>
              <w:bottom w:val="none"/>
              <w:right w:val="none"/>
            </w:tcBorders>
            <w:vAlign w:val="center"/>
          </w:tcPr>
          <w:p>
            <w:pPr>
              <w:spacing w:after="60"/>
              <w:jc w:val="center"/>
            </w:pPr>
            <w:r>
              <w:drawing>
                <wp:inline distT="0" distB="0" distL="0" distR="0">
                  <wp:extent cx="2381250" cy="3810000"/>
                  <wp:effectExtent t="0" r="0" b="0" l="0"/>
                  <wp:docPr id="1" name="Interfața controllerului pe tabletă" descr="Interfața controllerului pe tabletă" title="Interfața controllerului pe tablet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3810000"/>
                          </a:xfrm>
                          <a:prstGeom prst="rect">
                            <a:avLst/>
                          </a:prstGeom>
                        </pic:spPr>
                      </pic:pic>
                    </a:graphicData>
                  </a:graphic>
                </wp:inline>
              </w:drawing>
            </w:r>
          </w:p>
          <w:p>
            <w:pPr>
              <w:jc w:val="center"/>
            </w:pPr>
            <w:r>
              <w:rPr>
                <w:i/>
                <w:iCs/>
                <w:color w:val="555555"/>
                <w:sz w:val="18"/>
                <w:szCs w:val="18"/>
              </w:rPr>
              <w:t xml:space="preserve">(a) Tabletă – controller / edge</w:t>
            </w:r>
          </w:p>
        </w:tc>
        <w:tc>
          <w:tcPr>
            <w:tcW w:type="dxa" w:w="4594"/>
            <w:tcBorders>
              <w:top w:val="none"/>
              <w:left w:val="none"/>
              <w:bottom w:val="none"/>
              <w:right w:val="none"/>
            </w:tcBorders>
            <w:vAlign w:val="center"/>
          </w:tcPr>
          <w:p>
            <w:pPr>
              <w:spacing w:after="60"/>
              <w:jc w:val="center"/>
            </w:pPr>
            <w:r>
              <w:drawing>
                <wp:inline distT="0" distB="0" distL="0" distR="0">
                  <wp:extent cx="1762125" cy="3810000"/>
                  <wp:effectExtent t="0" r="0" b="0" l="0"/>
                  <wp:docPr id="1" name="Aplicația de management pe telefon" descr="Aplicația de management pe telefon" title="Aplicația de management pe telef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810000"/>
                          </a:xfrm>
                          <a:prstGeom prst="rect">
                            <a:avLst/>
                          </a:prstGeom>
                        </pic:spPr>
                      </pic:pic>
                    </a:graphicData>
                  </a:graphic>
                </wp:inline>
              </w:drawing>
            </w:r>
          </w:p>
          <w:p>
            <w:pPr>
              <w:jc w:val="center"/>
            </w:pPr>
            <w:r>
              <w:rPr>
                <w:i/>
                <w:iCs/>
                <w:color w:val="555555"/>
                <w:sz w:val="18"/>
                <w:szCs w:val="18"/>
              </w:rPr>
              <w:t xml:space="preserve">(b) Telefon – aplicația de management</w:t>
            </w:r>
          </w:p>
        </w:tc>
      </w:tr>
    </w:tbl>
    <w:p>
      <w:pPr>
        <w:spacing w:after="200" w:before="60"/>
        <w:jc w:val="center"/>
      </w:pPr>
      <w:r>
        <w:rPr>
          <w:i/>
          <w:iCs/>
          <w:color w:val="555555"/>
          <w:sz w:val="20"/>
          <w:szCs w:val="20"/>
        </w:rPr>
        <w:t xml:space="preserve">Figura 6.r1 – Validare live: aceleași date de telemetrie afișate simultan pe nodul de margine și pe aplicația de management</w:t>
      </w:r>
    </w:p>
    <w:p>
      <w:pPr>
        <w:pStyle w:val="Heading2"/>
      </w:pPr>
      <w:r>
        <w:t xml:space="preserve">Acoperire de cod</w:t>
      </w:r>
    </w:p>
    <w:p>
      <w:pPr>
        <w:spacing w:after="140" w:line="300"/>
        <w:jc w:val="both"/>
      </w:pPr>
      <w:r>
        <w:t xml:space="preserve">Acoperirea a fost măsurată pe nivelul Domeniu (in-process). Logica critică — calculele monetare și regulile de stoc — este integral acoperită; restul nivelului conține preponderent clase de tip model/DTO, neexecutate direct de testele unitare.</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5800"/>
        <w:gridCol w:w="3388"/>
      </w:tblGrid>
      <w:tr>
        <w:trPr>
          <w:tblHeader/>
        </w:trPr>
        <w:tc>
          <w:tcPr>
            <w:tcW w:type="dxa" w:w="58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Componentă</w:t>
            </w:r>
          </w:p>
        </w:tc>
        <w:tc>
          <w:tcPr>
            <w:tcW w:type="dxa" w:w="33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Acoperire linii</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SaleMath (calcule monetare)</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100%</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MachineSettings (reguli de stoc)</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100%</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AdminPasscodeHasher (securitate)</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88%</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AdminPasscodeRateLimiter (securitate)</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89%</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Nivel Domeniu – global (include modele/DTO)</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34,5%</w:t>
            </w:r>
          </w:p>
        </w:tc>
      </w:tr>
    </w:tbl>
    <w:p>
      <w:pPr>
        <w:spacing w:after="200" w:before="60"/>
        <w:jc w:val="center"/>
      </w:pPr>
      <w:r>
        <w:rPr>
          <w:i/>
          <w:iCs/>
          <w:color w:val="555555"/>
          <w:sz w:val="20"/>
          <w:szCs w:val="20"/>
        </w:rPr>
        <w:t xml:space="preserve">Tabelul 6.r3 – Acoperirea de cod pe componentele critice</w:t>
      </w:r>
    </w:p>
    <w:p>
      <w:pPr>
        <w:pStyle w:val="Heading2"/>
      </w:pPr>
      <w:r>
        <w:t xml:space="preserve">Observații și recomandări</w:t>
      </w:r>
    </w:p>
    <w:p>
      <w:pPr>
        <w:pStyle w:val="ListParagraph"/>
        <w:numPr>
          <w:ilvl w:val="0"/>
          <w:numId w:val="2"/>
        </w:numPr>
        <w:spacing w:after="60" w:line="290"/>
        <w:jc w:val="both"/>
      </w:pPr>
      <w:r>
        <w:rPr>
          <w:b/>
          <w:bCs/>
        </w:rPr>
        <w:t xml:space="preserve">Anteturi de securitate HTTP</w:t>
      </w:r>
      <w:r>
        <w:t xml:space="preserve"> — API-ul nu emite Content-Security-Policy / X-Frame-Options / X-Content-Type-Options; recomandare: configurarea lor la nivelul reverse-proxy-ului din producție.</w:t>
      </w:r>
    </w:p>
    <w:p>
      <w:pPr>
        <w:pStyle w:val="ListParagraph"/>
        <w:numPr>
          <w:ilvl w:val="0"/>
          <w:numId w:val="2"/>
        </w:numPr>
        <w:spacing w:after="60" w:line="290"/>
        <w:jc w:val="both"/>
      </w:pPr>
      <w:r>
        <w:rPr>
          <w:b/>
          <w:bCs/>
        </w:rPr>
        <w:t xml:space="preserve">OTA în aplicația de management</w:t>
      </w:r>
      <w:r>
        <w:t xml:space="preserve"> — finalizarea trimiterii amprentei ExpectedSha256 din aplicația mobilă (firmware-ul verifică deja amprenta SHA-256).</w:t>
      </w:r>
    </w:p>
    <w:p>
      <w:pPr>
        <w:pStyle w:val="ListParagraph"/>
        <w:numPr>
          <w:ilvl w:val="0"/>
          <w:numId w:val="2"/>
        </w:numPr>
        <w:spacing w:after="60" w:line="290"/>
        <w:jc w:val="both"/>
      </w:pPr>
      <w:r>
        <w:rPr>
          <w:b/>
          <w:bCs/>
        </w:rPr>
        <w:t xml:space="preserve">Acoperire pe nivelul Cloud</w:t>
      </w:r>
      <w:r>
        <w:t xml:space="preserve"> — fiind testat black-box (proces separat), nu este instrumentat; se poate adăuga o suită in-process pentru o măsurătoare suplimentară.</w:t>
      </w:r>
    </w:p>
    <w:p>
      <w:pPr>
        <w:pStyle w:val="Heading2"/>
      </w:pPr>
      <w:r>
        <w:t xml:space="preserve">Metrici software</w:t>
      </w:r>
    </w:p>
    <w:tbl>
      <w:tblPr>
        <w:tblW w:type="dxa" w:w="9188"/>
        <w:tblBorders>
          <w:top w:val="single" w:color="auto" w:sz="4"/>
          <w:left w:val="single" w:color="auto" w:sz="4"/>
          <w:bottom w:val="single" w:color="auto" w:sz="4"/>
          <w:right w:val="single" w:color="auto" w:sz="4"/>
          <w:insideH w:val="single" w:color="auto" w:sz="4"/>
          <w:insideV w:val="single" w:color="auto" w:sz="4"/>
        </w:tblBorders>
      </w:tblPr>
      <w:tblGrid>
        <w:gridCol w:w="5800"/>
        <w:gridCol w:w="3388"/>
      </w:tblGrid>
      <w:tr>
        <w:trPr>
          <w:tblHeader/>
        </w:trPr>
        <w:tc>
          <w:tcPr>
            <w:tcW w:type="dxa" w:w="5800"/>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Metrică</w:t>
            </w:r>
          </w:p>
        </w:tc>
        <w:tc>
          <w:tcPr>
            <w:tcW w:type="dxa" w:w="3388"/>
            <w:tcBorders>
              <w:top w:val="single" w:color="AAAAAA" w:sz="1"/>
              <w:left w:val="single" w:color="AAAAAA" w:sz="1"/>
              <w:bottom w:val="single" w:color="AAAAAA" w:sz="1"/>
              <w:right w:val="single" w:color="AAAAAA" w:sz="1"/>
            </w:tcBorders>
            <w:shd w:fill="1F3864" w:val="clear"/>
            <w:tcMar>
              <w:top w:type="dxa" w:w="60"/>
              <w:left w:type="dxa" w:w="110"/>
              <w:bottom w:type="dxa" w:w="60"/>
              <w:right w:type="dxa" w:w="110"/>
            </w:tcMar>
            <w:vAlign w:val="center"/>
          </w:tcPr>
          <w:p>
            <w:pPr>
              <w:spacing w:after="0" w:line="260"/>
            </w:pPr>
            <w:r>
              <w:rPr>
                <w:b/>
                <w:bCs/>
                <w:color w:val="FFFFFF"/>
                <w:sz w:val="19"/>
                <w:szCs w:val="19"/>
              </w:rPr>
              <w:t xml:space="preserve">Valoare</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Fișiere de test adăugate</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9</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Proiecte de test</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2</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Cazuri de test executate</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60</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Aserțiuni</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99</w:t>
            </w:r>
          </w:p>
        </w:tc>
      </w:tr>
      <w:tr>
        <w:tc>
          <w:tcPr>
            <w:tcW w:type="dxa" w:w="5800"/>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Durată totală execuție</w:t>
            </w:r>
          </w:p>
        </w:tc>
        <w:tc>
          <w:tcPr>
            <w:tcW w:type="dxa" w:w="3388"/>
            <w:tcBorders>
              <w:top w:val="single" w:color="AAAAAA" w:sz="1"/>
              <w:left w:val="single" w:color="AAAAAA" w:sz="1"/>
              <w:bottom w:val="single" w:color="AAAAAA" w:sz="1"/>
              <w:right w:val="single" w:color="AAAAAA" w:sz="1"/>
            </w:tcBorders>
            <w:shd w:fill="FFFFFF" w:val="clear"/>
            <w:tcMar>
              <w:top w:type="dxa" w:w="60"/>
              <w:left w:type="dxa" w:w="110"/>
              <w:bottom w:type="dxa" w:w="60"/>
              <w:right w:type="dxa" w:w="110"/>
            </w:tcMar>
            <w:vAlign w:val="center"/>
          </w:tcPr>
          <w:p>
            <w:pPr>
              <w:spacing w:after="0" w:line="260"/>
            </w:pPr>
            <w:r>
              <w:rPr>
                <w:b w:val="false"/>
                <w:bCs w:val="false"/>
                <w:color w:val="000000"/>
                <w:sz w:val="19"/>
                <w:szCs w:val="19"/>
              </w:rPr>
              <w:t xml:space="preserve">~3,3 s</w:t>
            </w:r>
          </w:p>
        </w:tc>
      </w:tr>
    </w:tbl>
    <w:p>
      <w:pPr>
        <w:spacing w:after="200" w:before="60"/>
        <w:jc w:val="center"/>
      </w:pPr>
      <w:r>
        <w:rPr>
          <w:i/>
          <w:iCs/>
          <w:color w:val="555555"/>
          <w:sz w:val="20"/>
          <w:szCs w:val="20"/>
        </w:rPr>
        <w:t xml:space="preserve">Tabelul 6.r4 – Metrici ale suitei de teste</w:t>
      </w:r>
    </w:p>
    <w:sectPr>
      <w:headerReference w:type="default" r:id="rId7"/>
      <w:footerReference w:type="default" r:id="rId8"/>
      <w:pgSz w:w="11906" w:h="16838" w:orient="portrait"/>
      <w:pgMar w:top="1418" w:right="1418" w:bottom="1418"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777777"/>
        <w:sz w:val="16"/>
        <w:szCs w:val="16"/>
      </w:rPr>
      <w:t xml:space="preserve">Rezultate teste automate – Sistem distribuit Vendomat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Cambria" w:cs="Cambria" w:eastAsia="Cambria" w:hAnsi="Cambria"/>
      <w:b/>
      <w:bCs/>
      <w:color w:val="1F3864"/>
      <w:sz w:val="30"/>
      <w:szCs w:val="30"/>
    </w:rPr>
  </w:style>
  <w:style w:type="paragraph" w:styleId="Heading2">
    <w:name w:val="Heading 2"/>
    <w:basedOn w:val="Normal"/>
    <w:next w:val="Normal"/>
    <w:qFormat/>
    <w:pPr>
      <w:keepNext/>
      <w:spacing w:after="110" w:before="220"/>
      <w:outlineLvl w:val="1"/>
    </w:pPr>
    <w:rPr>
      <w:rFonts w:ascii="Cambria" w:cs="Cambria" w:eastAsia="Cambria" w:hAnsi="Cambria"/>
      <w:b/>
      <w:bCs/>
      <w:color w:val="2E75B6"/>
      <w:sz w:val="25"/>
      <w:szCs w:val="25"/>
    </w:rPr>
  </w:style>
  <w:style w:type="paragraph" w:styleId="Heading3">
    <w:name w:val="Heading 3"/>
    <w:basedOn w:val="Normal"/>
    <w:next w:val="Normal"/>
    <w:qFormat/>
    <w:pPr>
      <w:keepNext/>
      <w:spacing w:after="70" w:before="150"/>
      <w:outlineLvl w:val="2"/>
    </w:pPr>
    <w:rPr>
      <w:rFonts w:ascii="Cambria" w:cs="Cambria" w:eastAsia="Cambria" w:hAnsi="Cambria"/>
      <w:b/>
      <w:bCs/>
      <w:i/>
      <w:i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6f0fc59c47d95402388813d1b39f62e56389ab.png"/><Relationship Id="rId10" Type="http://schemas.openxmlformats.org/officeDocument/2006/relationships/image" Target="media/0c5246af1028ccb39c50691aa8e62a96d8e872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Rezultate teste – Vendomat</dc:title>
  <dc:creator>Vendomat</dc:creator>
  <cp:lastModifiedBy>Un-named</cp:lastModifiedBy>
  <cp:revision>1</cp:revision>
  <dcterms:created xsi:type="dcterms:W3CDTF">2026-06-14T12:38:21.572Z</dcterms:created>
  <dcterms:modified xsi:type="dcterms:W3CDTF">2026-06-14T12:38:21.572Z</dcterms:modified>
</cp:coreProperties>
</file>

<file path=docProps/custom.xml><?xml version="1.0" encoding="utf-8"?>
<Properties xmlns="http://schemas.openxmlformats.org/officeDocument/2006/custom-properties" xmlns:vt="http://schemas.openxmlformats.org/officeDocument/2006/docPropsVTypes"/>
</file>