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Xd9efb7391f2a5550bca577963c4515c86212927"/>
    <w:p>
      <w:pPr>
        <w:pStyle w:val="Heading1"/>
        <w:keepNext/>
      </w:pPr>
      <w:r>
        <w:t xml:space="preserve">Evaluating Runtime Authorization Under Context and Provenance Uncertainty for Tool-Using LLM Agents</w:t>
      </w:r>
    </w:p>
    <w:bookmarkStart w:id="20" w:name="abstract"/>
    <w:p>
      <w:pPr>
        <w:pStyle w:val="Heading2"/>
        <w:keepNext/>
      </w:pPr>
      <w:r>
        <w:t xml:space="preserve">Abstract</w:t>
      </w:r>
    </w:p>
    <w:p>
      <w:pPr>
        <w:pStyle w:val="FirstParagraph"/>
      </w:pPr>
      <w:r>
        <w:t xml:space="preserve">Tool-using LLM agents can turn prompt injection into external actions, but</w:t>
      </w:r>
      <w:r>
        <w:t xml:space="preserve"> </w:t>
      </w:r>
      <w:r>
        <w:t xml:space="preserve">measured security depends on runtime authorization. We exclude raw evaluator</w:t>
      </w:r>
      <w:r>
        <w:t xml:space="preserve"> </w:t>
      </w:r>
      <w:r>
        <w:t xml:space="preserve">and scoring fields from online state, vary authorization—including an</w:t>
      </w:r>
      <w:r>
        <w:t xml:space="preserve"> </w:t>
      </w:r>
      <w:r>
        <w:t xml:space="preserve">explicitly gold-derived sensitivity condition—and jointly measure unsafe</w:t>
      </w:r>
      <w:r>
        <w:t xml:space="preserve"> </w:t>
      </w:r>
      <w:r>
        <w:t xml:space="preserve">effects, task completion, burden, failure, latency, and cost.</w:t>
      </w:r>
    </w:p>
    <w:p>
      <w:pPr>
        <w:pStyle w:val="BodyText"/>
      </w:pPr>
      <w:r>
        <w:t xml:space="preserve">We reanalyze 7,353 DeepSeek records and 40 defense-aware adaptive</w:t>
      </w:r>
      <w:r>
        <w:t xml:space="preserve"> </w:t>
      </w:r>
      <w:r>
        <w:t xml:space="preserve">tasks. In a 5,082-record V4 Pro Public matrix, M3-full produced 38/600 unsafe</w:t>
      </w:r>
      <w:r>
        <w:t xml:space="preserve"> </w:t>
      </w:r>
      <w:r>
        <w:t xml:space="preserve">effects versus 13/600 for policy-only, while both completed 49/168 benign tool</w:t>
      </w:r>
      <w:r>
        <w:t xml:space="preserve"> </w:t>
      </w:r>
      <w:r>
        <w:t xml:space="preserve">tasks. A 1,791-record V4 Flash matrix showed the same security</w:t>
      </w:r>
      <w:r>
        <w:t xml:space="preserve"> </w:t>
      </w:r>
      <w:r>
        <w:t xml:space="preserve">direction (24/400 versus 12/400). Adaptive search found first unsafe effects</w:t>
      </w:r>
      <w:r>
        <w:t xml:space="preserve"> </w:t>
      </w:r>
      <w:r>
        <w:t xml:space="preserve">for 4/40 tasks by query 50 and 18/40 by query 200.</w:t>
      </w:r>
    </w:p>
    <w:p>
      <w:pPr>
        <w:pStyle w:val="BodyText"/>
      </w:pPr>
      <w:r>
        <w:t xml:space="preserve">A frozen 900-work-item V4 Pro experiment crossed two Guard variants with</w:t>
      </w:r>
      <w:r>
        <w:t xml:space="preserve"> </w:t>
      </w:r>
      <w:r>
        <w:t xml:space="preserve">non-oracle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and oracle-sensitivity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authorization on</w:t>
      </w:r>
      <w:r>
        <w:t xml:space="preserve"> </w:t>
      </w:r>
      <w:r>
        <w:t xml:space="preserve">180 paired AgentDojo and M3-v2 cases. Three of four main cells had 0/100 unsafe</w:t>
      </w:r>
      <w:r>
        <w:t xml:space="preserve"> </w:t>
      </w:r>
      <w:r>
        <w:t xml:space="preserve">effects and the fourth had 1/100. Changing from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reduced benign-tool completion by 21.67 percentage points for policy-only and</w:t>
      </w:r>
      <w:r>
        <w:t xml:space="preserve"> </w:t>
      </w:r>
      <w:r>
        <w:t xml:space="preserve">15.00 for M3-full. It eliminated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but increased records with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to</w:t>
      </w:r>
      <w:r>
        <w:t xml:space="preserve"> </w:t>
      </w:r>
      <w:r>
        <w:t xml:space="preserve">45.00–48.89%, failures to about 24%, and p95 latency to about 19.5 seconds.</w:t>
      </w:r>
    </w:p>
    <w:p>
      <w:pPr>
        <w:pStyle w:val="BodyText"/>
      </w:pPr>
      <w:r>
        <w:t xml:space="preserve">Authorization construction can therefore alter security–utility measurements</w:t>
      </w:r>
      <w:r>
        <w:t xml:space="preserve"> </w:t>
      </w:r>
      <w:r>
        <w:t xml:space="preserve">even when attack rates appear stable. The evaluated provenance-aware</w:t>
      </w:r>
      <w:r>
        <w:t xml:space="preserve"> </w:t>
      </w:r>
      <w:r>
        <w:t xml:space="preserve">extensions showed no stable gain over policy-only. Gemini free-tier execution</w:t>
      </w:r>
      <w:r>
        <w:t xml:space="preserve"> </w:t>
      </w:r>
      <w:r>
        <w:t xml:space="preserve">closed at 32/450 terminal items, so no cross-provider inference was made.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prompt injection; LLM agents; runtime authorization; provenance; security–utility trade-off</w:t>
      </w:r>
    </w:p>
    <w:bookmarkEnd w:id="20"/>
    <w:bookmarkStart w:id="27" w:name="introduction"/>
    <w:p>
      <w:pPr>
        <w:pStyle w:val="Heading2"/>
        <w:keepNext/>
      </w:pPr>
      <w:r>
        <w:t xml:space="preserve">1. Introduction</w:t>
      </w:r>
    </w:p>
    <w:bookmarkStart w:id="21" w:name="motivation"/>
    <w:p>
      <w:pPr>
        <w:pStyle w:val="Heading3"/>
        <w:keepNext/>
      </w:pPr>
      <w:r>
        <w:t xml:space="preserve">1.1 Motivation</w:t>
      </w:r>
    </w:p>
    <w:p>
      <w:pPr>
        <w:pStyle w:val="FirstParagraph"/>
      </w:pPr>
      <w:r>
        <w:t xml:space="preserve">Tool-using language-model agents turn generated text into actions. An indirect</w:t>
      </w:r>
      <w:r>
        <w:t xml:space="preserve"> </w:t>
      </w:r>
      <w:r>
        <w:t xml:space="preserve">prompt injection embedded in a message, document, webpage, memory item, or tool</w:t>
      </w:r>
      <w:r>
        <w:t xml:space="preserve"> </w:t>
      </w:r>
      <w:r>
        <w:t xml:space="preserve">response can therefore become a request to send data, modify state, or invoke a</w:t>
      </w:r>
      <w:r>
        <w:t xml:space="preserve"> </w:t>
      </w:r>
      <w:r>
        <w:t xml:space="preserve">privileged operation. Public environments such as AgentDojo and InjecAgent</w:t>
      </w:r>
      <w:r>
        <w:t xml:space="preserve"> </w:t>
      </w:r>
      <w:r>
        <w:t xml:space="preserve">show that security must be evaluated together with task utility rather than as</w:t>
      </w:r>
      <w:r>
        <w:t xml:space="preserve"> </w:t>
      </w:r>
      <w:r>
        <w:t xml:space="preserve">a text-classification problem alone</w:t>
      </w:r>
      <w:r>
        <w:t xml:space="preserve"> </w:t>
      </w:r>
      <w:r>
        <w:t xml:space="preserve">(Debenedetti et al. 2024; Zhan et al. 2024)</w:t>
      </w:r>
      <w:r>
        <w:t xml:space="preserve">. Runtime systems including</w:t>
      </w:r>
      <w:r>
        <w:t xml:space="preserve"> </w:t>
      </w:r>
      <w:r>
        <w:t xml:space="preserve">VIGIL, DRIFT, the Task Shield, IPIGuard, and AgentSpec consequently interpose</w:t>
      </w:r>
      <w:r>
        <w:t xml:space="preserve"> </w:t>
      </w:r>
      <w:r>
        <w:t xml:space="preserve">verification, task alignment, dependency, information-flow, or policy checks</w:t>
      </w:r>
      <w:r>
        <w:t xml:space="preserve"> </w:t>
      </w:r>
      <w:r>
        <w:t xml:space="preserve">before an effect is committed</w:t>
      </w:r>
      <w:r>
        <w:t xml:space="preserve"> </w:t>
      </w:r>
      <w:r>
        <w:t xml:space="preserve">(Lin et al. 2026; Li et al. 2025; Jia et al. 2025; H. Wang, Poskitt, and Sun 2026; An et al. 2025)</w:t>
      </w:r>
      <w:r>
        <w:t xml:space="preserve">.</w:t>
      </w:r>
    </w:p>
    <w:p>
      <w:pPr>
        <w:pStyle w:val="BodyText"/>
      </w:pPr>
      <w:r>
        <w:t xml:space="preserve">This literature also makes a broad novelty claim untenable. Verify-before-</w:t>
      </w:r>
      <w:r>
        <w:t xml:space="preserve"> </w:t>
      </w:r>
      <w:r>
        <w:t xml:space="preserve">commit, contextual policy generation, least privilege, planned dependency</w:t>
      </w:r>
      <w:r>
        <w:t xml:space="preserve"> </w:t>
      </w:r>
      <w:r>
        <w:t xml:space="preserve">checks, and control/data-flow separation are already occupied design spaces</w:t>
      </w:r>
      <w:r>
        <w:t xml:space="preserve"> </w:t>
      </w:r>
      <w:r>
        <w:t xml:space="preserve">(Lin et al. 2026; Tsai and Bagdasaryan 2025; Shi et al. 2025; An et al. 2025; Debenedetti et al. 2025)</w:t>
      </w:r>
      <w:r>
        <w:t xml:space="preserve">. Recent preprints go further by auditing</w:t>
      </w:r>
      <w:r>
        <w:t xml:space="preserve"> </w:t>
      </w:r>
      <w:r>
        <w:t xml:space="preserve">context influence, comparing an authorization graph with a parameter-source</w:t>
      </w:r>
      <w:r>
        <w:t xml:space="preserve"> </w:t>
      </w:r>
      <w:r>
        <w:t xml:space="preserve">execution graph, or controlling source authority in next-action decisions</w:t>
      </w:r>
      <w:r>
        <w:t xml:space="preserve"> </w:t>
      </w:r>
      <w:r>
        <w:t xml:space="preserve">(Weng et al. 2026; P. Wang, Li, and Tian 2026; Liao 2026)</w:t>
      </w:r>
      <w:r>
        <w:t xml:space="preserve">. Evidence-backed permission graphs with formal runtime</w:t>
      </w:r>
      <w:r>
        <w:t xml:space="preserve"> </w:t>
      </w:r>
      <w:r>
        <w:t xml:space="preserve">authorization further narrow the mechanism claim boundary</w:t>
      </w:r>
      <w:r>
        <w:t xml:space="preserve"> </w:t>
      </w:r>
      <w:r>
        <w:t xml:space="preserve">(Y. Zhang et al. 2026)</w:t>
      </w:r>
      <w:r>
        <w:t xml:space="preserve">. The open question for this study is therefore not</w:t>
      </w:r>
      <w:r>
        <w:t xml:space="preserve"> </w:t>
      </w:r>
      <w:r>
        <w:t xml:space="preserve">whether a provenance-aware guard can be built for the first time. It is</w:t>
      </w:r>
      <w:r>
        <w:t xml:space="preserve"> </w:t>
      </w:r>
      <w:r>
        <w:t xml:space="preserve">whether authorization information, enforcement structure, and failure</w:t>
      </w:r>
      <w:r>
        <w:t xml:space="preserve"> </w:t>
      </w:r>
      <w:r>
        <w:t xml:space="preserve">handling materially change the security and utility measured for tool-using</w:t>
      </w:r>
      <w:r>
        <w:t xml:space="preserve"> </w:t>
      </w:r>
      <w:r>
        <w:t xml:space="preserve">agents.</w:t>
      </w:r>
    </w:p>
    <w:bookmarkEnd w:id="21"/>
    <w:bookmarkStart w:id="22" w:name="evaluation-gap"/>
    <w:p>
      <w:pPr>
        <w:pStyle w:val="Heading3"/>
        <w:keepNext/>
      </w:pPr>
      <w:r>
        <w:t xml:space="preserve">1.2 Evaluation gap</w:t>
      </w:r>
    </w:p>
    <w:p>
      <w:pPr>
        <w:pStyle w:val="FirstParagraph"/>
      </w:pPr>
      <w:r>
        <w:t xml:space="preserve">Three distinctions are easy to blur in an agent-security experiment.</w:t>
      </w:r>
    </w:p>
    <w:p>
      <w:pPr>
        <w:pStyle w:val="BodyText"/>
      </w:pPr>
      <w:r>
        <w:t xml:space="preserve">First, a detector score or model refusal is not an executed-effect endpoint.</w:t>
      </w:r>
      <w:r>
        <w:t xml:space="preserve"> </w:t>
      </w:r>
      <w:r>
        <w:t xml:space="preserve">Prompt-level structuring, spotlighting, instruction hierarchy, and injection</w:t>
      </w:r>
      <w:r>
        <w:t xml:space="preserve"> </w:t>
      </w:r>
      <w:r>
        <w:t xml:space="preserve">detection can reduce model compliance, but they do not by themselves prove</w:t>
      </w:r>
      <w:r>
        <w:t xml:space="preserve"> </w:t>
      </w:r>
      <w:r>
        <w:t xml:space="preserve">that an unauthorized action failed to cross an external runtime boundary</w:t>
      </w:r>
      <w:r>
        <w:t xml:space="preserve"> </w:t>
      </w:r>
      <w:r>
        <w:t xml:space="preserve">(S. Chen et al. 2025; Hines et al. 2024; Wallace et al. 2024; Y. Chen et al. 2025)</w:t>
      </w:r>
      <w:r>
        <w:t xml:space="preserve">.</w:t>
      </w:r>
    </w:p>
    <w:p>
      <w:pPr>
        <w:pStyle w:val="BodyText"/>
      </w:pPr>
      <w:r>
        <w:t xml:space="preserve">Second, the authorization regime is part of the treatment. A guard that sees</w:t>
      </w:r>
      <w:r>
        <w:t xml:space="preserve"> </w:t>
      </w:r>
      <w:r>
        <w:t xml:space="preserve">per-sample answer keys, evaluator labels, or an exact policy reconstructed from</w:t>
      </w:r>
      <w:r>
        <w:t xml:space="preserve"> </w:t>
      </w:r>
      <w:r>
        <w:t xml:space="preserve">the expected answer is solving a different problem from a guard that receives</w:t>
      </w:r>
      <w:r>
        <w:t xml:space="preserve"> </w:t>
      </w:r>
      <w:r>
        <w:t xml:space="preserve">only trusted user intent and a non-oracle policy compiled before execution.</w:t>
      </w:r>
      <w:r>
        <w:t xml:space="preserve"> </w:t>
      </w:r>
      <w:r>
        <w:t xml:space="preserve">The present source audit does not establish that such leakage is universal, so</w:t>
      </w:r>
      <w:r>
        <w:t xml:space="preserve"> </w:t>
      </w:r>
      <w:r>
        <w:t xml:space="preserve">we frame this as authorization uncertainty rather than a domain-wide</w:t>
      </w:r>
      <w:r>
        <w:t xml:space="preserve"> </w:t>
      </w:r>
      <w:r>
        <w:t xml:space="preserve">answer-key defect.</w:t>
      </w:r>
    </w:p>
    <w:p>
      <w:pPr>
        <w:pStyle w:val="BodyText"/>
      </w:pPr>
      <w:r>
        <w:t xml:space="preserve">Third, low attack success can be purchased by blocking useful work. A runtime</w:t>
      </w:r>
      <w:r>
        <w:t xml:space="preserve"> </w:t>
      </w:r>
      <w:r>
        <w:t xml:space="preserve">defense must therefore report executed unsafe effects, benign task completion,</w:t>
      </w:r>
      <w:r>
        <w:t xml:space="preserve"> </w:t>
      </w:r>
      <w:r>
        <w:t xml:space="preserve">confirmation burden, operational failures, latency, tokens, and cost under a</w:t>
      </w:r>
      <w:r>
        <w:t xml:space="preserve"> </w:t>
      </w:r>
      <w:r>
        <w:t xml:space="preserve">common intention-to-treat denominator. Static attacks are also insufficient</w:t>
      </w:r>
      <w:r>
        <w:t xml:space="preserve"> </w:t>
      </w:r>
      <w:r>
        <w:t xml:space="preserve">for a robustness claim when an attacker can adapt to the public defense</w:t>
      </w:r>
      <w:r>
        <w:t xml:space="preserve"> </w:t>
      </w:r>
      <w:r>
        <w:t xml:space="preserve">interface</w:t>
      </w:r>
      <w:r>
        <w:t xml:space="preserve"> </w:t>
      </w:r>
      <w:r>
        <w:t xml:space="preserve">(Nasr et al. 2025)</w:t>
      </w:r>
      <w:r>
        <w:t xml:space="preserve">.</w:t>
      </w:r>
    </w:p>
    <w:bookmarkEnd w:id="22"/>
    <w:bookmarkStart w:id="23" w:name="research-questions"/>
    <w:p>
      <w:pPr>
        <w:pStyle w:val="Heading3"/>
        <w:keepNext/>
      </w:pPr>
      <w:r>
        <w:t xml:space="preserve">1.3 Research questions</w:t>
      </w:r>
    </w:p>
    <w:p>
      <w:pPr>
        <w:pStyle w:val="FirstParagraph"/>
      </w:pPr>
      <w:r>
        <w:t xml:space="preserve">The study asks three questions.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RQ1: Authorization regime.</w:t>
      </w:r>
      <w:r>
        <w:t xml:space="preserve"> </w:t>
      </w:r>
      <w:r>
        <w:t xml:space="preserve">How do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underspecified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conflicting</w:t>
      </w:r>
      <w:r>
        <w:t xml:space="preserve"> </w:t>
      </w:r>
      <w:r>
        <w:t xml:space="preserve">authorization regimes change</w:t>
      </w:r>
      <w:r>
        <w:t xml:space="preserve"> </w:t>
      </w:r>
      <w:r>
        <w:t xml:space="preserve">unsafe effect, benign task completion, and</w:t>
      </w:r>
      <w:r>
        <w:t xml:space="preserve"> </w:t>
      </w:r>
      <w:r>
        <w:rPr>
          <w:rStyle w:val="VerbatimChar"/>
        </w:rPr>
        <w:t xml:space="preserve">ASK/DENY</w:t>
      </w:r>
      <w:r>
        <w:t xml:space="preserve"> </w:t>
      </w:r>
      <w:r>
        <w:t xml:space="preserve">burden?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RQ2: Module contribution.</w:t>
      </w:r>
      <w:r>
        <w:t xml:space="preserve"> </w:t>
      </w:r>
      <w:r>
        <w:t xml:space="preserve">Does provenance, temporal/data-flow</w:t>
      </w:r>
      <w:r>
        <w:t xml:space="preserve"> </w:t>
      </w:r>
      <w:r>
        <w:t xml:space="preserve">enforcement, and confirmation add security beyond the same runtime with</w:t>
      </w:r>
      <w:r>
        <w:t xml:space="preserve"> </w:t>
      </w:r>
      <w:r>
        <w:t xml:space="preserve">policy-only enforcement, and what does it cost operationally?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RQ3: External validity and adaptive budget.</w:t>
      </w:r>
      <w:r>
        <w:t xml:space="preserve"> </w:t>
      </w:r>
      <w:r>
        <w:t xml:space="preserve">Are these directions</w:t>
      </w:r>
      <w:r>
        <w:t xml:space="preserve"> </w:t>
      </w:r>
      <w:r>
        <w:t xml:space="preserve">stable across AgentDojo, M3-v2, a second provider, and the completed</w:t>
      </w:r>
      <w:r>
        <w:t xml:space="preserve"> </w:t>
      </w:r>
      <w:r>
        <w:t xml:space="preserve">defense-aware budgets 50 and 200?</w:t>
      </w:r>
    </w:p>
    <w:bookmarkEnd w:id="23"/>
    <w:bookmarkStart w:id="24" w:name="study-design"/>
    <w:p>
      <w:pPr>
        <w:pStyle w:val="Heading3"/>
        <w:keepNext/>
      </w:pPr>
      <w:r>
        <w:t xml:space="preserve">1.4 Study design</w:t>
      </w:r>
    </w:p>
    <w:p>
      <w:pPr>
        <w:pStyle w:val="FirstParagraph"/>
      </w:pPr>
      <w:r>
        <w:t xml:space="preserve">M3 uses a three-state runtime decision (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</w:t>
      </w:r>
      <w:r>
        <w:t xml:space="preserve"> </w:t>
      </w:r>
      <w:r>
        <w:rPr>
          <w:rStyle w:val="VerbatimChar"/>
        </w:rPr>
        <w:t xml:space="preserve">DENY</w:t>
      </w:r>
      <w:r>
        <w:t xml:space="preserve">), a projection</w:t>
      </w:r>
      <w:r>
        <w:t xml:space="preserve"> </w:t>
      </w:r>
      <w:r>
        <w:t xml:space="preserve">that excludes evaluator-only fields from online state, permission monotonicity</w:t>
      </w:r>
      <w:r>
        <w:t xml:space="preserve"> </w:t>
      </w:r>
      <w:r>
        <w:t xml:space="preserve">for automatic paths, parameter-source evidence, and independent confirmation</w:t>
      </w:r>
      <w:r>
        <w:t xml:space="preserve"> </w:t>
      </w:r>
      <w:r>
        <w:t xml:space="preserve">for privilege expansion. The primary paired experiment crosses policy-only</w:t>
      </w:r>
      <w:r>
        <w:t xml:space="preserve"> </w:t>
      </w:r>
      <w:r>
        <w:t xml:space="preserve">and M3-full with non-oracle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and oracle-sensitivity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. A nested subset adds three authorization stress regimes. The</w:t>
      </w:r>
      <w:r>
        <w:t xml:space="preserve"> </w:t>
      </w:r>
      <w:r>
        <w:t xml:space="preserve">cross-provider subset adds a peer-reviewed structural condition. Timeouts,</w:t>
      </w:r>
      <w:r>
        <w:t xml:space="preserve"> </w:t>
      </w:r>
      <w:r>
        <w:t xml:space="preserve">parsing failures, refusals, maximum-step outcomes, and provider failures remain</w:t>
      </w:r>
      <w:r>
        <w:t xml:space="preserve"> </w:t>
      </w:r>
      <w:r>
        <w:t xml:space="preserve">in the intention-to-treat denominator.</w:t>
      </w:r>
    </w:p>
    <w:p>
      <w:pPr>
        <w:pStyle w:val="BodyText"/>
      </w:pPr>
      <w:r>
        <w:t xml:space="preserve">The new primary sample contains 180 paired cases and 900 DeepSeek V4 Pro work</w:t>
      </w:r>
      <w:r>
        <w:t xml:space="preserve"> </w:t>
      </w:r>
      <w:r>
        <w:t xml:space="preserve">items; a nested 90-case sample contributes 450 planned Gemini 3.6 Flash work</w:t>
      </w:r>
      <w:r>
        <w:t xml:space="preserve"> </w:t>
      </w:r>
      <w:r>
        <w:t xml:space="preserve">items. The design separately reuses the completed 480-record medium study,</w:t>
      </w:r>
      <w:r>
        <w:t xml:space="preserve"> </w:t>
      </w:r>
      <w:r>
        <w:t xml:space="preserve">5,082-record Pro Public matrix, 1,791-record Flash Public matrix, and the</w:t>
      </w:r>
      <w:r>
        <w:t xml:space="preserve"> </w:t>
      </w:r>
      <w:r>
        <w:t xml:space="preserve">40-task adaptive evidence at budgets 50 and 200. Provider tools and real</w:t>
      </w:r>
      <w:r>
        <w:t xml:space="preserve"> </w:t>
      </w:r>
      <w:r>
        <w:t xml:space="preserve">external effects are prohibited throughout.</w:t>
      </w:r>
    </w:p>
    <w:bookmarkEnd w:id="24"/>
    <w:bookmarkStart w:id="25" w:name="empirical-motivation-and-study-framing"/>
    <w:p>
      <w:pPr>
        <w:pStyle w:val="Heading3"/>
        <w:keepNext/>
      </w:pPr>
      <w:r>
        <w:t xml:space="preserve">1.5 Empirical motivation and study framing</w:t>
      </w:r>
    </w:p>
    <w:p>
      <w:pPr>
        <w:pStyle w:val="FirstParagraph"/>
      </w:pPr>
      <w:r>
        <w:t xml:space="preserve">The completed medium falsification study did not support an incremental</w:t>
      </w:r>
      <w:r>
        <w:t xml:space="preserve"> </w:t>
      </w:r>
      <w:r>
        <w:t xml:space="preserve">mechanism claim. M3-full reduced</w:t>
      </w:r>
      <w:r>
        <w:t xml:space="preserve"> </w:t>
      </w:r>
      <w:r>
        <w:t xml:space="preserve">unsafe effects from 8/36 under the structural condition to 0/36, but M3</w:t>
      </w:r>
      <w:r>
        <w:t xml:space="preserve"> </w:t>
      </w:r>
      <w:r>
        <w:t xml:space="preserve">policy-only also produced 0/36. Benign tool completion fell from 12/24 under</w:t>
      </w:r>
      <w:r>
        <w:t xml:space="preserve"> </w:t>
      </w:r>
      <w:r>
        <w:t xml:space="preserve">the structural condition to 6/24 under M3-full, violating the preregistered</w:t>
      </w:r>
      <w:r>
        <w:t xml:space="preserve"> </w:t>
      </w:r>
      <w:r>
        <w:t xml:space="preserve">non-inferiority margin. These observations motivate an empirical study of</w:t>
      </w:r>
      <w:r>
        <w:t xml:space="preserve"> </w:t>
      </w:r>
      <w:r>
        <w:t xml:space="preserve">authorization uncertainty and the security–utility frontier rather than a</w:t>
      </w:r>
      <w:r>
        <w:t xml:space="preserve"> </w:t>
      </w:r>
      <w:r>
        <w:t xml:space="preserve">claim that M3-full is a new or state-of-the-art defense.</w:t>
      </w:r>
    </w:p>
    <w:p>
      <w:pPr>
        <w:pStyle w:val="BodyText"/>
      </w:pPr>
      <w:r>
        <w:t xml:space="preserve">The larger, independently reproduced Public primary matrix reinforced this</w:t>
      </w:r>
      <w:r>
        <w:t xml:space="preserve"> </w:t>
      </w:r>
      <w:r>
        <w:t xml:space="preserve">finding. Across 600 attacks, M3-full reduced unsafe effects from 133 under</w:t>
      </w:r>
      <w:r>
        <w:t xml:space="preserve"> </w:t>
      </w:r>
      <w:r>
        <w:t xml:space="preserve">the structural condition to 38, but policy-only produced only 13. Across 168</w:t>
      </w:r>
      <w:r>
        <w:t xml:space="preserve"> </w:t>
      </w:r>
      <w:r>
        <w:t xml:space="preserve">benign tool tasks, both M3 variants completed 49 versus 103 under the</w:t>
      </w:r>
      <w:r>
        <w:t xml:space="preserve"> </w:t>
      </w:r>
      <w:r>
        <w:t xml:space="preserve">structural condition. The full mechanism therefore shows neither incremental</w:t>
      </w:r>
      <w:r>
        <w:t xml:space="preserve"> </w:t>
      </w:r>
      <w:r>
        <w:t xml:space="preserve">security nor utility value beyond policy-only in the primary-model evidence.</w:t>
      </w:r>
      <w:r>
        <w:t xml:space="preserve"> </w:t>
      </w:r>
      <w:r>
        <w:t xml:space="preserve">The 1.4955% retained diagnostic fraction also exceeds the predefined 1%</w:t>
      </w:r>
      <w:r>
        <w:t xml:space="preserve"> </w:t>
      </w:r>
      <w:r>
        <w:t xml:space="preserve">threshold for a clean mechanism-quality claim.</w:t>
      </w:r>
    </w:p>
    <w:p>
      <w:pPr>
        <w:pStyle w:val="BodyText"/>
      </w:pPr>
      <w:r>
        <w:t xml:space="preserve">The completed 40-task adaptive panel observed first unsafe effect for 4/40</w:t>
      </w:r>
      <w:r>
        <w:t xml:space="preserve"> </w:t>
      </w:r>
      <w:r>
        <w:t xml:space="preserve">tasks by budget 50 and 18/40 by budget 200. These points show substantial</w:t>
      </w:r>
      <w:r>
        <w:t xml:space="preserve"> </w:t>
      </w:r>
      <w:r>
        <w:t xml:space="preserve">budget sensitivity but do not establish saturation. The lean paper therefore</w:t>
      </w:r>
      <w:r>
        <w:t xml:space="preserve"> </w:t>
      </w:r>
      <w:r>
        <w:t xml:space="preserve">reports a first-success curve only through query 200 and makes no budget-500 or</w:t>
      </w:r>
      <w:r>
        <w:t xml:space="preserve"> </w:t>
      </w:r>
      <w:r>
        <w:t xml:space="preserve">2,000 claim.</w:t>
      </w:r>
    </w:p>
    <w:p>
      <w:pPr>
        <w:pStyle w:val="BodyText"/>
      </w:pPr>
      <w:r>
        <w:t xml:space="preserve">The prospectively frozen authorization-regime experiment is now complete for</w:t>
      </w:r>
      <w:r>
        <w:t xml:space="preserve"> </w:t>
      </w:r>
      <w:r>
        <w:t xml:space="preserve">DeepSeek. Unsafe effects remained at or near zero across all four main cells,</w:t>
      </w:r>
      <w:r>
        <w:t xml:space="preserve"> </w:t>
      </w:r>
      <w:r>
        <w:t xml:space="preserve">but exact authorization reduced benign-tool completion, replaced ASK with much</w:t>
      </w:r>
      <w:r>
        <w:t xml:space="preserve"> </w:t>
      </w:r>
      <w:r>
        <w:t xml:space="preserve">more frequent DENY, and increased failure and latency. M3-full showed no stable</w:t>
      </w:r>
      <w:r>
        <w:t xml:space="preserve"> </w:t>
      </w:r>
      <w:r>
        <w:t xml:space="preserve">incremental security or utility advantage over policy-only. These unfavorable</w:t>
      </w:r>
      <w:r>
        <w:t xml:space="preserve"> </w:t>
      </w:r>
      <w:r>
        <w:t xml:space="preserve">results are retained. Gemini free-tier execution closed incomplete at 32/450</w:t>
      </w:r>
      <w:r>
        <w:t xml:space="preserve"> </w:t>
      </w:r>
      <w:r>
        <w:t xml:space="preserve">terminal work items and therefore supports no cross-provider claim.</w:t>
      </w:r>
    </w:p>
    <w:bookmarkEnd w:id="25"/>
    <w:bookmarkStart w:id="26" w:name="contributions"/>
    <w:p>
      <w:pPr>
        <w:pStyle w:val="Heading3"/>
        <w:keepNext/>
      </w:pPr>
      <w:r>
        <w:t xml:space="preserve">1.6 Contributions</w:t>
      </w:r>
    </w:p>
    <w:p>
      <w:pPr>
        <w:pStyle w:val="FirstParagraph"/>
      </w:pPr>
      <w:r>
        <w:t xml:space="preserve">The current evidence supports four bounded contributions:</w:t>
      </w:r>
    </w:p>
    <w:p>
      <w:pPr>
        <w:numPr>
          <w:ilvl w:val="0"/>
          <w:numId w:val="1002"/>
        </w:numPr>
        <w:pStyle w:val="Compact"/>
      </w:pPr>
      <w:r>
        <w:t xml:space="preserve">an evaluator/online-state contract that makes authorization visibility</w:t>
      </w:r>
      <w:r>
        <w:t xml:space="preserve"> </w:t>
      </w:r>
      <w:r>
        <w:t xml:space="preserve">explicit and prevents evaluator-only fields from entering runtime state;</w:t>
      </w:r>
    </w:p>
    <w:p>
      <w:pPr>
        <w:numPr>
          <w:ilvl w:val="0"/>
          <w:numId w:val="1002"/>
        </w:numPr>
        <w:pStyle w:val="Compact"/>
      </w:pPr>
      <w:r>
        <w:t xml:space="preserve">a paired security–utility evaluation that directly compares policy-only and</w:t>
      </w:r>
      <w:r>
        <w:t xml:space="preserve"> </w:t>
      </w:r>
      <w:r>
        <w:t xml:space="preserve">full provenance/temporal/confirmation enforcement;</w:t>
      </w:r>
    </w:p>
    <w:p>
      <w:pPr>
        <w:numPr>
          <w:ilvl w:val="0"/>
          <w:numId w:val="1002"/>
        </w:numPr>
        <w:pStyle w:val="Compact"/>
      </w:pPr>
      <w:r>
        <w:t xml:space="preserve">an intention-to-treat experiment that records official model identity,</w:t>
      </w:r>
      <w:r>
        <w:t xml:space="preserve"> </w:t>
      </w:r>
      <w:r>
        <w:t xml:space="preserve">request commitments, isolated effects, and terminal diagnostics while</w:t>
      </w:r>
      <w:r>
        <w:t xml:space="preserve"> </w:t>
      </w:r>
      <w:r>
        <w:t xml:space="preserve">retrying only response-less failed rows; and</w:t>
      </w:r>
    </w:p>
    <w:p>
      <w:pPr>
        <w:numPr>
          <w:ilvl w:val="0"/>
          <w:numId w:val="1002"/>
        </w:numPr>
        <w:pStyle w:val="Compact"/>
      </w:pPr>
      <w:r>
        <w:t xml:space="preserve">an empirical account of authorization regime, confirmation burden,</w:t>
      </w:r>
      <w:r>
        <w:t xml:space="preserve"> </w:t>
      </w:r>
      <w:r>
        <w:t xml:space="preserve">benchmark/task heterogeneity, and defense-aware attack budget.</w:t>
      </w:r>
    </w:p>
    <w:p>
      <w:pPr>
        <w:pStyle w:val="FirstParagraph"/>
      </w:pPr>
      <w:r>
        <w:t xml:space="preserve">These contributions do not assert first, only, or SOTA status. Preprints are</w:t>
      </w:r>
      <w:r>
        <w:t xml:space="preserve"> </w:t>
      </w:r>
      <w:r>
        <w:t xml:space="preserve">used to define the contemporary novelty boundary, not as peer-reviewed</w:t>
      </w:r>
      <w:r>
        <w:t xml:space="preserve"> </w:t>
      </w:r>
      <w:r>
        <w:t xml:space="preserve">evidence.</w:t>
      </w:r>
    </w:p>
    <w:bookmarkEnd w:id="26"/>
    <w:bookmarkEnd w:id="27"/>
    <w:bookmarkStart w:id="33" w:name="related-work"/>
    <w:p>
      <w:pPr>
        <w:pStyle w:val="Heading2"/>
        <w:keepNext/>
      </w:pPr>
      <w:r>
        <w:t xml:space="preserve">2. Related work</w:t>
      </w:r>
    </w:p>
    <w:bookmarkStart w:id="28" w:name="runtime-verification-and-task-alignment"/>
    <w:p>
      <w:pPr>
        <w:pStyle w:val="Heading3"/>
        <w:keepNext/>
      </w:pPr>
      <w:r>
        <w:t xml:space="preserve">2.1 Runtime verification and task alignment</w:t>
      </w:r>
    </w:p>
    <w:p>
      <w:pPr>
        <w:pStyle w:val="FirstParagraph"/>
      </w:pPr>
      <w:r>
        <w:t xml:space="preserve">VIGIL implements a verify-before-commit protocol for tool-stream injection and</w:t>
      </w:r>
      <w:r>
        <w:t xml:space="preserve"> </w:t>
      </w:r>
      <w:r>
        <w:t xml:space="preserve">introduces the 959-case SIREN benchmark</w:t>
      </w:r>
      <w:r>
        <w:t xml:space="preserve"> </w:t>
      </w:r>
      <w:r>
        <w:t xml:space="preserve">(Lin et al. 2026)</w:t>
      </w:r>
      <w:r>
        <w:t xml:space="preserve">. It is the closest</w:t>
      </w:r>
      <w:r>
        <w:t xml:space="preserve"> </w:t>
      </w:r>
      <w:r>
        <w:t xml:space="preserve">peer-reviewed structural comparator to M3 because both systems interpose before</w:t>
      </w:r>
      <w:r>
        <w:t xml:space="preserve"> </w:t>
      </w:r>
      <w:r>
        <w:t xml:space="preserve">an effect is committed. DRIFT instead combines dynamic rules with control- and</w:t>
      </w:r>
      <w:r>
        <w:t xml:space="preserve"> </w:t>
      </w:r>
      <w:r>
        <w:t xml:space="preserve">data-level constraints and memory-stream isolation</w:t>
      </w:r>
      <w:r>
        <w:t xml:space="preserve"> </w:t>
      </w:r>
      <w:r>
        <w:t xml:space="preserve">(Li et al. 2025)</w:t>
      </w:r>
      <w:r>
        <w:t xml:space="preserve">.</w:t>
      </w:r>
      <w:r>
        <w:t xml:space="preserve"> </w:t>
      </w:r>
      <w:r>
        <w:t xml:space="preserve">The Task Shield verifies whether instructions and tool calls contribute to the</w:t>
      </w:r>
      <w:r>
        <w:t xml:space="preserve"> </w:t>
      </w:r>
      <w:r>
        <w:t xml:space="preserve">user’s declared objective</w:t>
      </w:r>
      <w:r>
        <w:t xml:space="preserve"> </w:t>
      </w:r>
      <w:r>
        <w:t xml:space="preserve">(Jia et al. 2025)</w:t>
      </w:r>
      <w:r>
        <w:t xml:space="preserve">. Together, these</w:t>
      </w:r>
      <w:r>
        <w:t xml:space="preserve"> </w:t>
      </w:r>
      <w:r>
        <w:t xml:space="preserve">peer-reviewed systems prevent us from claiming that M3 introduced</w:t>
      </w:r>
      <w:r>
        <w:t xml:space="preserve"> </w:t>
      </w:r>
      <w:r>
        <w:t xml:space="preserve">verify-before-commit, dynamic information-flow checks, or task-alignment</w:t>
      </w:r>
      <w:r>
        <w:t xml:space="preserve"> </w:t>
      </w:r>
      <w:r>
        <w:t xml:space="preserve">verification.</w:t>
      </w:r>
    </w:p>
    <w:p>
      <w:pPr>
        <w:pStyle w:val="BodyText"/>
      </w:pPr>
      <w:r>
        <w:t xml:space="preserve">PlanGuard is a related preprint that isolates planning from untrusted context</w:t>
      </w:r>
      <w:r>
        <w:t xml:space="preserve"> </w:t>
      </w:r>
      <w:r>
        <w:t xml:space="preserve">and applies hierarchical tool and parameter consistency checks</w:t>
      </w:r>
      <w:r>
        <w:t xml:space="preserve"> </w:t>
      </w:r>
      <w:r>
        <w:t xml:space="preserve">(Gong and Deng 2026)</w:t>
      </w:r>
      <w:r>
        <w:t xml:space="preserve">. Its presence further narrows the</w:t>
      </w:r>
      <w:r>
        <w:t xml:space="preserve"> </w:t>
      </w:r>
      <w:r>
        <w:t xml:space="preserve">possible novelty claim: planning consistency is an adjacent mechanism, not an</w:t>
      </w:r>
      <w:r>
        <w:t xml:space="preserve"> </w:t>
      </w:r>
      <w:r>
        <w:t xml:space="preserve">unoccupied problem. We therefore use these works to define comparison classes</w:t>
      </w:r>
      <w:r>
        <w:t xml:space="preserve"> </w:t>
      </w:r>
      <w:r>
        <w:t xml:space="preserve">and mechanism boundaries rather than to motivate a first-or-only claim.</w:t>
      </w:r>
    </w:p>
    <w:bookmarkEnd w:id="28"/>
    <w:bookmarkStart w:id="29" w:name="Xd227e0197ba26148da0e2a8675d48a123c2d1a2"/>
    <w:p>
      <w:pPr>
        <w:pStyle w:val="Heading3"/>
        <w:keepNext/>
      </w:pPr>
      <w:r>
        <w:t xml:space="preserve">2.2 Privilege, provenance, and information flow</w:t>
      </w:r>
    </w:p>
    <w:p>
      <w:pPr>
        <w:pStyle w:val="FirstParagraph"/>
      </w:pPr>
      <w:r>
        <w:t xml:space="preserve">Progent represents least privilege as symbolic tool-and-argument rules. Its</w:t>
      </w:r>
      <w:r>
        <w:t xml:space="preserve"> </w:t>
      </w:r>
      <w:r>
        <w:t xml:space="preserve">latest arXiv v3 description explicitly distinguishes automatic narrowing from</w:t>
      </w:r>
      <w:r>
        <w:t xml:space="preserve"> </w:t>
      </w:r>
      <w:r>
        <w:t xml:space="preserve">expansion that requires approval</w:t>
      </w:r>
      <w:r>
        <w:t xml:space="preserve"> </w:t>
      </w:r>
      <w:r>
        <w:t xml:space="preserve">(Shi et al. 2025)</w:t>
      </w:r>
      <w:r>
        <w:t xml:space="preserve">. This overlaps directly with M3’s</w:t>
      </w:r>
      <w:r>
        <w:t xml:space="preserve"> </w:t>
      </w:r>
      <w:r>
        <w:t xml:space="preserve">permission-monotonicity and confirmation design. IPIGuard, published at EMNLP</w:t>
      </w:r>
      <w:r>
        <w:t xml:space="preserve"> </w:t>
      </w:r>
      <w:r>
        <w:t xml:space="preserve">2025, constrains execution through a planned tool-dependency graph</w:t>
      </w:r>
      <w:r>
        <w:t xml:space="preserve"> </w:t>
      </w:r>
      <w:r>
        <w:t xml:space="preserve">(An et al. 2025)</w:t>
      </w:r>
      <w:r>
        <w:t xml:space="preserve">.</w:t>
      </w:r>
      <w:r>
        <w:t xml:space="preserve"> </w:t>
      </w:r>
      <w:r>
        <w:t xml:space="preserve">CaMeL separates trusted control and data flow and uses capabilities to prevent</w:t>
      </w:r>
      <w:r>
        <w:t xml:space="preserve"> </w:t>
      </w:r>
      <w:r>
        <w:t xml:space="preserve">unauthorized flows</w:t>
      </w:r>
      <w:r>
        <w:t xml:space="preserve"> </w:t>
      </w:r>
      <w:r>
        <w:t xml:space="preserve">(Debenedetti et al. 2025)</w:t>
      </w:r>
      <w:r>
        <w:t xml:space="preserve">. These systems occupy the privilege,</w:t>
      </w:r>
      <w:r>
        <w:t xml:space="preserve"> </w:t>
      </w:r>
      <w:r>
        <w:t xml:space="preserve">dependency, and information-flow design space that a provenance-aware runtime</w:t>
      </w:r>
      <w:r>
        <w:t xml:space="preserve"> </w:t>
      </w:r>
      <w:r>
        <w:t xml:space="preserve">must acknowledge.</w:t>
      </w:r>
    </w:p>
    <w:p>
      <w:pPr>
        <w:pStyle w:val="BodyText"/>
      </w:pPr>
      <w:r>
        <w:t xml:space="preserve">FAVA is a July 2026 preprint that translates natural-language tasks into a</w:t>
      </w:r>
      <w:r>
        <w:t xml:space="preserve"> </w:t>
      </w:r>
      <w:r>
        <w:t xml:space="preserve">permission intermediate representation, lowers it to an evidence-backed</w:t>
      </w:r>
      <w:r>
        <w:t xml:space="preserve"> </w:t>
      </w:r>
      <w:r>
        <w:t xml:space="preserve">permission graph, and uses an SMT authorizer before effectful execution</w:t>
      </w:r>
      <w:r>
        <w:t xml:space="preserve"> </w:t>
      </w:r>
      <w:r>
        <w:t xml:space="preserve">(Y. Zhang et al. 2026)</w:t>
      </w:r>
      <w:r>
        <w:t xml:space="preserve">.</w:t>
      </w:r>
      <w:r>
        <w:t xml:space="preserve"> </w:t>
      </w:r>
      <w:r>
        <w:t xml:space="preserve">It further narrows any mechanism</w:t>
      </w:r>
      <w:r>
        <w:t xml:space="preserve"> </w:t>
      </w:r>
      <w:r>
        <w:t xml:space="preserve">novelty claim around structured authorization and data-flow-aware permission</w:t>
      </w:r>
      <w:r>
        <w:t xml:space="preserve"> </w:t>
      </w:r>
      <w:r>
        <w:t xml:space="preserve">graphs. Our study differs by treating the authorization regime itself as the</w:t>
      </w:r>
      <w:r>
        <w:t xml:space="preserve"> </w:t>
      </w:r>
      <w:r>
        <w:t xml:space="preserve">paired experimental factor and by jointly measuring executed unsafe effects,</w:t>
      </w:r>
      <w:r>
        <w:t xml:space="preserve"> </w:t>
      </w:r>
      <w:r>
        <w:t xml:space="preserve">benign utility, confirmation/blocking burden, and operational failure.</w:t>
      </w:r>
    </w:p>
    <w:p>
      <w:pPr>
        <w:pStyle w:val="BodyText"/>
      </w:pPr>
      <w:r>
        <w:t xml:space="preserve">Two 2026 preprints overlap even more closely with provenance-aware</w:t>
      </w:r>
      <w:r>
        <w:t xml:space="preserve"> </w:t>
      </w:r>
      <w:r>
        <w:t xml:space="preserve">authorization. ARGUS constructs an influence-provenance graph for</w:t>
      </w:r>
      <w:r>
        <w:t xml:space="preserve"> </w:t>
      </w:r>
      <w:r>
        <w:t xml:space="preserve">context-dependent decisions</w:t>
      </w:r>
      <w:r>
        <w:t xml:space="preserve"> </w:t>
      </w:r>
      <w:r>
        <w:t xml:space="preserve">(Weng et al. 2026)</w:t>
      </w:r>
      <w:r>
        <w:t xml:space="preserve">, while AuthGraph compares an</w:t>
      </w:r>
      <w:r>
        <w:t xml:space="preserve"> </w:t>
      </w:r>
      <w:r>
        <w:t xml:space="preserve">authorization graph derived in an isolated context against a parameter-source</w:t>
      </w:r>
      <w:r>
        <w:t xml:space="preserve"> </w:t>
      </w:r>
      <w:r>
        <w:t xml:space="preserve">execution graph</w:t>
      </w:r>
      <w:r>
        <w:t xml:space="preserve"> </w:t>
      </w:r>
      <w:r>
        <w:t xml:space="preserve">(P. Wang, Li, and Tian 2026)</w:t>
      </w:r>
      <w:r>
        <w:t xml:space="preserve">. Their existence rules out a claim</w:t>
      </w:r>
      <w:r>
        <w:t xml:space="preserve"> </w:t>
      </w:r>
      <w:r>
        <w:t xml:space="preserve">that M3 is the first parameter-source or provenance-aware authorization</w:t>
      </w:r>
      <w:r>
        <w:t xml:space="preserve"> </w:t>
      </w:r>
      <w:r>
        <w:t xml:space="preserve">defense. Because neither work is treated here as peer reviewed, their reported</w:t>
      </w:r>
      <w:r>
        <w:t xml:space="preserve"> </w:t>
      </w:r>
      <w:r>
        <w:t xml:space="preserve">effects define the contemporary claim boundary but are not used as settled</w:t>
      </w:r>
      <w:r>
        <w:t xml:space="preserve"> </w:t>
      </w:r>
      <w:r>
        <w:t xml:space="preserve">comparative facts.</w:t>
      </w:r>
    </w:p>
    <w:p>
      <w:pPr>
        <w:pStyle w:val="BodyText"/>
      </w:pPr>
      <w:r>
        <w:rPr>
          <w:iCs/>
          <w:i/>
        </w:rPr>
        <w:t xml:space="preserve">Auditing Provenance Sensitivity in LLM Agent Action Selection</w:t>
      </w:r>
      <w:r>
        <w:t xml:space="preserve"> </w:t>
      </w:r>
      <w:r>
        <w:t xml:space="preserve">supplies an</w:t>
      </w:r>
      <w:r>
        <w:t xml:space="preserve"> </w:t>
      </w:r>
      <w:r>
        <w:t xml:space="preserve">especially close 2026 measurement counterpart: it holds task content and</w:t>
      </w:r>
      <w:r>
        <w:t xml:space="preserve"> </w:t>
      </w:r>
      <w:r>
        <w:t xml:space="preserve">policy fixed while changing source authority, then measures whether action</w:t>
      </w:r>
      <w:r>
        <w:t xml:space="preserve"> </w:t>
      </w:r>
      <w:r>
        <w:t xml:space="preserve">selection changes</w:t>
      </w:r>
      <w:r>
        <w:t xml:space="preserve"> </w:t>
      </w:r>
      <w:r>
        <w:t xml:space="preserve">(Liao 2026)</w:t>
      </w:r>
      <w:r>
        <w:t xml:space="preserve">. Its</w:t>
      </w:r>
      <w:r>
        <w:t xml:space="preserve"> </w:t>
      </w:r>
      <w:r>
        <w:t xml:space="preserve">controlled next-action design is narrower than M3’s executed-effect study, but</w:t>
      </w:r>
      <w:r>
        <w:t xml:space="preserve"> </w:t>
      </w:r>
      <w:r>
        <w:t xml:space="preserve">it reinforces the need to separate evidence relevance from authorization. Our</w:t>
      </w:r>
      <w:r>
        <w:t xml:space="preserve"> </w:t>
      </w:r>
      <w:r>
        <w:t xml:space="preserve">experiment extends that question to full tool trajectories, paired runtime</w:t>
      </w:r>
      <w:r>
        <w:t xml:space="preserve"> </w:t>
      </w:r>
      <w:r>
        <w:t xml:space="preserve">Guard conditions, benign utility,</w:t>
      </w:r>
      <w:r>
        <w:t xml:space="preserve"> </w:t>
      </w:r>
      <w:r>
        <w:rPr>
          <w:rStyle w:val="VerbatimChar"/>
        </w:rPr>
        <w:t xml:space="preserve">ASK/DENY</w:t>
      </w:r>
      <w:r>
        <w:t xml:space="preserve"> </w:t>
      </w:r>
      <w:r>
        <w:t xml:space="preserve">burden, and operational failure.</w:t>
      </w:r>
    </w:p>
    <w:p>
      <w:pPr>
        <w:pStyle w:val="BodyText"/>
      </w:pPr>
      <w:r>
        <w:t xml:space="preserve">The remaining defensible contribution is consequently methodological and</w:t>
      </w:r>
      <w:r>
        <w:t xml:space="preserve"> </w:t>
      </w:r>
      <w:r>
        <w:t xml:space="preserve">empirical. We test whether authorization information itself changes measured</w:t>
      </w:r>
      <w:r>
        <w:t xml:space="preserve"> </w:t>
      </w:r>
      <w:r>
        <w:t xml:space="preserve">security and utility; enforce a runtime projection that excludes evaluator</w:t>
      </w:r>
      <w:r>
        <w:t xml:space="preserve"> </w:t>
      </w:r>
      <w:r>
        <w:t xml:space="preserve">fields; compare policy-only and full provenance/temporal/confirmation variants</w:t>
      </w:r>
      <w:r>
        <w:t xml:space="preserve"> </w:t>
      </w:r>
      <w:r>
        <w:t xml:space="preserve">in paired conditions; and quantify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burden, operational failures, and</w:t>
      </w:r>
      <w:r>
        <w:t xml:space="preserve"> </w:t>
      </w:r>
      <w:r>
        <w:t xml:space="preserve">executed effects under a common evidence contract. These are study-design</w:t>
      </w:r>
      <w:r>
        <w:t xml:space="preserve"> </w:t>
      </w:r>
      <w:r>
        <w:t xml:space="preserve">claims and must stand on M3’s own completed experiments.</w:t>
      </w:r>
    </w:p>
    <w:bookmarkEnd w:id="29"/>
    <w:bookmarkStart w:id="30" w:name="X95edda8eeb9b8e6ead7ec27e010e422127bfb5d"/>
    <w:p>
      <w:pPr>
        <w:pStyle w:val="Heading3"/>
        <w:keepNext/>
      </w:pPr>
      <w:r>
        <w:t xml:space="preserve">2.3 Prompt-level defenses and execution-level outcomes</w:t>
      </w:r>
    </w:p>
    <w:p>
      <w:pPr>
        <w:pStyle w:val="FirstParagraph"/>
      </w:pPr>
      <w:r>
        <w:t xml:space="preserve">Structured queries, spotlighting, instruction hierarchy, and injection</w:t>
      </w:r>
      <w:r>
        <w:t xml:space="preserve"> </w:t>
      </w:r>
      <w:r>
        <w:t xml:space="preserve">detectors act at the prompt, representation, or model-output layer</w:t>
      </w:r>
      <w:r>
        <w:t xml:space="preserve"> </w:t>
      </w:r>
      <w:r>
        <w:t xml:space="preserve">(S. Chen et al. 2025; Hines et al. 2024; Wallace et al. 2024; Y. Chen et al. 2025)</w:t>
      </w:r>
      <w:r>
        <w:t xml:space="preserve">. They are relevant</w:t>
      </w:r>
      <w:r>
        <w:t xml:space="preserve"> </w:t>
      </w:r>
      <w:r>
        <w:t xml:space="preserve">baselines, but detector scores and model compliance are not equivalent to an</w:t>
      </w:r>
      <w:r>
        <w:t xml:space="preserve"> </w:t>
      </w:r>
      <w:r>
        <w:t xml:space="preserve">executed-effect endpoint. Our evaluation therefore records whether a proposed</w:t>
      </w:r>
      <w:r>
        <w:t xml:space="preserve"> </w:t>
      </w:r>
      <w:r>
        <w:t xml:space="preserve">action crossed the runtime boundary and changed the sandbox state, while also</w:t>
      </w:r>
      <w:r>
        <w:t xml:space="preserve"> </w:t>
      </w:r>
      <w:r>
        <w:t xml:space="preserve">retaining benign task completion. This distinction is necessary because a</w:t>
      </w:r>
      <w:r>
        <w:t xml:space="preserve"> </w:t>
      </w:r>
      <w:r>
        <w:t xml:space="preserve">defense can appear secure by refusing useful actions or by failing before an</w:t>
      </w:r>
      <w:r>
        <w:t xml:space="preserve"> </w:t>
      </w:r>
      <w:r>
        <w:t xml:space="preserve">effect is attempted.</w:t>
      </w:r>
    </w:p>
    <w:bookmarkEnd w:id="30"/>
    <w:bookmarkStart w:id="31" w:name="benchmarks-and-adaptive-evaluation"/>
    <w:p>
      <w:pPr>
        <w:pStyle w:val="Heading3"/>
        <w:keepNext/>
      </w:pPr>
      <w:r>
        <w:t xml:space="preserve">2.4 Benchmarks and adaptive evaluation</w:t>
      </w:r>
    </w:p>
    <w:p>
      <w:pPr>
        <w:pStyle w:val="FirstParagraph"/>
      </w:pPr>
      <w:r>
        <w:t xml:space="preserve">AgentDojo supplies dynamic security and utility tasks and is the main public</w:t>
      </w:r>
      <w:r>
        <w:t xml:space="preserve"> </w:t>
      </w:r>
      <w:r>
        <w:t xml:space="preserve">benchmark in this study</w:t>
      </w:r>
      <w:r>
        <w:t xml:space="preserve"> </w:t>
      </w:r>
      <w:r>
        <w:t xml:space="preserve">(Debenedetti et al. 2024)</w:t>
      </w:r>
      <w:r>
        <w:t xml:space="preserve">.</w:t>
      </w:r>
      <w:r>
        <w:t xml:space="preserve"> </w:t>
      </w:r>
      <w:r>
        <w:t xml:space="preserve">InjecAgent provides a complementary collection of indirect prompt injections</w:t>
      </w:r>
      <w:r>
        <w:t xml:space="preserve"> </w:t>
      </w:r>
      <w:r>
        <w:t xml:space="preserve">for tool-integrated agents</w:t>
      </w:r>
      <w:r>
        <w:t xml:space="preserve"> </w:t>
      </w:r>
      <w:r>
        <w:t xml:space="preserve">(Zhan et al. 2024)</w:t>
      </w:r>
      <w:r>
        <w:t xml:space="preserve">. ASB broadens the scenario and defense</w:t>
      </w:r>
      <w:r>
        <w:t xml:space="preserve"> </w:t>
      </w:r>
      <w:r>
        <w:t xml:space="preserve">taxonomy</w:t>
      </w:r>
      <w:r>
        <w:t xml:space="preserve"> </w:t>
      </w:r>
      <w:r>
        <w:t xml:space="preserve">(H. Zhang et al. 2025)</w:t>
      </w:r>
      <w:r>
        <w:t xml:space="preserve">.</w:t>
      </w:r>
      <w:r>
        <w:t xml:space="preserve"> </w:t>
      </w:r>
      <w:r>
        <w:t xml:space="preserve">The public expansion retains the benchmarks’ unique task identities instead of</w:t>
      </w:r>
      <w:r>
        <w:t xml:space="preserve"> </w:t>
      </w:r>
      <w:r>
        <w:t xml:space="preserve">duplicating benign cases to manufacture a denominator.</w:t>
      </w:r>
    </w:p>
    <w:p>
      <w:pPr>
        <w:pStyle w:val="BodyText"/>
      </w:pPr>
      <w:r>
        <w:t xml:space="preserve">Static attacks are insufficient for a robustness claim.</w:t>
      </w:r>
      <w:r>
        <w:t xml:space="preserve"> </w:t>
      </w:r>
      <w:r>
        <w:rPr>
          <w:iCs/>
          <w:i/>
        </w:rPr>
        <w:t xml:space="preserve">The Attacker Moves</w:t>
      </w:r>
      <w:r>
        <w:rPr>
          <w:iCs/>
          <w:i/>
        </w:rPr>
        <w:t xml:space="preserve"> </w:t>
      </w:r>
      <w:r>
        <w:rPr>
          <w:iCs/>
          <w:i/>
        </w:rPr>
        <w:t xml:space="preserve">Second</w:t>
      </w:r>
      <w:r>
        <w:t xml:space="preserve"> </w:t>
      </w:r>
      <w:r>
        <w:t xml:space="preserve">argues that a defense-aware attacker should optimize against the</w:t>
      </w:r>
      <w:r>
        <w:t xml:space="preserve"> </w:t>
      </w:r>
      <w:r>
        <w:t xml:space="preserve">defense design rather than replay a fixed attack set</w:t>
      </w:r>
      <w:r>
        <w:t xml:space="preserve"> </w:t>
      </w:r>
      <w:r>
        <w:t xml:space="preserve">(Nasr et al. 2025)</w:t>
      </w:r>
      <w:r>
        <w:t xml:space="preserve">. The adaptive panel therefore exposes</w:t>
      </w:r>
      <w:r>
        <w:t xml:space="preserve"> </w:t>
      </w:r>
      <w:r>
        <w:t xml:space="preserve">only public</w:t>
      </w:r>
      <w:r>
        <w:t xml:space="preserve"> </w:t>
      </w:r>
      <w:r>
        <w:rPr>
          <w:rStyle w:val="VerbatimChar"/>
        </w:rPr>
        <w:t xml:space="preserve">ALLOW/ASK/DENY</w:t>
      </w:r>
      <w:r>
        <w:t xml:space="preserve"> </w:t>
      </w:r>
      <w:r>
        <w:t xml:space="preserve">and post-enforcement unsafe-effect feedback,</w:t>
      </w:r>
      <w:r>
        <w:t xml:space="preserve"> </w:t>
      </w:r>
      <w:r>
        <w:t xml:space="preserve">searches frozen tasks at prespecified query budgets, and reports the</w:t>
      </w:r>
      <w:r>
        <w:t xml:space="preserve"> </w:t>
      </w:r>
      <w:r>
        <w:t xml:space="preserve">first-success distribution. Since L27 remains a preprint, it motivates the</w:t>
      </w:r>
      <w:r>
        <w:t xml:space="preserve"> </w:t>
      </w:r>
      <w:r>
        <w:t xml:space="preserve">protocol but is not described as a peer-reviewed theorem.</w:t>
      </w:r>
    </w:p>
    <w:bookmarkEnd w:id="31"/>
    <w:bookmarkStart w:id="32" w:name="positioning-summary"/>
    <w:p>
      <w:pPr>
        <w:pStyle w:val="Heading3"/>
        <w:keepNext/>
      </w:pPr>
      <w:r>
        <w:t xml:space="preserve">2.5 Positioning summary</w:t>
      </w:r>
    </w:p>
    <w:p>
      <w:pPr>
        <w:pStyle w:val="FirstParagraph"/>
      </w:pPr>
      <w:r>
        <w:t xml:space="preserve">M3 is not positioned as the first runtime guard, the first provenance system,</w:t>
      </w:r>
      <w:r>
        <w:t xml:space="preserve"> </w:t>
      </w:r>
      <w:r>
        <w:t xml:space="preserve">or a state-of-the-art defense. The medium experiment already showed that</w:t>
      </w:r>
      <w:r>
        <w:t xml:space="preserve"> </w:t>
      </w:r>
      <w:r>
        <w:t xml:space="preserve">M3-full did not improve security over M3 policy-only and failed the benign-tool</w:t>
      </w:r>
      <w:r>
        <w:t xml:space="preserve"> </w:t>
      </w:r>
      <w:r>
        <w:t xml:space="preserve">non-inferiority criterion. The active paper instead studies how non-oracle</w:t>
      </w:r>
      <w:r>
        <w:t xml:space="preserve"> </w:t>
      </w:r>
      <w:r>
        <w:t xml:space="preserve">authorization, provenance-aware enforcement, confirmation, operational</w:t>
      </w:r>
      <w:r>
        <w:t xml:space="preserve"> </w:t>
      </w:r>
      <w:r>
        <w:t xml:space="preserve">failure handling, benchmark choice, and adaptive attack budget jointly shape</w:t>
      </w:r>
      <w:r>
        <w:t xml:space="preserve"> </w:t>
      </w:r>
      <w:r>
        <w:t xml:space="preserve">the measured security–utility frontier.</w:t>
      </w:r>
    </w:p>
    <w:bookmarkEnd w:id="32"/>
    <w:bookmarkEnd w:id="33"/>
    <w:bookmarkStart w:id="47" w:name="methods"/>
    <w:p>
      <w:pPr>
        <w:pStyle w:val="Heading2"/>
        <w:keepNext/>
      </w:pPr>
      <w:r>
        <w:t xml:space="preserve">3. Methods</w:t>
      </w:r>
    </w:p>
    <w:bookmarkStart w:id="34" w:name="study-design-and-research-questions"/>
    <w:p>
      <w:pPr>
        <w:pStyle w:val="Heading3"/>
        <w:keepNext/>
      </w:pPr>
      <w:r>
        <w:t xml:space="preserve">3.1 Study design and research questions</w:t>
      </w:r>
    </w:p>
    <w:p>
      <w:pPr>
        <w:pStyle w:val="FirstParagraph"/>
      </w:pPr>
      <w:r>
        <w:t xml:space="preserve">We conduct a paired empirical study of runtime authorization for tool-using</w:t>
      </w:r>
      <w:r>
        <w:t xml:space="preserve"> </w:t>
      </w:r>
      <w:r>
        <w:t xml:space="preserve">language-model agents. The design separates the information supplied to the</w:t>
      </w:r>
      <w:r>
        <w:t xml:space="preserve"> </w:t>
      </w:r>
      <w:r>
        <w:t xml:space="preserve">online Guard from the offline fields used to score the run. It then varies the</w:t>
      </w:r>
      <w:r>
        <w:t xml:space="preserve"> </w:t>
      </w:r>
      <w:r>
        <w:t xml:space="preserve">authorization regime and the Guard mechanism while holding the task, attack,</w:t>
      </w:r>
      <w:r>
        <w:t xml:space="preserve"> </w:t>
      </w:r>
      <w:r>
        <w:t xml:space="preserve">provider, model, tool environment, and evaluator fixed.</w:t>
      </w:r>
    </w:p>
    <w:p>
      <w:pPr>
        <w:pStyle w:val="BodyText"/>
      </w:pPr>
      <w:r>
        <w:t xml:space="preserve">The study addresses three research questions: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RQ1: Authorization regime.</w:t>
      </w:r>
      <w:r>
        <w:t xml:space="preserve"> </w:t>
      </w:r>
      <w:r>
        <w:t xml:space="preserve">How do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underspecified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conflicting</w:t>
      </w:r>
      <w:r>
        <w:t xml:space="preserve"> </w:t>
      </w:r>
      <w:r>
        <w:t xml:space="preserve">authorization regimes change</w:t>
      </w:r>
      <w:r>
        <w:t xml:space="preserve"> </w:t>
      </w:r>
      <w:r>
        <w:t xml:space="preserve">executed unsafe effects, benign task completion, and</w:t>
      </w:r>
      <w:r>
        <w:t xml:space="preserve"> </w:t>
      </w:r>
      <w:r>
        <w:rPr>
          <w:rStyle w:val="VerbatimChar"/>
        </w:rPr>
        <w:t xml:space="preserve">ASK/DENY</w:t>
      </w:r>
      <w:r>
        <w:t xml:space="preserve"> </w:t>
      </w:r>
      <w:r>
        <w:t xml:space="preserve">burden?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RQ2: Mechanism contribution.</w:t>
      </w:r>
      <w:r>
        <w:t xml:space="preserve"> </w:t>
      </w:r>
      <w:r>
        <w:t xml:space="preserve">Does the provenance/data-flow/</w:t>
      </w:r>
      <w:r>
        <w:t xml:space="preserve"> </w:t>
      </w:r>
      <w:r>
        <w:t xml:space="preserve">confirmation logic in M3-full improve on the same runtime using policy-only</w:t>
      </w:r>
      <w:r>
        <w:t xml:space="preserve"> </w:t>
      </w:r>
      <w:r>
        <w:t xml:space="preserve">enforcement, and what operational cost does it introduce?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RQ3: External validity and adaptive budget.</w:t>
      </w:r>
      <w:r>
        <w:t xml:space="preserve"> </w:t>
      </w:r>
      <w:r>
        <w:t xml:space="preserve">Are the observed</w:t>
      </w:r>
      <w:r>
        <w:t xml:space="preserve"> </w:t>
      </w:r>
      <w:r>
        <w:t xml:space="preserve">directions stable across AgentDojo, M3-v2, a second provider, and the</w:t>
      </w:r>
      <w:r>
        <w:t xml:space="preserve"> </w:t>
      </w:r>
      <w:r>
        <w:t xml:space="preserve">already completed defense-aware budgets 50 and 200?</w:t>
      </w:r>
    </w:p>
    <w:p>
      <w:pPr>
        <w:pStyle w:val="FirstParagraph"/>
      </w:pPr>
      <w:r>
        <w:t xml:space="preserve">Positive results are not a stopping condition. The analysis is retained if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has little effect, M3-full underperforms policy-only, or the second</w:t>
      </w:r>
      <w:r>
        <w:t xml:space="preserve"> </w:t>
      </w:r>
      <w:r>
        <w:t xml:space="preserve">provider differs from the primary model.</w:t>
      </w:r>
    </w:p>
    <w:bookmarkEnd w:id="34"/>
    <w:bookmarkStart w:id="35" w:name="threat-model-and-safety-boundary"/>
    <w:p>
      <w:pPr>
        <w:pStyle w:val="Heading3"/>
        <w:keepNext/>
      </w:pPr>
      <w:r>
        <w:t xml:space="preserve">3.2 Threat model and safety boundary</w:t>
      </w:r>
    </w:p>
    <w:p>
      <w:pPr>
        <w:pStyle w:val="FirstParagraph"/>
      </w:pPr>
      <w:r>
        <w:t xml:space="preserve">The attacker controls text in documents, messages, retrieved records, memory,</w:t>
      </w:r>
      <w:r>
        <w:t xml:space="preserve"> </w:t>
      </w:r>
      <w:r>
        <w:t xml:space="preserve">or simulated tool outputs processed while the agent performs a trusted user</w:t>
      </w:r>
      <w:r>
        <w:t xml:space="preserve"> </w:t>
      </w:r>
      <w:r>
        <w:t xml:space="preserve">task. An unsafe effect is a state transition that violates the task-specific</w:t>
      </w:r>
      <w:r>
        <w:t xml:space="preserve"> </w:t>
      </w:r>
      <w:r>
        <w:t xml:space="preserve">offline evaluator after the runtime Guard has issued its decision. The model</w:t>
      </w:r>
      <w:r>
        <w:t xml:space="preserve"> </w:t>
      </w:r>
      <w:r>
        <w:t xml:space="preserve">may propose tool calls, but it cannot invoke provider-managed tools or reach a</w:t>
      </w:r>
      <w:r>
        <w:t xml:space="preserve"> </w:t>
      </w:r>
      <w:r>
        <w:t xml:space="preserve">real external system.</w:t>
      </w:r>
    </w:p>
    <w:p>
      <w:pPr>
        <w:pStyle w:val="BodyText"/>
      </w:pPr>
      <w:r>
        <w:t xml:space="preserve">All experiments use isolated benchmark state. Real email, payment, browser,</w:t>
      </w:r>
      <w:r>
        <w:t xml:space="preserve"> </w:t>
      </w:r>
      <w:r>
        <w:t xml:space="preserve">shell, code-execution, production API, credential, and unrestricted filesystem</w:t>
      </w:r>
      <w:r>
        <w:t xml:space="preserve"> </w:t>
      </w:r>
      <w:r>
        <w:t xml:space="preserve">operations are disabled. A proposal can affect only copied AgentDojo state,</w:t>
      </w:r>
      <w:r>
        <w:t xml:space="preserve"> </w:t>
      </w:r>
      <w:r>
        <w:t xml:space="preserve">M3-v2 mock resources,</w:t>
      </w:r>
      <w:r>
        <w:t xml:space="preserve"> </w:t>
      </w:r>
      <w:r>
        <w:rPr>
          <w:rStyle w:val="VerbatimChar"/>
        </w:rPr>
        <w:t xml:space="preserve">example.test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/mock/</w:t>
      </w:r>
      <w:r>
        <w:t xml:space="preserve">, or the public sandbox. Model</w:t>
      </w:r>
      <w:r>
        <w:t xml:space="preserve"> </w:t>
      </w:r>
      <w:r>
        <w:t xml:space="preserve">output is therefore treated as untrusted data, not executable authority.</w:t>
      </w:r>
    </w:p>
    <w:p>
      <w:pPr>
        <w:pStyle w:val="BodyText"/>
      </w:pPr>
      <w:r>
        <w:t xml:space="preserve">Training-time poisoning, model-weight compromise, credential theft, host</w:t>
      </w:r>
      <w:r>
        <w:t xml:space="preserve"> </w:t>
      </w:r>
      <w:r>
        <w:t xml:space="preserve">compromise, and direct modification of the trusted policy store are outside</w:t>
      </w:r>
      <w:r>
        <w:t xml:space="preserve"> </w:t>
      </w:r>
      <w:r>
        <w:t xml:space="preserve">scope.</w:t>
      </w:r>
    </w:p>
    <w:bookmarkEnd w:id="35"/>
    <w:bookmarkStart w:id="36" w:name="online-state-and-evaluator-separation"/>
    <w:p>
      <w:pPr>
        <w:pStyle w:val="Heading3"/>
        <w:keepNext/>
      </w:pPr>
      <w:r>
        <w:t xml:space="preserve">3.3 Online-state and evaluator separation</w:t>
      </w:r>
    </w:p>
    <w:p>
      <w:pPr>
        <w:pStyle w:val="FirstParagraph"/>
      </w:pPr>
      <w:r>
        <w:t xml:space="preserve">Every run constructs the online state through an allowlist projection.</w:t>
      </w:r>
      <w:r>
        <w:t xml:space="preserve"> </w:t>
      </w:r>
      <w:r>
        <w:t xml:space="preserve">Permitted fields include trusted user intent, the benchmark-visible task</w:t>
      </w:r>
      <w:r>
        <w:t xml:space="preserve"> </w:t>
      </w:r>
      <w:r>
        <w:t xml:space="preserve">context, the selected authorization regime, provenance events available at</w:t>
      </w:r>
      <w:r>
        <w:t xml:space="preserve"> </w:t>
      </w:r>
      <w:r>
        <w:t xml:space="preserve">that step, and the proposed action. Gold answers, expected actions, attack and</w:t>
      </w:r>
      <w:r>
        <w:t xml:space="preserve"> </w:t>
      </w:r>
      <w:r>
        <w:t xml:space="preserve">task-success labels, evaluator explanations, reference trajectories, and</w:t>
      </w:r>
      <w:r>
        <w:t xml:space="preserve"> </w:t>
      </w:r>
      <w:r>
        <w:t xml:space="preserve">offline effect receipts are excluded.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condition is an explicitly labeled oracle sensitivity</w:t>
      </w:r>
      <w:r>
        <w:t xml:space="preserve"> </w:t>
      </w:r>
      <w:r>
        <w:t xml:space="preserve">analysis. It converts evaluator-derived authorization into the condition’s</w:t>
      </w:r>
      <w:r>
        <w:t xml:space="preserve"> </w:t>
      </w:r>
      <w:r>
        <w:t xml:space="preserve">authorization object, but does not expose the evaluator labels or scoring</w:t>
      </w:r>
      <w:r>
        <w:t xml:space="preserve"> </w:t>
      </w:r>
      <w:r>
        <w:t xml:space="preserve">fields themselves.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is never presented as the primary deployment</w:t>
      </w:r>
      <w:r>
        <w:t xml:space="preserve"> </w:t>
      </w:r>
      <w:r>
        <w:t xml:space="preserve">regime. The primary regime is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, created from the trusted user</w:t>
      </w:r>
      <w:r>
        <w:t xml:space="preserve"> </w:t>
      </w:r>
      <w:r>
        <w:t xml:space="preserve">request before untrusted content is processed.</w:t>
      </w:r>
    </w:p>
    <w:p>
      <w:pPr>
        <w:pStyle w:val="BodyText"/>
      </w:pPr>
      <w:r>
        <w:t xml:space="preserve">Each compact result stores a digest of the online-visible projection and a</w:t>
      </w:r>
      <w:r>
        <w:t xml:space="preserve"> </w:t>
      </w:r>
      <w:r>
        <w:t xml:space="preserve">boolean forbidden-field check. A run fails the minimal integrity check if a</w:t>
      </w:r>
      <w:r>
        <w:t xml:space="preserve"> </w:t>
      </w:r>
      <w:r>
        <w:t xml:space="preserve">forbidden field is present. The final analysis checks this condition once for</w:t>
      </w:r>
      <w:r>
        <w:t xml:space="preserve"> </w:t>
      </w:r>
      <w:r>
        <w:t xml:space="preserve">all terminal records; it does not recursively replay historical evidence.</w:t>
      </w:r>
    </w:p>
    <w:bookmarkEnd w:id="36"/>
    <w:bookmarkStart w:id="37" w:name="runtime-conditions"/>
    <w:p>
      <w:pPr>
        <w:pStyle w:val="Heading3"/>
        <w:keepNext/>
      </w:pPr>
      <w:r>
        <w:t xml:space="preserve">3.4 Runtime conditions</w:t>
      </w:r>
    </w:p>
    <w:p>
      <w:pPr>
        <w:pStyle w:val="FirstParagraph"/>
      </w:pPr>
      <w:r>
        <w:t xml:space="preserve">The common runtime interfaces are</w:t>
      </w:r>
      <w:r>
        <w:t xml:space="preserve"> </w:t>
      </w:r>
      <w:r>
        <w:rPr>
          <w:rStyle w:val="VerbatimChar"/>
        </w:rPr>
        <w:t xml:space="preserve">TaskPolicyManifest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GuardDecision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ProvenanceEvent</w:t>
      </w:r>
      <w:r>
        <w:t xml:space="preserve">. The two M3 conditions share the agent,</w:t>
      </w:r>
      <w:r>
        <w:t xml:space="preserve"> </w:t>
      </w:r>
      <w:r>
        <w:t xml:space="preserve">model, parser, evaluator, tool environment, and task policy representation.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M3 policy-only</w:t>
      </w:r>
      <w:r>
        <w:t xml:space="preserve"> </w:t>
      </w:r>
      <w:r>
        <w:t xml:space="preserve">evaluates the proposed tool and arguments against the</w:t>
      </w:r>
      <w:r>
        <w:t xml:space="preserve"> </w:t>
      </w:r>
      <w:r>
        <w:t xml:space="preserve">current task policy. Provenance propagation, temporal/data-flow checks, and</w:t>
      </w:r>
      <w:r>
        <w:t xml:space="preserve"> </w:t>
      </w:r>
      <w:r>
        <w:t xml:space="preserve">independent confirmation are disabled.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M3-full</w:t>
      </w:r>
      <w:r>
        <w:t xml:space="preserve"> </w:t>
      </w:r>
      <w:r>
        <w:t xml:space="preserve">enables policy enforcement plus parameter provenance,</w:t>
      </w:r>
      <w:r>
        <w:t xml:space="preserve"> </w:t>
      </w:r>
      <w:r>
        <w:t xml:space="preserve">temporal/data-flow constraints, permission-monotonic transitions, and</w:t>
      </w:r>
      <w:r>
        <w:t xml:space="preserve"> </w:t>
      </w:r>
      <w:r>
        <w:t xml:space="preserve">confirmation. Automatic transitions may preserve or reduce authority;</w:t>
      </w:r>
      <w:r>
        <w:t xml:space="preserve"> </w:t>
      </w:r>
      <w:r>
        <w:t xml:space="preserve">authority expansion produces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and requires an independent confirmation</w:t>
      </w:r>
      <w:r>
        <w:t xml:space="preserve"> </w:t>
      </w:r>
      <w:r>
        <w:t xml:space="preserve">result.</w:t>
      </w:r>
    </w:p>
    <w:p>
      <w:pPr>
        <w:pStyle w:val="FirstParagraph"/>
      </w:pP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are runtime decisions, not security outcomes by</w:t>
      </w:r>
      <w:r>
        <w:t xml:space="preserve"> </w:t>
      </w:r>
      <w:r>
        <w:t xml:space="preserve">themselves. Security is scored from the isolated post-enforcement effect</w:t>
      </w:r>
      <w:r>
        <w:t xml:space="preserve"> </w:t>
      </w:r>
      <w:r>
        <w:t xml:space="preserve">receipt. Utility is scored by the benchmark task-completion evaluator.</w:t>
      </w:r>
    </w:p>
    <w:p>
      <w:pPr>
        <w:pStyle w:val="BodyText"/>
      </w:pPr>
      <w:r>
        <w:t xml:space="preserve">The Gemini subset adds the strongest available peer-reviewed structural</w:t>
      </w:r>
      <w:r>
        <w:t xml:space="preserve"> </w:t>
      </w:r>
      <w:r>
        <w:t xml:space="preserve">baseline under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. The baseline is included to anchor the</w:t>
      </w:r>
      <w:r>
        <w:t xml:space="preserve"> </w:t>
      </w:r>
      <w:r>
        <w:t xml:space="preserve">cross-provider sample, not to support a universal ranking.</w:t>
      </w:r>
    </w:p>
    <w:bookmarkEnd w:id="37"/>
    <w:bookmarkStart w:id="38" w:name="authorization-regimes"/>
    <w:p>
      <w:pPr>
        <w:pStyle w:val="Heading3"/>
        <w:keepNext/>
      </w:pPr>
      <w:r>
        <w:t xml:space="preserve">3.5 Authorization regimes</w:t>
      </w:r>
    </w:p>
    <w:p>
      <w:pPr>
        <w:pStyle w:val="FirstParagraph"/>
      </w:pPr>
      <w:r>
        <w:t xml:space="preserve">Five regimes are evaluated: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auto_compiled</w:t>
      </w:r>
      <w:r>
        <w:t xml:space="preserve">: task policy compiled from trusted user intent before</w:t>
      </w:r>
      <w:r>
        <w:t xml:space="preserve"> </w:t>
      </w:r>
      <w:r>
        <w:t xml:space="preserve">untrusted evidence is processed;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exact_gold</w:t>
      </w:r>
      <w:r>
        <w:t xml:space="preserve">: evaluator-derived authorization used only as an oracle</w:t>
      </w:r>
      <w:r>
        <w:t xml:space="preserve"> </w:t>
      </w:r>
      <w:r>
        <w:t xml:space="preserve">sensitivity condition;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broad</w:t>
      </w:r>
      <w:r>
        <w:t xml:space="preserve">: a deliberately permissive authorization envelope;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underspecified</w:t>
      </w:r>
      <w:r>
        <w:t xml:space="preserve">: necessary details or constraints are omitted;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conflicting</w:t>
      </w:r>
      <w:r>
        <w:t xml:space="preserve">: the authorization object contains mutually inconsistent</w:t>
      </w:r>
      <w:r>
        <w:t xml:space="preserve"> </w:t>
      </w:r>
      <w:r>
        <w:t xml:space="preserve">constraints that the runtime must resolve or reject.</w:t>
      </w:r>
    </w:p>
    <w:p>
      <w:pPr>
        <w:pStyle w:val="FirstParagraph"/>
      </w:pPr>
      <w:r>
        <w:t xml:space="preserve">The four primary DeepSeek cells pair policy-only and M3-full with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. A fixed nested subset adds M3-full under the</w:t>
      </w:r>
      <w:r>
        <w:t xml:space="preserve"> </w:t>
      </w:r>
      <w:r>
        <w:t xml:space="preserve">three non-oracle stress regimes.</w:t>
      </w:r>
    </w:p>
    <w:bookmarkEnd w:id="38"/>
    <w:bookmarkStart w:id="39" w:name="X1a6c96045debc752da52dba597a8f462af96dd2"/>
    <w:p>
      <w:pPr>
        <w:pStyle w:val="Heading3"/>
        <w:keepNext/>
      </w:pPr>
      <w:r>
        <w:t xml:space="preserve">3.6 Existing evidence reused without new calls</w:t>
      </w:r>
    </w:p>
    <w:p>
      <w:pPr>
        <w:pStyle w:val="FirstParagraph"/>
      </w:pPr>
      <w:r>
        <w:t xml:space="preserve">Four completed datasets are analyzed once:</w:t>
      </w:r>
    </w:p>
    <w:p>
      <w:pPr>
        <w:numPr>
          <w:ilvl w:val="0"/>
          <w:numId w:val="1006"/>
        </w:numPr>
        <w:pStyle w:val="Compact"/>
      </w:pPr>
      <w:r>
        <w:t xml:space="preserve">5,082 DeepSeek V4 Pro records from the Public primary matrix;</w:t>
      </w:r>
    </w:p>
    <w:p>
      <w:pPr>
        <w:numPr>
          <w:ilvl w:val="0"/>
          <w:numId w:val="1006"/>
        </w:numPr>
        <w:pStyle w:val="Compact"/>
      </w:pPr>
      <w:r>
        <w:t xml:space="preserve">1,791 DeepSeek V4 Flash records from the Public second-model matrix;</w:t>
      </w:r>
    </w:p>
    <w:p>
      <w:pPr>
        <w:numPr>
          <w:ilvl w:val="0"/>
          <w:numId w:val="1006"/>
        </w:numPr>
        <w:pStyle w:val="Compact"/>
      </w:pPr>
      <w:r>
        <w:t xml:space="preserve">480 records from the medium falsification study; and</w:t>
      </w:r>
    </w:p>
    <w:p>
      <w:pPr>
        <w:numPr>
          <w:ilvl w:val="0"/>
          <w:numId w:val="1006"/>
        </w:numPr>
        <w:pStyle w:val="Compact"/>
      </w:pPr>
      <w:r>
        <w:t xml:space="preserve">the completed DeepSeek V4 Pro adaptive tasks at budgets 50 and 200.</w:t>
      </w:r>
    </w:p>
    <w:p>
      <w:pPr>
        <w:pStyle w:val="FirstParagraph"/>
      </w:pPr>
      <w:r>
        <w:t xml:space="preserve">The reuse analysis performs one count/uniqueness pass, retains all terminal</w:t>
      </w:r>
      <w:r>
        <w:t xml:space="preserve"> </w:t>
      </w:r>
      <w:r>
        <w:t xml:space="preserve">failures in the ITT population, and computes the prespecified endpoint</w:t>
      </w:r>
      <w:r>
        <w:t xml:space="preserve"> </w:t>
      </w:r>
      <w:r>
        <w:t xml:space="preserve">summaries without repeating model execution. These data establish the</w:t>
      </w:r>
      <w:r>
        <w:t xml:space="preserve"> </w:t>
      </w:r>
      <w:r>
        <w:t xml:space="preserve">empirical motivation and the two-point adaptive first-success curve; they do</w:t>
      </w:r>
      <w:r>
        <w:t xml:space="preserve"> </w:t>
      </w:r>
      <w:r>
        <w:t xml:space="preserve">not establish attack saturation.</w:t>
      </w:r>
    </w:p>
    <w:bookmarkEnd w:id="39"/>
    <w:bookmarkStart w:id="40" w:name="frozen-primary-sample"/>
    <w:p>
      <w:pPr>
        <w:pStyle w:val="Heading3"/>
        <w:keepNext/>
      </w:pPr>
      <w:r>
        <w:t xml:space="preserve">3.7 Frozen primary sample</w:t>
      </w:r>
    </w:p>
    <w:p>
      <w:pPr>
        <w:pStyle w:val="FirstParagraph"/>
      </w:pPr>
      <w:r>
        <w:t xml:space="preserve">The new DeepSeek study contains 180 unique paired cases selected before the</w:t>
      </w:r>
      <w:r>
        <w:t xml:space="preserve"> </w:t>
      </w:r>
      <w:r>
        <w:t xml:space="preserve">new outcomes were inspected:</w:t>
      </w:r>
    </w:p>
    <w:p>
      <w:pPr>
        <w:numPr>
          <w:ilvl w:val="0"/>
          <w:numId w:val="1007"/>
        </w:numPr>
        <w:pStyle w:val="Compact"/>
      </w:pPr>
      <w:r>
        <w:t xml:space="preserve">100 attacks, with 50 from AgentDojo and 50 from M3-v2;</w:t>
      </w:r>
    </w:p>
    <w:p>
      <w:pPr>
        <w:numPr>
          <w:ilvl w:val="0"/>
          <w:numId w:val="1007"/>
        </w:numPr>
        <w:pStyle w:val="Compact"/>
      </w:pPr>
      <w:r>
        <w:t xml:space="preserve">60 benign tool tasks, with 30 from each benchmark; and</w:t>
      </w:r>
    </w:p>
    <w:p>
      <w:pPr>
        <w:numPr>
          <w:ilvl w:val="0"/>
          <w:numId w:val="1007"/>
        </w:numPr>
        <w:pStyle w:val="Compact"/>
      </w:pPr>
      <w:r>
        <w:t xml:space="preserve">20 benign no-tool tasks.</w:t>
      </w:r>
    </w:p>
    <w:p>
      <w:pPr>
        <w:pStyle w:val="FirstParagraph"/>
      </w:pPr>
      <w:r>
        <w:t xml:space="preserve">Selection is stratified by benchmark, task type, and attack family. Every main</w:t>
      </w:r>
      <w:r>
        <w:t xml:space="preserve"> </w:t>
      </w:r>
      <w:r>
        <w:t xml:space="preserve">case is assigned to four cells: policy-only/</w:t>
      </w:r>
      <w:r>
        <w:rPr>
          <w:rStyle w:val="VerbatimChar"/>
        </w:rPr>
        <w:t xml:space="preserve">auto_compiled</w:t>
      </w:r>
      <w:r>
        <w:t xml:space="preserve">, policy-only/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, M3-full/</w:t>
      </w:r>
      <w:r>
        <w:rPr>
          <w:rStyle w:val="VerbatimChar"/>
        </w:rPr>
        <w:t xml:space="preserve">auto_compiled</w:t>
      </w:r>
      <w:r>
        <w:t xml:space="preserve">, and M3-full/</w:t>
      </w:r>
      <w:r>
        <w:rPr>
          <w:rStyle w:val="VerbatimChar"/>
        </w:rPr>
        <w:t xml:space="preserve">exact_gold</w:t>
      </w:r>
      <w:r>
        <w:t xml:space="preserve">. This produces</w:t>
      </w:r>
      <w:r>
        <w:t xml:space="preserve"> </w:t>
      </w:r>
      <w:r>
        <w:t xml:space="preserve">720 work items.</w:t>
      </w:r>
    </w:p>
    <w:p>
      <w:pPr>
        <w:pStyle w:val="BodyText"/>
      </w:pPr>
      <w:r>
        <w:t xml:space="preserve">A nested 60-case subset receives three additional M3-full assignments:</w:t>
      </w:r>
      <w:r>
        <w:t xml:space="preserve"> </w:t>
      </w:r>
      <w:r>
        <w:rPr>
          <w:rStyle w:val="VerbatimChar"/>
        </w:rPr>
        <w:t xml:space="preserve">broad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underspecified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conflicting</w:t>
      </w:r>
      <w:r>
        <w:t xml:space="preserve">, adding 180 work items. The frozen</w:t>
      </w:r>
      <w:r>
        <w:t xml:space="preserve"> </w:t>
      </w:r>
      <w:r>
        <w:t xml:space="preserve">DeepSeek plan therefore contains 900 work items. The first six items form the</w:t>
      </w:r>
      <w:r>
        <w:t xml:space="preserve"> </w:t>
      </w:r>
      <w:r>
        <w:t xml:space="preserve">formal technical prefix and remain part of the final denominator.</w:t>
      </w:r>
    </w:p>
    <w:bookmarkEnd w:id="40"/>
    <w:bookmarkStart w:id="41" w:name="frozen-cross-provider-sample"/>
    <w:p>
      <w:pPr>
        <w:pStyle w:val="Heading3"/>
        <w:keepNext/>
      </w:pPr>
      <w:r>
        <w:t xml:space="preserve">3.8 Frozen cross-provider sample</w:t>
      </w:r>
    </w:p>
    <w:p>
      <w:pPr>
        <w:pStyle w:val="FirstParagraph"/>
      </w:pPr>
      <w:r>
        <w:t xml:space="preserve">The Gemini study uses 90 cases nested within the DeepSeek main sample:</w:t>
      </w:r>
    </w:p>
    <w:p>
      <w:pPr>
        <w:numPr>
          <w:ilvl w:val="0"/>
          <w:numId w:val="1008"/>
        </w:numPr>
        <w:pStyle w:val="Compact"/>
      </w:pPr>
      <w:r>
        <w:t xml:space="preserve">50 attacks;</w:t>
      </w:r>
    </w:p>
    <w:p>
      <w:pPr>
        <w:numPr>
          <w:ilvl w:val="0"/>
          <w:numId w:val="1008"/>
        </w:numPr>
        <w:pStyle w:val="Compact"/>
      </w:pPr>
      <w:r>
        <w:t xml:space="preserve">30 benign tool tasks; and</w:t>
      </w:r>
    </w:p>
    <w:p>
      <w:pPr>
        <w:numPr>
          <w:ilvl w:val="0"/>
          <w:numId w:val="1008"/>
        </w:numPr>
        <w:pStyle w:val="Compact"/>
      </w:pPr>
      <w:r>
        <w:t xml:space="preserve">10 benign no-tool tasks.</w:t>
      </w:r>
    </w:p>
    <w:p>
      <w:pPr>
        <w:pStyle w:val="FirstParagraph"/>
      </w:pPr>
      <w:r>
        <w:t xml:space="preserve">Each case receives five assignments: structural baseline/</w:t>
      </w:r>
      <w:r>
        <w:rPr>
          <w:rStyle w:val="VerbatimChar"/>
        </w:rPr>
        <w:t xml:space="preserve">auto_compiled</w:t>
      </w:r>
      <w:r>
        <w:t xml:space="preserve">,</w:t>
      </w:r>
      <w:r>
        <w:t xml:space="preserve"> </w:t>
      </w:r>
      <w:r>
        <w:t xml:space="preserve">policy-only/</w:t>
      </w:r>
      <w:r>
        <w:rPr>
          <w:rStyle w:val="VerbatimChar"/>
        </w:rPr>
        <w:t xml:space="preserve">auto_compiled</w:t>
      </w:r>
      <w:r>
        <w:t xml:space="preserve">, M3-full/</w:t>
      </w:r>
      <w:r>
        <w:rPr>
          <w:rStyle w:val="VerbatimChar"/>
        </w:rPr>
        <w:t xml:space="preserve">auto_compiled</w:t>
      </w:r>
      <w:r>
        <w:t xml:space="preserve">, policy-only/</w:t>
      </w:r>
      <w:r>
        <w:rPr>
          <w:rStyle w:val="VerbatimChar"/>
        </w:rPr>
        <w:t xml:space="preserve">exact_gold</w:t>
      </w:r>
      <w:r>
        <w:t xml:space="preserve">,</w:t>
      </w:r>
      <w:r>
        <w:t xml:space="preserve"> </w:t>
      </w:r>
      <w:r>
        <w:t xml:space="preserve">and M3-full/</w:t>
      </w:r>
      <w:r>
        <w:rPr>
          <w:rStyle w:val="VerbatimChar"/>
        </w:rPr>
        <w:t xml:space="preserve">exact_gold</w:t>
      </w:r>
      <w:r>
        <w:t xml:space="preserve">. The plan contains 450 work items, including a six-item</w:t>
      </w:r>
      <w:r>
        <w:t xml:space="preserve"> </w:t>
      </w:r>
      <w:r>
        <w:t xml:space="preserve">formal prefix.</w:t>
      </w:r>
    </w:p>
    <w:p>
      <w:pPr>
        <w:pStyle w:val="BodyText"/>
      </w:pPr>
      <w:r>
        <w:t xml:space="preserve">Gemini uses the official free tier with a paid ceiling of USD 0. At the first</w:t>
      </w:r>
      <w:r>
        <w:t xml:space="preserve"> </w:t>
      </w:r>
      <w:r>
        <w:t xml:space="preserve">HTTP 429, the active run stops and leaves all unstarted items pending. On a new</w:t>
      </w:r>
      <w:r>
        <w:t xml:space="preserve"> </w:t>
      </w:r>
      <w:r>
        <w:t xml:space="preserve">provider quota day, only unstarted items and work items with no official model</w:t>
      </w:r>
      <w:r>
        <w:t xml:space="preserve"> </w:t>
      </w:r>
      <w:r>
        <w:t xml:space="preserve">response are eligible for explicit recovery. A rate-limited work item becomes</w:t>
      </w:r>
      <w:r>
        <w:t xml:space="preserve"> </w:t>
      </w:r>
      <w:r>
        <w:t xml:space="preserve">a terminal diagnostic on its third quota-day attempt. If the 450-item plan</w:t>
      </w:r>
      <w:r>
        <w:t xml:space="preserve"> </w:t>
      </w:r>
      <w:r>
        <w:t xml:space="preserve">still cannot be completed after three provider quota days, the observed subset</w:t>
      </w:r>
      <w:r>
        <w:t xml:space="preserve"> </w:t>
      </w:r>
      <w:r>
        <w:t xml:space="preserve">is reported diagnostically, unstarted work items are counted as unavailable,</w:t>
      </w:r>
      <w:r>
        <w:t xml:space="preserve"> </w:t>
      </w:r>
      <w:r>
        <w:t xml:space="preserve">and no cross-provider generalization claim is made.</w:t>
      </w:r>
    </w:p>
    <w:bookmarkEnd w:id="41"/>
    <w:bookmarkStart w:id="42" w:name="providers-and-model-identity"/>
    <w:p>
      <w:pPr>
        <w:pStyle w:val="Heading3"/>
        <w:keepNext/>
      </w:pPr>
      <w:r>
        <w:t xml:space="preserve">3.9 Providers and model identity</w:t>
      </w:r>
    </w:p>
    <w:p>
      <w:pPr>
        <w:pStyle w:val="FirstParagraph"/>
      </w:pPr>
      <w:r>
        <w:t xml:space="preserve">The primary model is DeepSeek V4 Pro through the official DeepSeek endpoint.</w:t>
      </w:r>
      <w:r>
        <w:t xml:space="preserve"> </w:t>
      </w:r>
      <w:r>
        <w:t xml:space="preserve">The cross-provider model is Gemini 3.6 Flash through the official Google</w:t>
      </w:r>
      <w:r>
        <w:t xml:space="preserve"> </w:t>
      </w:r>
      <w:r>
        <w:t xml:space="preserve">Generative Language OpenAI-compatible endpoint. Each request is assigned a</w:t>
      </w:r>
      <w:r>
        <w:t xml:space="preserve"> </w:t>
      </w:r>
      <w:r>
        <w:t xml:space="preserve">local request identifier and canonical payload digest before transport. A</w:t>
      </w:r>
      <w:r>
        <w:t xml:space="preserve"> </w:t>
      </w:r>
      <w:r>
        <w:t xml:space="preserve">response-bearing record retains the official response identifier, exact</w:t>
      </w:r>
      <w:r>
        <w:t xml:space="preserve"> </w:t>
      </w:r>
      <w:r>
        <w:t xml:space="preserve">returned model identity, usage, latency, and cost or free-tier attestation.</w:t>
      </w:r>
      <w:r>
        <w:t xml:space="preserve"> </w:t>
      </w:r>
      <w:r>
        <w:t xml:space="preserve">Provider calls for the evidence reported here were made during July and August</w:t>
      </w:r>
      <w:r>
        <w:t xml:space="preserve"> </w:t>
      </w:r>
      <w:r>
        <w:t xml:space="preserve">2026. The returned names are provider-managed model aliases and therefore</w:t>
      </w:r>
      <w:r>
        <w:t xml:space="preserve"> </w:t>
      </w:r>
      <w:r>
        <w:t xml:space="preserve">identify the served model at request time without freezing its hidden weights.</w:t>
      </w:r>
    </w:p>
    <w:p>
      <w:pPr>
        <w:pStyle w:val="BodyText"/>
      </w:pPr>
      <w:r>
        <w:t xml:space="preserve">Prompts and model responses are not copied into the compact analysis file.</w:t>
      </w:r>
      <w:r>
        <w:t xml:space="preserve"> </w:t>
      </w:r>
      <w:r>
        <w:t xml:space="preserve">Content-free request metadata and the provider’s internal trace remain in a</w:t>
      </w:r>
      <w:r>
        <w:t xml:space="preserve"> </w:t>
      </w:r>
      <w:r>
        <w:t xml:space="preserve">restricted local run directory outside the analysis dataset. Exact model</w:t>
      </w:r>
      <w:r>
        <w:t xml:space="preserve"> </w:t>
      </w:r>
      <w:r>
        <w:t xml:space="preserve">identity is checked in the final one-pass integrity validation.</w:t>
      </w:r>
    </w:p>
    <w:bookmarkEnd w:id="42"/>
    <w:bookmarkStart w:id="43" w:name="failure-and-recovery-policy"/>
    <w:p>
      <w:pPr>
        <w:pStyle w:val="Heading3"/>
        <w:keepNext/>
      </w:pPr>
      <w:r>
        <w:t xml:space="preserve">3.10 Failure and recovery policy</w:t>
      </w:r>
    </w:p>
    <w:p>
      <w:pPr>
        <w:pStyle w:val="FirstParagraph"/>
      </w:pPr>
      <w:r>
        <w:t xml:space="preserve">Automatic retry is disabled. Recovery operates at the predefined</w:t>
      </w:r>
      <w:r>
        <w:t xml:space="preserve"> </w:t>
      </w:r>
      <w:r>
        <w:t xml:space="preserve">experiment-item level:</w:t>
      </w:r>
    </w:p>
    <w:p>
      <w:pPr>
        <w:numPr>
          <w:ilvl w:val="0"/>
          <w:numId w:val="1009"/>
        </w:numPr>
        <w:pStyle w:val="Compact"/>
      </w:pPr>
      <w:r>
        <w:t xml:space="preserve">a work item with an official model response is terminal, including timeout,</w:t>
      </w:r>
      <w:r>
        <w:t xml:space="preserve"> </w:t>
      </w:r>
      <w:r>
        <w:t xml:space="preserve">refusal, parse failure, and maximum-step outcomes after that response;</w:t>
      </w:r>
    </w:p>
    <w:p>
      <w:pPr>
        <w:numPr>
          <w:ilvl w:val="0"/>
          <w:numId w:val="1009"/>
        </w:numPr>
        <w:pStyle w:val="Compact"/>
      </w:pPr>
      <w:r>
        <w:t xml:space="preserve">a transport or preparation failure with no official response may be retried</w:t>
      </w:r>
      <w:r>
        <w:t xml:space="preserve"> </w:t>
      </w:r>
      <w:r>
        <w:t xml:space="preserve">only with the explicit failed-row option;</w:t>
      </w:r>
    </w:p>
    <w:p>
      <w:pPr>
        <w:numPr>
          <w:ilvl w:val="0"/>
          <w:numId w:val="1009"/>
        </w:numPr>
        <w:pStyle w:val="Compact"/>
      </w:pPr>
      <w:r>
        <w:t xml:space="preserve">only the affected work item is retried; successful and unaffected work items</w:t>
      </w:r>
      <w:r>
        <w:t xml:space="preserve"> </w:t>
      </w:r>
      <w:r>
        <w:t xml:space="preserve">are skipped;</w:t>
      </w:r>
    </w:p>
    <w:p>
      <w:pPr>
        <w:numPr>
          <w:ilvl w:val="0"/>
          <w:numId w:val="1009"/>
        </w:numPr>
        <w:pStyle w:val="Compact"/>
      </w:pPr>
      <w:r>
        <w:t xml:space="preserve">a repeated non-rate-limit pre-response failure becomes terminal on its</w:t>
      </w:r>
      <w:r>
        <w:t xml:space="preserve"> </w:t>
      </w:r>
      <w:r>
        <w:t xml:space="preserve">second attempt; and</w:t>
      </w:r>
    </w:p>
    <w:p>
      <w:pPr>
        <w:numPr>
          <w:ilvl w:val="0"/>
          <w:numId w:val="1009"/>
        </w:numPr>
        <w:pStyle w:val="Compact"/>
      </w:pPr>
      <w:r>
        <w:t xml:space="preserve">Gemini rate-limit recovery stops at the first 429 in each quota day and</w:t>
      </w:r>
      <w:r>
        <w:t xml:space="preserve"> </w:t>
      </w:r>
      <w:r>
        <w:t xml:space="preserve">becomes terminal on the third quota-day attempt.</w:t>
      </w:r>
    </w:p>
    <w:p>
      <w:pPr>
        <w:pStyle w:val="FirstParagraph"/>
      </w:pPr>
      <w:r>
        <w:t xml:space="preserve">Earlier response-less attempts remain append-only in the raw file. The</w:t>
      </w:r>
      <w:r>
        <w:t xml:space="preserve"> </w:t>
      </w:r>
      <w:r>
        <w:t xml:space="preserve">scientific analysis selects the latest terminal attempt for each experiment</w:t>
      </w:r>
      <w:r>
        <w:t xml:space="preserve"> </w:t>
      </w:r>
      <w:r>
        <w:t xml:space="preserve">item and reports the count of superseded attempts. For Gemini, it applies the</w:t>
      </w:r>
      <w:r>
        <w:t xml:space="preserve"> </w:t>
      </w:r>
      <w:r>
        <w:t xml:space="preserve">same retry-state normalization as the runner using the content-free pause-event</w:t>
      </w:r>
      <w:r>
        <w:t xml:space="preserve"> </w:t>
      </w:r>
      <w:r>
        <w:t xml:space="preserve">ledger, so a quota pause cannot be mistaken for a scientific terminal. No prior</w:t>
      </w:r>
      <w:r>
        <w:t xml:space="preserve"> </w:t>
      </w:r>
      <w:r>
        <w:t xml:space="preserve">row is overwritten.</w:t>
      </w:r>
    </w:p>
    <w:bookmarkEnd w:id="43"/>
    <w:bookmarkStart w:id="44" w:name="outcomes"/>
    <w:p>
      <w:pPr>
        <w:pStyle w:val="Heading3"/>
        <w:keepNext/>
      </w:pPr>
      <w:r>
        <w:t xml:space="preserve">3.11 Outcomes</w:t>
      </w:r>
    </w:p>
    <w:p>
      <w:pPr>
        <w:pStyle w:val="FirstParagraph"/>
      </w:pPr>
      <w:r>
        <w:t xml:space="preserve">The two joint primary endpoints are: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unsafe-effect rate</w:t>
      </w:r>
      <w:r>
        <w:t xml:space="preserve"> </w:t>
      </w:r>
      <w:r>
        <w:t xml:space="preserve">on assigned attack tasks; and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task-completion rate (TCR)</w:t>
      </w:r>
      <w:r>
        <w:t xml:space="preserve"> </w:t>
      </w:r>
      <w:r>
        <w:t xml:space="preserve">on assigned benign tool tasks.</w:t>
      </w:r>
    </w:p>
    <w:p>
      <w:pPr>
        <w:pStyle w:val="FirstParagraph"/>
      </w:pPr>
      <w:r>
        <w:t xml:space="preserve">Benign no-tool completion is descriptive. Secondary outcomes are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count,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count, operational failure, p50/p95 latency, total tokens, API cost, and</w:t>
      </w:r>
      <w:r>
        <w:t xml:space="preserve"> </w:t>
      </w:r>
      <w:r>
        <w:t xml:space="preserve">predefined heterogeneity by benchmark and attack family.</w:t>
      </w:r>
    </w:p>
    <w:p>
      <w:pPr>
        <w:pStyle w:val="BodyText"/>
      </w:pPr>
      <w:r>
        <w:t xml:space="preserve">All terminal work items remain in the intention-to-treat denominator. The</w:t>
      </w:r>
      <w:r>
        <w:t xml:space="preserve"> </w:t>
      </w:r>
      <w:r>
        <w:t xml:space="preserve">analysis reports raw numerator/denominator values alongside proportions. A</w:t>
      </w:r>
      <w:r>
        <w:t xml:space="preserve"> </w:t>
      </w:r>
      <w:r>
        <w:t xml:space="preserve">provider or parser failure is not silently removed and is not relabeled as a</w:t>
      </w:r>
      <w:r>
        <w:t xml:space="preserve"> </w:t>
      </w:r>
      <w:r>
        <w:t xml:space="preserve">successful security outcome. Its unsafe-effect indicator records whether an</w:t>
      </w:r>
      <w:r>
        <w:t xml:space="preserve"> </w:t>
      </w:r>
      <w:r>
        <w:t xml:space="preserve">isolated unsafe effect was observed, while its operational failure remains a</w:t>
      </w:r>
      <w:r>
        <w:t xml:space="preserve"> </w:t>
      </w:r>
      <w:r>
        <w:t xml:space="preserve">separate reported outcome and it cannot count as task completion. Latency and</w:t>
      </w:r>
      <w:r>
        <w:t xml:space="preserve"> </w:t>
      </w:r>
      <w:r>
        <w:t xml:space="preserve">burden summaries likewise include all terminal work items, not only completed</w:t>
      </w:r>
      <w:r>
        <w:t xml:space="preserve"> </w:t>
      </w:r>
      <w:r>
        <w:t xml:space="preserve">ones.</w:t>
      </w:r>
    </w:p>
    <w:bookmarkEnd w:id="44"/>
    <w:bookmarkStart w:id="45" w:name="statistical-analysis"/>
    <w:p>
      <w:pPr>
        <w:pStyle w:val="Heading3"/>
        <w:keepNext/>
      </w:pPr>
      <w:r>
        <w:t xml:space="preserve">3.12 Statistical analysis</w:t>
      </w:r>
    </w:p>
    <w:p>
      <w:pPr>
        <w:pStyle w:val="FirstParagraph"/>
      </w:pPr>
      <w:r>
        <w:t xml:space="preserve">Each condition proportion receives a Wilson 95% confidence interval. The</w:t>
      </w:r>
      <w:r>
        <w:t xml:space="preserve"> </w:t>
      </w:r>
      <w:r>
        <w:t xml:space="preserve">paired analyses report the absolute difference in percentage points, the two</w:t>
      </w:r>
      <w:r>
        <w:t xml:space="preserve"> </w:t>
      </w:r>
      <w:r>
        <w:t xml:space="preserve">discordant counts, and a two-sided exact McNemar test. Uncertainty for the</w:t>
      </w:r>
      <w:r>
        <w:t xml:space="preserve"> </w:t>
      </w:r>
      <w:r>
        <w:t xml:space="preserve">paired absolute difference is estimated with 10,000 deterministic bootstrap</w:t>
      </w:r>
      <w:r>
        <w:t xml:space="preserve"> </w:t>
      </w:r>
      <w:r>
        <w:t xml:space="preserve">resamples. Each resample draws paired case identifiers with replacement and</w:t>
      </w:r>
      <w:r>
        <w:t xml:space="preserve"> </w:t>
      </w:r>
      <w:r>
        <w:t xml:space="preserve">keeps both condition outcomes for the selected case together; the case is the</w:t>
      </w:r>
      <w:r>
        <w:t xml:space="preserve"> </w:t>
      </w:r>
      <w:r>
        <w:t xml:space="preserve">cluster and inferential unit.</w:t>
      </w:r>
    </w:p>
    <w:p>
      <w:pPr>
        <w:pStyle w:val="BodyText"/>
      </w:pPr>
      <w:r>
        <w:t xml:space="preserve">The four primary authorization/mechanism comparisons are:</w:t>
      </w:r>
    </w:p>
    <w:p>
      <w:pPr>
        <w:numPr>
          <w:ilvl w:val="0"/>
          <w:numId w:val="1011"/>
        </w:numPr>
        <w:pStyle w:val="Compact"/>
      </w:pPr>
      <w:r>
        <w:t xml:space="preserve">policy-only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versus policy-only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M3-full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versus M3-full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auto_compiled</w:t>
      </w:r>
      <w:r>
        <w:t xml:space="preserve"> </w:t>
      </w:r>
      <w:r>
        <w:t xml:space="preserve">policy-only versus M3-full; and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exact_gold</w:t>
      </w:r>
      <w:r>
        <w:t xml:space="preserve"> </w:t>
      </w:r>
      <w:r>
        <w:t xml:space="preserve">policy-only versus M3-full.</w:t>
      </w:r>
    </w:p>
    <w:p>
      <w:pPr>
        <w:pStyle w:val="FirstParagraph"/>
      </w:pPr>
      <w:r>
        <w:t xml:space="preserve">McNemar p-values are Holm-adjusted separately for attack unsafe effect and</w:t>
      </w:r>
      <w:r>
        <w:t xml:space="preserve"> </w:t>
      </w:r>
      <w:r>
        <w:t xml:space="preserve">benign-tool TCR. The</w:t>
      </w:r>
      <w:r>
        <w:t xml:space="preserve"> </w:t>
      </w:r>
      <w:r>
        <w:rPr>
          <w:rStyle w:val="VerbatimChar"/>
        </w:rPr>
        <w:t xml:space="preserve">broad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underspecified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conflicting</w:t>
      </w:r>
      <w:r>
        <w:t xml:space="preserve"> </w:t>
      </w:r>
      <w:r>
        <w:t xml:space="preserve">comparisons</w:t>
      </w:r>
      <w:r>
        <w:t xml:space="preserve"> </w:t>
      </w:r>
      <w:r>
        <w:t xml:space="preserve">are reported as prespecified regime extensions. Model, benchmark, and attack-</w:t>
      </w:r>
      <w:r>
        <w:t xml:space="preserve"> </w:t>
      </w:r>
      <w:r>
        <w:t xml:space="preserve">family panels are descriptive heterogeneity analyses rather than additional</w:t>
      </w:r>
      <w:r>
        <w:t xml:space="preserve"> </w:t>
      </w:r>
      <w:r>
        <w:t xml:space="preserve">confirmatory families.</w:t>
      </w:r>
    </w:p>
    <w:p>
      <w:pPr>
        <w:pStyle w:val="BodyText"/>
      </w:pPr>
      <w:r>
        <w:t xml:space="preserve">Adaptive evidence is limited to budgets 50 and 200. We report the cumulative</w:t>
      </w:r>
      <w:r>
        <w:t xml:space="preserve"> </w:t>
      </w:r>
      <w:r>
        <w:t xml:space="preserve">fraction of the fixed 40-task cohort with a first unsafe effect by query count</w:t>
      </w:r>
      <w:r>
        <w:t xml:space="preserve"> </w:t>
      </w:r>
      <w:r>
        <w:t xml:space="preserve">and the two observed budget points. We do not extrapolate a saturation level.</w:t>
      </w:r>
    </w:p>
    <w:bookmarkEnd w:id="45"/>
    <w:bookmarkStart w:id="46" w:name="minimal-verification-and-reproducibility"/>
    <w:p>
      <w:pPr>
        <w:pStyle w:val="Heading3"/>
        <w:keepNext/>
      </w:pPr>
      <w:r>
        <w:t xml:space="preserve">3.13 Minimal verification and reproducibility</w:t>
      </w:r>
    </w:p>
    <w:p>
      <w:pPr>
        <w:pStyle w:val="FirstParagraph"/>
      </w:pPr>
      <w:r>
        <w:t xml:space="preserve">Verification is deliberately proportional to the lean study. It consists of:</w:t>
      </w:r>
    </w:p>
    <w:p>
      <w:pPr>
        <w:numPr>
          <w:ilvl w:val="0"/>
          <w:numId w:val="1012"/>
        </w:numPr>
        <w:pStyle w:val="Compact"/>
      </w:pPr>
      <w:r>
        <w:t xml:space="preserve">focused unit tests for modified provider, authorization projection,</w:t>
      </w:r>
      <w:r>
        <w:t xml:space="preserve"> </w:t>
      </w:r>
      <w:r>
        <w:t xml:space="preserve">evaluator, analysis, and plotting code;</w:t>
      </w:r>
    </w:p>
    <w:p>
      <w:pPr>
        <w:numPr>
          <w:ilvl w:val="0"/>
          <w:numId w:val="1012"/>
        </w:numPr>
        <w:pStyle w:val="Compact"/>
      </w:pPr>
      <w:r>
        <w:t xml:space="preserve">the six-item formal prefix for each provider; and</w:t>
      </w:r>
    </w:p>
    <w:p>
      <w:pPr>
        <w:numPr>
          <w:ilvl w:val="0"/>
          <w:numId w:val="1012"/>
        </w:numPr>
        <w:pStyle w:val="Compact"/>
      </w:pPr>
      <w:r>
        <w:t xml:space="preserve">one terminal pass over row count, experiment-item uniqueness, forbidden-field</w:t>
      </w:r>
      <w:r>
        <w:t xml:space="preserve"> </w:t>
      </w:r>
      <w:r>
        <w:t xml:space="preserve">isolation, exact model identity, and ITT failure retention.</w:t>
      </w:r>
    </w:p>
    <w:p>
      <w:pPr>
        <w:pStyle w:val="FirstParagraph"/>
      </w:pPr>
      <w:r>
        <w:t xml:space="preserve">Each provider writes one append-only compact raw JSONL. The final statistics</w:t>
      </w:r>
      <w:r>
        <w:t xml:space="preserve"> </w:t>
      </w:r>
      <w:r>
        <w:t xml:space="preserve">are written once to one authorization-analysis JSON, and figures are exported</w:t>
      </w:r>
      <w:r>
        <w:t xml:space="preserve"> </w:t>
      </w:r>
      <w:r>
        <w:t xml:space="preserve">as submission-ready vector PDF, editable SVG, and raster PNG previews for</w:t>
      </w:r>
      <w:r>
        <w:t xml:space="preserve"> </w:t>
      </w:r>
      <w:r>
        <w:t xml:space="preserve">manuscript/QA use. Reproducibility assets include frozen samples, condition</w:t>
      </w:r>
      <w:r>
        <w:t xml:space="preserve"> </w:t>
      </w:r>
      <w:r>
        <w:t xml:space="preserve">assignments, analysis code, aggregate tables, and versioned source.</w:t>
      </w:r>
    </w:p>
    <w:bookmarkEnd w:id="46"/>
    <w:bookmarkEnd w:id="47"/>
    <w:bookmarkStart w:id="59" w:name="results"/>
    <w:p>
      <w:pPr>
        <w:pStyle w:val="Heading2"/>
        <w:keepNext/>
      </w:pPr>
      <w:r>
        <w:t xml:space="preserve">4. Results</w:t>
      </w:r>
    </w:p>
    <w:bookmarkStart w:id="48" w:name="medium-falsification-study"/>
    <w:p>
      <w:pPr>
        <w:pStyle w:val="Heading3"/>
        <w:keepNext/>
      </w:pPr>
      <w:r>
        <w:t xml:space="preserve">4.1 Medium falsification study</w:t>
      </w:r>
    </w:p>
    <w:p>
      <w:pPr>
        <w:pStyle w:val="FirstParagraph"/>
      </w:pPr>
      <w:r>
        <w:t xml:space="preserve">The medium study contains 480 records: 432 primary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records</w:t>
      </w:r>
      <w:r>
        <w:t xml:space="preserve"> </w:t>
      </w:r>
      <w:r>
        <w:t xml:space="preserve">covering 72 paired cases across six conditions, plus 48 authorization-regime</w:t>
      </w:r>
      <w:r>
        <w:t xml:space="preserve"> </w:t>
      </w:r>
      <w:r>
        <w:t xml:space="preserve">probe records. The preregistered analysis did not support an incremental</w:t>
      </w:r>
      <w:r>
        <w:t xml:space="preserve"> </w:t>
      </w:r>
      <w:r>
        <w:t xml:space="preserve">mechanism claim. M3-full met the security-effect and deny-all criteria, but</w:t>
      </w:r>
      <w:r>
        <w:t xml:space="preserve"> </w:t>
      </w:r>
      <w:r>
        <w:t xml:space="preserve">missed the utility point non-inferiority criterion and showed no security gain</w:t>
      </w:r>
      <w:r>
        <w:t xml:space="preserve"> </w:t>
      </w:r>
      <w:r>
        <w:t xml:space="preserve">over M3 policy-only. Both the favorable security comparison and the</w:t>
      </w:r>
      <w:r>
        <w:t xml:space="preserve"> </w:t>
      </w:r>
      <w:r>
        <w:t xml:space="preserve">unfavorable utility and module comparisons are reported.</w:t>
      </w:r>
    </w:p>
    <w:p>
      <w:pPr>
        <w:pStyle w:val="BodyText"/>
      </w:pPr>
      <w:r>
        <w:t xml:space="preserve">Supplementary Table S1 reports the online-state source audit.</w:t>
      </w:r>
    </w:p>
    <w:p>
      <w:pPr>
        <w:pStyle w:val="BodyText"/>
      </w:pPr>
      <w:r>
        <w:t xml:space="preserve">This audit supports only covered-path statements. It does not establish a</w:t>
      </w:r>
      <w:r>
        <w:t xml:space="preserve"> </w:t>
      </w:r>
      <w:r>
        <w:t xml:space="preserve">domain-wide oracle-authorization problem.</w:t>
      </w:r>
    </w:p>
    <w:p>
      <w:pPr>
        <w:pStyle w:val="BodyText"/>
      </w:pPr>
      <w:r>
        <w:t xml:space="preserve">Supplementary Table S2 reports the completed medium security and utility outcomes.</w:t>
      </w:r>
    </w:p>
    <w:p>
      <w:pPr>
        <w:pStyle w:val="BodyText"/>
      </w:pPr>
      <w:r>
        <w:t xml:space="preserve">The medium sample therefore shows a security–utility trade-off, not an</w:t>
      </w:r>
      <w:r>
        <w:t xml:space="preserve"> </w:t>
      </w:r>
      <w:r>
        <w:t xml:space="preserve">incremental mechanism benefit. Both M3 variants eliminated the eight unsafe</w:t>
      </w:r>
      <w:r>
        <w:t xml:space="preserve"> </w:t>
      </w:r>
      <w:r>
        <w:t xml:space="preserve">effects observed under the structural condition, but they also completed</w:t>
      </w:r>
      <w:r>
        <w:t xml:space="preserve"> </w:t>
      </w:r>
      <w:r>
        <w:t xml:space="preserve">substantially fewer benign tool tasks.</w:t>
      </w:r>
    </w:p>
    <w:p>
      <w:pPr>
        <w:pStyle w:val="BodyText"/>
      </w:pPr>
      <w:r>
        <w:t xml:space="preserve">Supplementary Table S3 reports the prespecified paired comparisons.</w:t>
      </w:r>
    </w:p>
    <w:p>
      <w:pPr>
        <w:pStyle w:val="BodyText"/>
      </w:pPr>
      <w:r>
        <w:t xml:space="preserve">The security effect relative to the structural baseline was large in this</w:t>
      </w:r>
      <w:r>
        <w:t xml:space="preserve"> </w:t>
      </w:r>
      <w:r>
        <w:t xml:space="preserve">sample, but the full mechanism did not outperform policy-only. Relative to the</w:t>
      </w:r>
      <w:r>
        <w:t xml:space="preserve"> </w:t>
      </w:r>
      <w:r>
        <w:t xml:space="preserve">structural condition, its benign-tool TCR was 25 percentage points lower, well</w:t>
      </w:r>
      <w:r>
        <w:t xml:space="preserve"> </w:t>
      </w:r>
      <w:r>
        <w:t xml:space="preserve">outside the preregistered −5 percentage-point non-inferiority margin.</w:t>
      </w:r>
    </w:p>
    <w:p>
      <w:pPr>
        <w:pStyle w:val="BodyText"/>
      </w:pPr>
      <w:r>
        <w:t xml:space="preserve">Supplementary Table S4 reports the runtime burden and operational quality.</w:t>
      </w:r>
    </w:p>
    <w:p>
      <w:pPr>
        <w:pStyle w:val="BodyText"/>
      </w:pPr>
      <w:r>
        <w:t xml:space="preserve">Across the 432 primary records, 411 completed and 21 retained terminal failures</w:t>
      </w:r>
      <w:r>
        <w:t xml:space="preserve"> </w:t>
      </w:r>
      <w:r>
        <w:t xml:space="preserve">comprised six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, six parse failures, and nine provider failures. The</w:t>
      </w:r>
      <w:r>
        <w:t xml:space="preserve"> </w:t>
      </w:r>
      <w:r>
        <w:t xml:space="preserve">4.86% overall failure fraction and 2.08% provider-failure fraction passed the</w:t>
      </w:r>
      <w:r>
        <w:t xml:space="preserve"> </w:t>
      </w:r>
      <w:r>
        <w:t xml:space="preserve">predefined operational-quality envelope. Every terminal state remains</w:t>
      </w:r>
      <w:r>
        <w:t xml:space="preserve"> </w:t>
      </w:r>
      <w:r>
        <w:t xml:space="preserve">in the intention-to-treat denominator.</w:t>
      </w:r>
    </w:p>
    <w:p>
      <w:pPr>
        <w:pStyle w:val="BodyText"/>
      </w:pPr>
      <w:r>
        <w:t xml:space="preserve">For M3-full, 22 initial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decisions comprised 17 permission-expansion</w:t>
      </w:r>
      <w:r>
        <w:t xml:space="preserve"> </w:t>
      </w:r>
      <w:r>
        <w:t xml:space="preserve">events, four independent-confirmation requirements, and one out-of-scope</w:t>
      </w:r>
      <w:r>
        <w:t xml:space="preserve"> </w:t>
      </w:r>
      <w:r>
        <w:t xml:space="preserve">parameter. Confirmation outcomes remained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in this synthetic study;</w:t>
      </w:r>
      <w:r>
        <w:t xml:space="preserve"> </w:t>
      </w:r>
      <w:r>
        <w:t xml:space="preserve">the ASK count measures burden and cannot be interpreted as successful human</w:t>
      </w:r>
      <w:r>
        <w:t xml:space="preserve"> </w:t>
      </w:r>
      <w:r>
        <w:t xml:space="preserve">approval.</w:t>
      </w:r>
    </w:p>
    <w:bookmarkEnd w:id="48"/>
    <w:bookmarkStart w:id="49" w:name="authorization-regime-sensitivity"/>
    <w:p>
      <w:pPr>
        <w:pStyle w:val="Heading3"/>
        <w:keepNext/>
      </w:pPr>
      <w:r>
        <w:t xml:space="preserve">4.2 Authorization-regime sensitivity</w:t>
      </w:r>
    </w:p>
    <w:p>
      <w:pPr>
        <w:pStyle w:val="FirstParagraph"/>
      </w:pPr>
      <w:r>
        <w:t xml:space="preserve">Forty-eight probe records compare four alternate regimes with matched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executions for M3 policy-only and M3-full. Each</w:t>
      </w:r>
      <w:r>
        <w:t xml:space="preserve"> </w:t>
      </w:r>
      <w:r>
        <w:t xml:space="preserve">condition–regime comparison contains six pairs. No unsafe effect occurred in</w:t>
      </w:r>
      <w:r>
        <w:t xml:space="preserve"> </w:t>
      </w:r>
      <w:r>
        <w:t xml:space="preserve">these small probes. For the explicitly labeled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probe, task</w:t>
      </w:r>
      <w:r>
        <w:t xml:space="preserve"> </w:t>
      </w:r>
      <w:r>
        <w:t xml:space="preserve">completion increased from 1/6 under matched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to 3/6 under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, while initial ASK decreased from 3/6 to 0/6; exact McNemar tests</w:t>
      </w:r>
      <w:r>
        <w:t xml:space="preserve"> </w:t>
      </w:r>
      <w:r>
        <w:t xml:space="preserve">were p=0.5 and p=0.25, respectively. These six-pair estimates are sensitivity</w:t>
      </w:r>
      <w:r>
        <w:t xml:space="preserve"> </w:t>
      </w:r>
      <w:r>
        <w:t xml:space="preserve">signals, not evidence of a domain-wide bias.</w:t>
      </w:r>
    </w:p>
    <w:bookmarkEnd w:id="49"/>
    <w:bookmarkStart w:id="50" w:name="prespecified-decision-criteria"/>
    <w:p>
      <w:pPr>
        <w:pStyle w:val="Heading3"/>
        <w:keepNext/>
      </w:pPr>
      <w:r>
        <w:t xml:space="preserve">4.3 Prespecified decision criteria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3074"/>
        <w:gridCol w:w="2738"/>
        <w:gridCol w:w="3548"/>
      </w:tblGrid>
      <w:tr>
        <w:trPr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74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38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Result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48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Evidence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Security effect vs structural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Pass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22.22 pp absolute reduction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Tool-utility point non-inferiority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Fail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−25.00 pp vs −5 pp margin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Full vs policy-only security gain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Fail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0/36 vs 0/36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Deny-all rejection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Pass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4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Benign initial ASK-or-DENY 22.22%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Operational quality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Pass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4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All three predefined quality checks passed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Supported interpretation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Empirical trade-off study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4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Incremental defense-mechanism claim not supported</w:t>
            </w:r>
          </w:p>
        </w:tc>
      </w:tr>
    </w:tbl>
    <w:p>
      <w:pPr>
        <w:pStyle w:val="BodyText"/>
      </w:pPr>
      <w:r>
        <w:t xml:space="preserve">The results therefore support an empirical study of authorization uncertainty</w:t>
      </w:r>
      <w:r>
        <w:t xml:space="preserve"> </w:t>
      </w:r>
      <w:r>
        <w:t xml:space="preserve">and the security–utility trade-off. They do not support a defense-superiority</w:t>
      </w:r>
      <w:r>
        <w:t xml:space="preserve"> </w:t>
      </w:r>
      <w:r>
        <w:t xml:space="preserve">or SOTA claim.</w:t>
      </w:r>
    </w:p>
    <w:bookmarkEnd w:id="50"/>
    <w:bookmarkStart w:id="51" w:name="public-primary-model-result"/>
    <w:p>
      <w:pPr>
        <w:pStyle w:val="Heading3"/>
        <w:keepNext/>
      </w:pPr>
      <w:r>
        <w:t xml:space="preserve">4.4 Public primary-model result</w:t>
      </w:r>
    </w:p>
    <w:p>
      <w:pPr>
        <w:pStyle w:val="FirstParagraph"/>
      </w:pPr>
      <w:r>
        <w:t xml:space="preserve">The completed Public matrix contains 847 unique cases and 5,082 records: 600</w:t>
      </w:r>
      <w:r>
        <w:t xml:space="preserve"> </w:t>
      </w:r>
      <w:r>
        <w:t xml:space="preserve">attacks and 247 benign cases crossed with the same six conditions. All 76</w:t>
      </w:r>
      <w:r>
        <w:t xml:space="preserve"> </w:t>
      </w:r>
      <w:r>
        <w:t xml:space="preserve">diagnostic records (1.4955%) remain in ITT. The predefined 1% quality ceiling</w:t>
      </w:r>
      <w:r>
        <w:t xml:space="preserve"> </w:t>
      </w:r>
      <w:r>
        <w:t xml:space="preserve">therefore failed and prohibits a clean mechanism-quality claim. A one-pass</w:t>
      </w:r>
      <w:r>
        <w:t xml:space="preserve"> </w:t>
      </w:r>
      <w:r>
        <w:t xml:space="preserve">integrity check nevertheless confirmed unique case-condition coverage, model</w:t>
      </w:r>
      <w:r>
        <w:t xml:space="preserve"> </w:t>
      </w:r>
      <w:r>
        <w:t xml:space="preserve">identity, and diagnostic retention. The result is primary-model-only.</w:t>
      </w:r>
    </w:p>
    <w:p>
      <w:pPr>
        <w:pStyle w:val="BodyText"/>
      </w:pPr>
      <w:r>
        <w:t xml:space="preserve">Across the 600 paired attacks, M3-full produced 38 unsafe effects (6.33%,</w:t>
      </w:r>
      <w:r>
        <w:t xml:space="preserve"> </w:t>
      </w:r>
      <w:r>
        <w:t xml:space="preserve">Wilson 95% CI 4.65–8.57) versus 133 (22.17%, 19.03–25.66) under the structural</w:t>
      </w:r>
      <w:r>
        <w:t xml:space="preserve"> </w:t>
      </w:r>
      <w:r>
        <w:t xml:space="preserve">condition. The paired difference was −15.83 percentage points (10,000-cluster</w:t>
      </w:r>
      <w:r>
        <w:t xml:space="preserve"> </w:t>
      </w:r>
      <w:r>
        <w:t xml:space="preserve">bootstrap 95% CI −19.50 to −12.17; exact McNemar p=4.04e−17,</w:t>
      </w:r>
      <w:r>
        <w:t xml:space="preserve"> </w:t>
      </w:r>
      <w:r>
        <w:t xml:space="preserve">Holm-adjusted p=1.61e−16). This security reduction did not identify a</w:t>
      </w:r>
      <w:r>
        <w:t xml:space="preserve"> </w:t>
      </w:r>
      <w:r>
        <w:t xml:space="preserve">full-system module contribution: M3 policy-only produced only 13 unsafe</w:t>
      </w:r>
      <w:r>
        <w:t xml:space="preserve"> </w:t>
      </w:r>
      <w:r>
        <w:t xml:space="preserve">effects (2.17%, 1.27–3.67), so M3-full was 4.17 points worse</w:t>
      </w:r>
      <w:r>
        <w:t xml:space="preserve"> </w:t>
      </w:r>
      <w:r>
        <w:t xml:space="preserve">(95% bootstrap CI 2.50–6.00; exact McNemar p=1.62e−6).</w:t>
      </w:r>
    </w:p>
    <w:p>
      <w:pPr>
        <w:pStyle w:val="BodyText"/>
      </w:pPr>
      <w:r>
        <w:t xml:space="preserve">Benign tool completion under M3-full was 49/168 (29.17%, 22.82–36.44), versus</w:t>
      </w:r>
      <w:r>
        <w:t xml:space="preserve"> </w:t>
      </w:r>
      <w:r>
        <w:t xml:space="preserve">103/168 (61.31%, 53.77–68.34) under the structural condition: −32.14 points</w:t>
      </w:r>
      <w:r>
        <w:t xml:space="preserve"> </w:t>
      </w:r>
      <w:r>
        <w:t xml:space="preserve">(95% bootstrap CI −39.88 to −25.00; exact McNemar p=1.19e−14).</w:t>
      </w:r>
      <w:r>
        <w:t xml:space="preserve"> </w:t>
      </w:r>
      <w:r>
        <w:t xml:space="preserve">M3-full and policy-only both completed 49/168, with a paired difference of</w:t>
      </w:r>
      <w:r>
        <w:t xml:space="preserve"> </w:t>
      </w:r>
      <w:r>
        <w:t xml:space="preserve">0.00 points. All six conditions completed 79/79 benign no-tool tasks.</w:t>
      </w:r>
    </w:p>
    <w:p>
      <w:pPr>
        <w:pStyle w:val="BodyText"/>
      </w:pPr>
      <w:r>
        <w:t xml:space="preserve">Supplementary Table S5 reports the public-primary benchmark strata.</w:t>
      </w:r>
    </w:p>
    <w:p>
      <w:pPr>
        <w:pStyle w:val="BodyText"/>
      </w:pPr>
      <w:r>
        <w:t xml:space="preserve">The direction is consistent across both attack benchmarks: M3-full is safer</w:t>
      </w:r>
      <w:r>
        <w:t xml:space="preserve"> </w:t>
      </w:r>
      <w:r>
        <w:t xml:space="preserve">than the structural condition but less safe than policy-only. Utility is</w:t>
      </w:r>
      <w:r>
        <w:t xml:space="preserve"> </w:t>
      </w:r>
      <w:r>
        <w:t xml:space="preserve">strongly benchmark dependent. The public M3-v2 tool tasks show no completion</w:t>
      </w:r>
      <w:r>
        <w:t xml:space="preserve"> </w:t>
      </w:r>
      <w:r>
        <w:t xml:space="preserve">difference among the three focal conditions, whereas AgentDojo tool completion</w:t>
      </w:r>
      <w:r>
        <w:t xml:space="preserve"> </w:t>
      </w:r>
      <w:r>
        <w:t xml:space="preserve">falls by 55.67 points for both M3 variants relative to the structural</w:t>
      </w:r>
      <w:r>
        <w:t xml:space="preserve"> </w:t>
      </w:r>
      <w:r>
        <w:t xml:space="preserve">condition. AgentDojo benign denominators remain the 97 unique official utility</w:t>
      </w:r>
      <w:r>
        <w:t xml:space="preserve"> </w:t>
      </w:r>
      <w:r>
        <w:t xml:space="preserve">tasks and are not duplicated.</w:t>
      </w:r>
    </w:p>
    <w:bookmarkEnd w:id="51"/>
    <w:bookmarkStart w:id="52" w:name="public-deepseek-v4-flash-replication"/>
    <w:p>
      <w:pPr>
        <w:pStyle w:val="Heading3"/>
        <w:keepNext/>
      </w:pPr>
      <w:r>
        <w:t xml:space="preserve">4.5 Public DeepSeek V4 Flash replication</w:t>
      </w:r>
    </w:p>
    <w:p>
      <w:pPr>
        <w:pStyle w:val="FirstParagraph"/>
      </w:pPr>
      <w:r>
        <w:t xml:space="preserve">The completed Flash matrix contains 1,791 records: 400 attacks, 145 benign</w:t>
      </w:r>
      <w:r>
        <w:t xml:space="preserve"> </w:t>
      </w:r>
      <w:r>
        <w:t xml:space="preserve">tool tasks, and 52 benign no-tool tasks under each of the structural,</w:t>
      </w:r>
      <w:r>
        <w:t xml:space="preserve"> </w:t>
      </w:r>
      <w:r>
        <w:t xml:space="preserve">policy-only, and full conditions. M3-full produced 24/400 unsafe effects</w:t>
      </w:r>
      <w:r>
        <w:t xml:space="preserve"> </w:t>
      </w:r>
      <w:r>
        <w:t xml:space="preserve">(6.00%, Wilson 95% CI 4.06–8.77), compared with 12/400 under policy-only</w:t>
      </w:r>
      <w:r>
        <w:t xml:space="preserve"> </w:t>
      </w:r>
      <w:r>
        <w:t xml:space="preserve">(3.00%, 1.72–5.17) and 47/400 under the structural baseline (11.75%,</w:t>
      </w:r>
      <w:r>
        <w:t xml:space="preserve"> </w:t>
      </w:r>
      <w:r>
        <w:t xml:space="preserve">8.95–15.28). Thus the full-minus-policy difference was +3.00 percentage</w:t>
      </w:r>
      <w:r>
        <w:t xml:space="preserve"> </w:t>
      </w:r>
      <w:r>
        <w:t xml:space="preserve">points, preserving the unfavorable direction observed with V4 Pro.</w:t>
      </w:r>
    </w:p>
    <w:p>
      <w:pPr>
        <w:pStyle w:val="BodyText"/>
      </w:pPr>
      <w:r>
        <w:t xml:space="preserve">Benign-tool completion was 38/145 for full (26.21%, 19.73–33.91), 35/145 for</w:t>
      </w:r>
      <w:r>
        <w:t xml:space="preserve"> </w:t>
      </w:r>
      <w:r>
        <w:t xml:space="preserve">policy-only (24.14%, 17.90–31.71), and 82/145 for the structural baseline</w:t>
      </w:r>
      <w:r>
        <w:t xml:space="preserve"> </w:t>
      </w:r>
      <w:r>
        <w:t xml:space="preserve">(56.55%, 48.42–64.35). All three conditions completed 52/52 benign no-tool</w:t>
      </w:r>
      <w:r>
        <w:t xml:space="preserve"> </w:t>
      </w:r>
      <w:r>
        <w:t xml:space="preserve">tasks. The small +2.07-point full-minus-policy tool-completion difference does</w:t>
      </w:r>
      <w:r>
        <w:t xml:space="preserve"> </w:t>
      </w:r>
      <w:r>
        <w:t xml:space="preserve">not offset the security disadvantage and is not interpreted as an independent</w:t>
      </w:r>
      <w:r>
        <w:t xml:space="preserve"> </w:t>
      </w:r>
      <w:r>
        <w:t xml:space="preserve">mechanism gain. Sixteen operational diagnostic records remain in ITT; the Flash</w:t>
      </w:r>
      <w:r>
        <w:t xml:space="preserve"> </w:t>
      </w:r>
      <w:r>
        <w:t xml:space="preserve">result therefore supports a same-provider model replication, not a clean</w:t>
      </w:r>
      <w:r>
        <w:t xml:space="preserve"> </w:t>
      </w:r>
      <w:r>
        <w:t xml:space="preserve">mechanism-quality or cross-provider claim.</w:t>
      </w:r>
    </w:p>
    <w:bookmarkEnd w:id="52"/>
    <w:bookmarkStart w:id="53" w:name="public-operational-and-decision-burden"/>
    <w:p>
      <w:pPr>
        <w:pStyle w:val="Heading3"/>
        <w:keepNext/>
      </w:pPr>
      <w:r>
        <w:t xml:space="preserve">4.6 Public operational and decision burden</w:t>
      </w:r>
    </w:p>
    <w:p>
      <w:pPr>
        <w:pStyle w:val="FirstParagraph"/>
      </w:pPr>
      <w:r>
        <w:t xml:space="preserve">The Public matrix contains 4,616 completed, 112 maximum-step, 120 parse-failure,</w:t>
      </w:r>
      <w:r>
        <w:t xml:space="preserve"> </w:t>
      </w:r>
      <w:r>
        <w:t xml:space="preserve">and 234 provider-failure records. Diagnostics are uneven by condition:</w:t>
      </w:r>
      <w:r>
        <w:t xml:space="preserve"> </w:t>
      </w:r>
      <w:r>
        <w:t xml:space="preserve">27 structural, 24 safe-prompt, 22 M3-full, two no-defense, one PromptGuard,</w:t>
      </w:r>
      <w:r>
        <w:t xml:space="preserve"> </w:t>
      </w:r>
      <w:r>
        <w:t xml:space="preserve">and zero policy-only. This imbalance is disclosed because terminal failure can</w:t>
      </w:r>
      <w:r>
        <w:t xml:space="preserve"> </w:t>
      </w:r>
      <w:r>
        <w:t xml:space="preserve">affect observed unsafe-effect counts; no diagnostic was retried or excluded.</w:t>
      </w:r>
    </w:p>
    <w:p>
      <w:pPr>
        <w:pStyle w:val="BodyText"/>
      </w:pPr>
      <w:r>
        <w:t xml:space="preserve">On attacks, M3-full issued 181 initial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and 44 initial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decisions,</w:t>
      </w:r>
      <w:r>
        <w:t xml:space="preserve"> </w:t>
      </w:r>
      <w:r>
        <w:t xml:space="preserve">versus 197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under policy-only. On the 168 benign tool tasks,</w:t>
      </w:r>
      <w:r>
        <w:t xml:space="preserve"> </w:t>
      </w:r>
      <w:r>
        <w:t xml:space="preserve">M3-full issued 75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decisions and policy-only issued 69. The primary</w:t>
      </w:r>
      <w:r>
        <w:t xml:space="preserve"> </w:t>
      </w:r>
      <w:r>
        <w:t xml:space="preserve">mechanism comparison therefore met its structural security-effect criterion</w:t>
      </w:r>
      <w:r>
        <w:t xml:space="preserve"> </w:t>
      </w:r>
      <w:r>
        <w:t xml:space="preserve">but missed utility non-inferiority and module-gain criteria. This pattern is</w:t>
      </w:r>
      <w:r>
        <w:t xml:space="preserve"> </w:t>
      </w:r>
      <w:r>
        <w:t xml:space="preserve">consistent with a security–utility trade-off rather than incremental benefit</w:t>
      </w:r>
      <w:r>
        <w:t xml:space="preserve"> </w:t>
      </w:r>
      <w:r>
        <w:t xml:space="preserve">from the full mechanism.</w:t>
      </w:r>
    </w:p>
    <w:bookmarkEnd w:id="53"/>
    <w:bookmarkStart w:id="56" w:name="deepseek-authorization-regime-experiment"/>
    <w:p>
      <w:pPr>
        <w:pStyle w:val="Heading3"/>
        <w:keepNext/>
      </w:pPr>
      <w:r>
        <w:t xml:space="preserve">4.7 DeepSeek authorization-regime experiment</w:t>
      </w:r>
    </w:p>
    <w:p>
      <w:pPr>
        <w:pStyle w:val="FirstParagraph"/>
      </w:pPr>
      <w:r>
        <w:t xml:space="preserve">The frozen authorization study contributes 900 terminal DeepSeek V4 Pro work</w:t>
      </w:r>
      <w:r>
        <w:t xml:space="preserve"> </w:t>
      </w:r>
      <w:r>
        <w:t xml:space="preserve">items across 180 paired cases. The four main cells each contain 100 attacks,</w:t>
      </w:r>
      <w:r>
        <w:t xml:space="preserve"> </w:t>
      </w:r>
      <w:r>
        <w:t xml:space="preserve">60 benign tool tasks, and 20 benign no-tool tasks. A nested 60-case subset adds</w:t>
      </w:r>
      <w:r>
        <w:t xml:space="preserve"> </w:t>
      </w:r>
      <w:r>
        <w:t xml:space="preserve">the broad, underspecified, and conflicting regimes under M3-full. Recovery was</w:t>
      </w:r>
      <w:r>
        <w:t xml:space="preserve"> </w:t>
      </w:r>
      <w:r>
        <w:t xml:space="preserve">limited to 33 work items for which no provider response had been obtained; all</w:t>
      </w:r>
      <w:r>
        <w:t xml:space="preserve"> </w:t>
      </w:r>
      <w:r>
        <w:t xml:space="preserve">867 response-bearing work items were left untouched. The final ITT population</w:t>
      </w:r>
      <w:r>
        <w:t xml:space="preserve"> </w:t>
      </w:r>
      <w:r>
        <w:t xml:space="preserve">contains 768 completed records, 54 parse failures, 30 maximum-step terminals,</w:t>
      </w:r>
      <w:r>
        <w:t xml:space="preserve"> </w:t>
      </w:r>
      <w:r>
        <w:t xml:space="preserve">15 provider failures, and 33 repeated pre-response failures. No raw evaluator,</w:t>
      </w:r>
      <w:r>
        <w:t xml:space="preserve"> </w:t>
      </w:r>
      <w:r>
        <w:t xml:space="preserve">label, or gold-answer field entered the online projection;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exposed only its derived authorization object. Provider tools and real external</w:t>
      </w:r>
      <w:r>
        <w:t xml:space="preserve"> </w:t>
      </w:r>
      <w:r>
        <w:t xml:space="preserve">effects remained disabled.</w:t>
      </w:r>
    </w:p>
    <w:bookmarkStart w:id="54" w:name="joint-security-and-utility-endpoints"/>
    <w:p>
      <w:pPr>
        <w:pStyle w:val="Heading4"/>
        <w:keepNext/>
      </w:pPr>
      <w:r>
        <w:t xml:space="preserve">4.7.1 Joint security and utility endpoints</w:t>
      </w:r>
    </w:p>
    <w:p>
      <w:pPr>
        <w:pStyle w:val="FirstParagraph"/>
      </w:pPr>
      <w:r>
        <w:t xml:space="preserve">Unsafe effects were at the floor in the main experiment: 0/100 under M3-full</w:t>
      </w:r>
      <w:r>
        <w:t xml:space="preserve"> </w:t>
      </w:r>
      <w:r>
        <w:t xml:space="preserve">with either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, 0/100 under policy-only with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, and 1/100 under policy-only with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. Consequently,</w:t>
      </w:r>
      <w:r>
        <w:t xml:space="preserve"> </w:t>
      </w:r>
      <w:r>
        <w:t xml:space="preserve">the full-minus-policy difference under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was −1.00 percentage</w:t>
      </w:r>
      <w:r>
        <w:t xml:space="preserve"> </w:t>
      </w:r>
      <w:r>
        <w:t xml:space="preserve">point (task-cluster bootstrap 95% CI −3.00 to 0.00; Holm-adjusted McNemar</w:t>
      </w:r>
      <w:r>
        <w:t xml:space="preserve"> </w:t>
      </w:r>
      <w:r>
        <w:t xml:space="preserve">p=1.0), while all other primary security contrasts were exactly zero or</w:t>
      </w:r>
      <w:r>
        <w:t xml:space="preserve"> </w:t>
      </w:r>
      <w:r>
        <w:t xml:space="preserve">differed by the same single event. These data provide no evidence that the</w:t>
      </w:r>
      <w:r>
        <w:t xml:space="preserve"> </w:t>
      </w:r>
      <w:r>
        <w:t xml:space="preserve">full mechanism adds a reproducible security benefit over policy-only.</w:t>
      </w:r>
    </w:p>
    <w:p>
      <w:pPr>
        <w:pStyle w:val="BodyText"/>
      </w:pPr>
      <w:r>
        <w:t xml:space="preserve">Benign-tool completion showed the larger authorization effect. Under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, policy-only completed 22/60 tasks (36.67%, Wilson 95% CI</w:t>
      </w:r>
      <w:r>
        <w:t xml:space="preserve"> </w:t>
      </w:r>
      <w:r>
        <w:t xml:space="preserve">25.62–49.32) and M3-full completed 16/60 (26.67%, 17.13–39.01), a paired</w:t>
      </w:r>
      <w:r>
        <w:t xml:space="preserve"> </w:t>
      </w:r>
      <w:r>
        <w:t xml:space="preserve">full-minus-policy difference of −10.00 points (bootstrap 95% CI −18.33 to</w:t>
      </w:r>
      <w:r>
        <w:t xml:space="preserve"> </w:t>
      </w:r>
      <w:r>
        <w:t xml:space="preserve">−3.33; Holm-adjusted p=0.09375). Under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, policy-only completed</w:t>
      </w:r>
      <w:r>
        <w:t xml:space="preserve"> </w:t>
      </w:r>
      <w:r>
        <w:t xml:space="preserve">9/60 (15.00%, 8.10–26.11) and full completed 7/60 (11.67%, 5.77–22.18), a</w:t>
      </w:r>
      <w:r>
        <w:t xml:space="preserve"> </w:t>
      </w:r>
      <w:r>
        <w:t xml:space="preserve">−3.33-point paired difference (bootstrap 95% CI −8.33 to 0.00;</w:t>
      </w:r>
      <w:r>
        <w:t xml:space="preserve"> </w:t>
      </w:r>
      <w:r>
        <w:t xml:space="preserve">Holm-adjusted p=0.5). All four main cells completed 20/20 benign no-tool tasks.</w:t>
      </w:r>
    </w:p>
    <w:p>
      <w:pPr>
        <w:pStyle w:val="BodyText"/>
      </w:pPr>
      <w:r>
        <w:t xml:space="preserve">Changing policy-only from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reduced paired</w:t>
      </w:r>
      <w:r>
        <w:t xml:space="preserve"> </w:t>
      </w:r>
      <w:r>
        <w:t xml:space="preserve">benign-tool completion by 21.67 points (bootstrap 95% CI −36.67 to −5.00;</w:t>
      </w:r>
      <w:r>
        <w:t xml:space="preserve"> </w:t>
      </w:r>
      <w:r>
        <w:t xml:space="preserve">Holm-adjusted p=0.05853). For M3-full, the corresponding reduction was 15.00</w:t>
      </w:r>
      <w:r>
        <w:t xml:space="preserve"> </w:t>
      </w:r>
      <w:r>
        <w:t xml:space="preserve">points (−28.33 to −1.67; Holm-adjusted p=0.09808). The bootstrap intervals</w:t>
      </w:r>
      <w:r>
        <w:t xml:space="preserve"> </w:t>
      </w:r>
      <w:r>
        <w:t xml:space="preserve">exclude zero, but neither exact McNemar comparison remains below 0.05 after</w:t>
      </w:r>
      <w:r>
        <w:t xml:space="preserve"> </w:t>
      </w:r>
      <w:r>
        <w:t xml:space="preserve">Holm correction. We therefore interpret the consistent direction and effect</w:t>
      </w:r>
      <w:r>
        <w:t xml:space="preserve"> </w:t>
      </w:r>
      <w:r>
        <w:t xml:space="preserve">size as evidence of authorization sensitivity in this sample, not as a</w:t>
      </w:r>
      <w:r>
        <w:t xml:space="preserve"> </w:t>
      </w:r>
      <w:r>
        <w:t xml:space="preserve">universal oracle-policy effect.</w:t>
      </w:r>
    </w:p>
    <w:bookmarkEnd w:id="54"/>
    <w:bookmarkStart w:id="55" w:name="stress-regimes-and-operational-burden"/>
    <w:p>
      <w:pPr>
        <w:pStyle w:val="Heading4"/>
        <w:keepNext/>
      </w:pPr>
      <w:r>
        <w:t xml:space="preserve">4.7.2 Stress regimes and operational burden</w:t>
      </w:r>
    </w:p>
    <w:p>
      <w:pPr>
        <w:pStyle w:val="FirstParagraph"/>
      </w:pPr>
      <w:r>
        <w:t xml:space="preserve">On the nested benign-tool subset, moving from matched M3-full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executions to broad, conflicting, or underspecified policies</w:t>
      </w:r>
      <w:r>
        <w:t xml:space="preserve"> </w:t>
      </w:r>
      <w:r>
        <w:t xml:space="preserve">reduced completion by 25, 30, and 25 percentage points, respectively. Their</w:t>
      </w:r>
      <w:r>
        <w:t xml:space="preserve"> </w:t>
      </w:r>
      <w:r>
        <w:t xml:space="preserve">bootstrap intervals were −45 to −5, −50 to −10, and −50 to 0 points. No unsafe</w:t>
      </w:r>
      <w:r>
        <w:t xml:space="preserve"> </w:t>
      </w:r>
      <w:r>
        <w:t xml:space="preserve">effect occurred in any of the 30-attack stress cells, so the stress comparison</w:t>
      </w:r>
      <w:r>
        <w:t xml:space="preserve"> </w:t>
      </w:r>
      <w:r>
        <w:t xml:space="preserve">primarily exposes lost utility rather than an observable security gain.</w:t>
      </w:r>
    </w:p>
    <w:p>
      <w:pPr>
        <w:pStyle w:val="BodyText"/>
      </w:pPr>
      <w:r>
        <w:t xml:space="preserve">The decision and failure profiles explain part of this trade-off. Under</w:t>
      </w:r>
      <w:r>
        <w:t xml:space="preserve"> </w:t>
      </w:r>
      <w:r>
        <w:t xml:space="preserve">policy-only,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produced ASK on 34.44% and DENY on 7.22% of</w:t>
      </w:r>
      <w:r>
        <w:t xml:space="preserve"> </w:t>
      </w:r>
      <w:r>
        <w:t xml:space="preserve">records, whereas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produced no ASK but DENY on 48.89%; its failure</w:t>
      </w:r>
      <w:r>
        <w:t xml:space="preserve"> </w:t>
      </w:r>
      <w:r>
        <w:t xml:space="preserve">rate rose from 7.22% to 23.89% and p95 latency from 10.63 to 19.42 seconds.</w:t>
      </w:r>
      <w:r>
        <w:t xml:space="preserve"> </w:t>
      </w:r>
      <w:r>
        <w:t xml:space="preserve">M3-full showed the same pattern: ASK fell from 32.22% to zero, DENY rose from</w:t>
      </w:r>
      <w:r>
        <w:t xml:space="preserve"> </w:t>
      </w:r>
      <w:r>
        <w:t xml:space="preserve">11.11% to 45.00%, failure rose from 9.44% to 24.44%, and p95 latency rose from</w:t>
      </w:r>
      <w:r>
        <w:t xml:space="preserve"> </w:t>
      </w:r>
      <w:r>
        <w:t xml:space="preserve">9.18 to 19.62 seconds. DENY incidence counts records with at least one DENY;</w:t>
      </w:r>
      <w:r>
        <w:t xml:space="preserve"> </w:t>
      </w:r>
      <w:r>
        <w:t xml:space="preserve">the separate event totals are retained because a record may contain multiple</w:t>
      </w:r>
      <w:r>
        <w:t xml:space="preserve"> </w:t>
      </w:r>
      <w:r>
        <w:t xml:space="preserve">decisions. Across all 900 work items, provider cost was CNY 1.3888324.</w:t>
      </w:r>
    </w:p>
    <w:p>
      <w:pPr>
        <w:pStyle w:val="BodyText"/>
      </w:pPr>
      <w:r>
        <w:t xml:space="preserve">These results reverse the simple expectation that an answer-derived exact</w:t>
      </w:r>
      <w:r>
        <w:t xml:space="preserve"> </w:t>
      </w:r>
      <w:r>
        <w:t xml:space="preserve">policy must improve measured utility. In this implementation, the exact policy</w:t>
      </w:r>
      <w:r>
        <w:t xml:space="preserve"> </w:t>
      </w:r>
      <w:r>
        <w:t xml:space="preserve">behaved as a more restrictive authorization treatment, replacing confirmation</w:t>
      </w:r>
      <w:r>
        <w:t xml:space="preserve"> </w:t>
      </w:r>
      <w:r>
        <w:t xml:space="preserve">with repeated blocking and higher operational failure. The result supports</w:t>
      </w:r>
      <w:r>
        <w:t xml:space="preserve"> </w:t>
      </w:r>
      <w:r>
        <w:t xml:space="preserve">making authorization construction explicit in evaluations; it does not show</w:t>
      </w:r>
      <w:r>
        <w:t xml:space="preserve"> </w:t>
      </w:r>
      <w:r>
        <w:t xml:space="preserve">that every gold-derived policy or every runtime guard behaves similarly.</w:t>
      </w:r>
    </w:p>
    <w:bookmarkEnd w:id="55"/>
    <w:bookmarkEnd w:id="56"/>
    <w:bookmarkStart w:id="57" w:name="X7846f5ff3eb15d76d0171b7ee7511588081277f"/>
    <w:p>
      <w:pPr>
        <w:pStyle w:val="Heading3"/>
        <w:keepNext/>
      </w:pPr>
      <w:r>
        <w:t xml:space="preserve">4.8 Defense-aware adaptive evidence through budget 200</w:t>
      </w:r>
    </w:p>
    <w:p>
      <w:pPr>
        <w:pStyle w:val="FirstParagraph"/>
      </w:pPr>
      <w:r>
        <w:t xml:space="preserve">The initial DeepSeek V4 Pro cost canary covered eight result-blind,</w:t>
      </w:r>
      <w:r>
        <w:t xml:space="preserve"> </w:t>
      </w:r>
      <w:r>
        <w:t xml:space="preserve">attack-family-balanced M3-v2 development tasks under M3-full and the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authorization regime. At a maximum of 50 queries per task,</w:t>
      </w:r>
      <w:r>
        <w:t xml:space="preserve"> </w:t>
      </w:r>
      <w:r>
        <w:t xml:space="preserve">no unsafe effect was found: 0/8 tasks, or 0.00% (Wilson 95% CI 0.00–32.44%).</w:t>
      </w:r>
      <w:r>
        <w:t xml:space="preserve"> </w:t>
      </w:r>
      <w:r>
        <w:t xml:space="preserve">The run retained one closed diagnostic query in ITT; that task ended at query</w:t>
      </w:r>
      <w:r>
        <w:t xml:space="preserve"> </w:t>
      </w:r>
      <w:r>
        <w:t xml:space="preserve">24, while the other seven tasks reached query 50. In total, the canary</w:t>
      </w:r>
      <w:r>
        <w:t xml:space="preserve"> </w:t>
      </w:r>
      <w:r>
        <w:t xml:space="preserve">contains 374 terminal queries, 562 official provider calls, and CNY 0.552805</w:t>
      </w:r>
      <w:r>
        <w:t xml:space="preserve"> </w:t>
      </w:r>
      <w:r>
        <w:t xml:space="preserve">cost. Initial decisions across terminal queries were 207 ALLOW, 123 ASK, and</w:t>
      </w:r>
      <w:r>
        <w:t xml:space="preserve"> </w:t>
      </w:r>
      <w:r>
        <w:t xml:space="preserve">44 DENY.</w:t>
      </w:r>
    </w:p>
    <w:p>
      <w:pPr>
        <w:pStyle w:val="BodyText"/>
      </w:pPr>
      <w:r>
        <w:t xml:space="preserve">The full frozen panel subsequently reached terminal status for all 40 tasks.</w:t>
      </w:r>
      <w:r>
        <w:t xml:space="preserve"> </w:t>
      </w:r>
      <w:r>
        <w:t xml:space="preserve">First unsafe effect occurred for 4/40 tasks by budget 50 (10.00%, Wilson 95%</w:t>
      </w:r>
      <w:r>
        <w:t xml:space="preserve"> </w:t>
      </w:r>
      <w:r>
        <w:t xml:space="preserve">CI 3.96–23.05) and for 18/40 by budget 200 (45.00%, 30.71–60.17). Fourteen of</w:t>
      </w:r>
      <w:r>
        <w:t xml:space="preserve"> </w:t>
      </w:r>
      <w:r>
        <w:t xml:space="preserve">the 18 observed successes therefore appeared only after query 50. The evidence</w:t>
      </w:r>
      <w:r>
        <w:t xml:space="preserve"> </w:t>
      </w:r>
      <w:r>
        <w:t xml:space="preserve">supports a budget-sensitivity claim through 200, but it does not establish</w:t>
      </w:r>
      <w:r>
        <w:t xml:space="preserve"> </w:t>
      </w:r>
      <w:r>
        <w:t xml:space="preserve">saturation, compare another model, or justify a SOTA/adaptive-robustness claim.</w:t>
      </w:r>
    </w:p>
    <w:p>
      <w:pPr>
        <w:pStyle w:val="BodyText"/>
      </w:pPr>
      <w:r>
        <w:t xml:space="preserve">Supplementary Table S6 reports the defense-aware adaptive attack.</w:t>
      </w:r>
    </w:p>
    <w:bookmarkEnd w:id="57"/>
    <w:bookmarkStart w:id="58" w:name="remaining-evidence-boundary"/>
    <w:p>
      <w:pPr>
        <w:pStyle w:val="Heading3"/>
        <w:keepNext/>
      </w:pPr>
      <w:r>
        <w:t xml:space="preserve">4.9 Remaining evidence boundary</w:t>
      </w:r>
    </w:p>
    <w:p>
      <w:pPr>
        <w:pStyle w:val="FirstParagraph"/>
      </w:pPr>
      <w:r>
        <w:t xml:space="preserve">The medium, Public Pro, Public Flash, authorization-regime, and budget-50/200</w:t>
      </w:r>
      <w:r>
        <w:t xml:space="preserve"> </w:t>
      </w:r>
      <w:r>
        <w:t xml:space="preserve">studies jointly support an empirical security–utility paper. They do not</w:t>
      </w:r>
      <w:r>
        <w:t xml:space="preserve"> </w:t>
      </w:r>
      <w:r>
        <w:t xml:space="preserve">support a leading-defense, causal provenance, saturated-adaptive, or</w:t>
      </w:r>
      <w:r>
        <w:t xml:space="preserve"> </w:t>
      </w:r>
      <w:r>
        <w:t xml:space="preserve">cross-provider claim. Gemini reached the three-quota-day free-tier stopping</w:t>
      </w:r>
      <w:r>
        <w:t xml:space="preserve"> </w:t>
      </w:r>
      <w:r>
        <w:t xml:space="preserve">rule with 32/450 terminal work items: five response-bearing items, 83 observed</w:t>
      </w:r>
      <w:r>
        <w:t xml:space="preserve"> </w:t>
      </w:r>
      <w:r>
        <w:t xml:space="preserve">but nonterminal items, and 335 unstarted items. The incomplete cohort is</w:t>
      </w:r>
      <w:r>
        <w:t xml:space="preserve"> </w:t>
      </w:r>
      <w:r>
        <w:t xml:space="preserve">retained only for operational accounting and is excluded from the comparisons</w:t>
      </w:r>
      <w:r>
        <w:t xml:space="preserve"> </w:t>
      </w:r>
      <w:r>
        <w:t xml:space="preserve">above. UTR and DSR are not identifiable from the current record contract and</w:t>
      </w:r>
      <w:r>
        <w:t xml:space="preserve"> </w:t>
      </w:r>
      <w:r>
        <w:t xml:space="preserve">are not reconstructed from unsafe-effect rate.</w:t>
      </w:r>
    </w:p>
    <w:bookmarkEnd w:id="58"/>
    <w:bookmarkEnd w:id="59"/>
    <w:bookmarkStart w:id="68" w:name="discussion"/>
    <w:p>
      <w:pPr>
        <w:pStyle w:val="Heading2"/>
        <w:keepNext/>
      </w:pPr>
      <w:r>
        <w:t xml:space="preserve">5. Discussion</w:t>
      </w:r>
    </w:p>
    <w:bookmarkStart w:id="60" w:name="X8f1f139e599680d856d27457aed81aa06300e07"/>
    <w:p>
      <w:pPr>
        <w:pStyle w:val="Heading3"/>
        <w:keepNext/>
      </w:pPr>
      <w:r>
        <w:t xml:space="preserve">5.1 Existing evidence changes the research claim</w:t>
      </w:r>
    </w:p>
    <w:p>
      <w:pPr>
        <w:pStyle w:val="FirstParagraph"/>
      </w:pPr>
      <w:r>
        <w:t xml:space="preserve">The completed medium and Public experiments do not support presenting M3-full</w:t>
      </w:r>
      <w:r>
        <w:t xml:space="preserve"> </w:t>
      </w:r>
      <w:r>
        <w:t xml:space="preserve">as a stronger defense than policy-only. In the 5,082-record DeepSeek V4 Pro</w:t>
      </w:r>
      <w:r>
        <w:t xml:space="preserve"> </w:t>
      </w:r>
      <w:r>
        <w:t xml:space="preserve">Public matrix, M3-full produced more unsafe effects than policy-only (38/600</w:t>
      </w:r>
      <w:r>
        <w:t xml:space="preserve"> </w:t>
      </w:r>
      <w:r>
        <w:t xml:space="preserve">versus 13/600), while the two variants completed the same number of benign</w:t>
      </w:r>
      <w:r>
        <w:t xml:space="preserve"> </w:t>
      </w:r>
      <w:r>
        <w:t xml:space="preserve">tool tasks (49/168). The 1,791-record V4 Flash matrix showed the same security</w:t>
      </w:r>
      <w:r>
        <w:t xml:space="preserve"> </w:t>
      </w:r>
      <w:r>
        <w:t xml:space="preserve">direction: 24/400 unsafe effects for full versus 12/400 for policy-only. The</w:t>
      </w:r>
      <w:r>
        <w:t xml:space="preserve"> </w:t>
      </w:r>
      <w:r>
        <w:t xml:space="preserve">Flash utility difference was small (38/145 versus 35/145) and does not rescue a</w:t>
      </w:r>
      <w:r>
        <w:t xml:space="preserve"> </w:t>
      </w:r>
      <w:r>
        <w:t xml:space="preserve">claim of independent full-module value.</w:t>
      </w:r>
    </w:p>
    <w:p>
      <w:pPr>
        <w:pStyle w:val="BodyText"/>
      </w:pPr>
      <w:r>
        <w:t xml:space="preserve">This is scientifically useful negative evidence. The two variants share the</w:t>
      </w:r>
      <w:r>
        <w:t xml:space="preserve"> </w:t>
      </w:r>
      <w:r>
        <w:t xml:space="preserve">policy representation and runtime enforcement point, so their divergence</w:t>
      </w:r>
      <w:r>
        <w:t xml:space="preserve"> </w:t>
      </w:r>
      <w:r>
        <w:t xml:space="preserve">focuses attention on the additional provenance, temporal/data-flow, and</w:t>
      </w:r>
      <w:r>
        <w:t xml:space="preserve"> </w:t>
      </w:r>
      <w:r>
        <w:t xml:space="preserve">confirmation path. A full mechanism can fail to improve security because its</w:t>
      </w:r>
      <w:r>
        <w:t xml:space="preserve"> </w:t>
      </w:r>
      <w:r>
        <w:t xml:space="preserve">additional state or decision logic introduces ambiguity, because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resolution reopens paths that policy-only blocks, because the model adapts to</w:t>
      </w:r>
      <w:r>
        <w:t xml:space="preserve"> </w:t>
      </w:r>
      <w:r>
        <w:t xml:space="preserve">feedback differently, or because the evaluated provenance representation is</w:t>
      </w:r>
      <w:r>
        <w:t xml:space="preserve"> </w:t>
      </w:r>
      <w:r>
        <w:t xml:space="preserve">too noisy to supply useful discrimination. The new authorization-regime</w:t>
      </w:r>
      <w:r>
        <w:t xml:space="preserve"> </w:t>
      </w:r>
      <w:r>
        <w:t xml:space="preserve">experiment is designed to distinguish some of these explanations without</w:t>
      </w:r>
      <w:r>
        <w:t xml:space="preserve"> </w:t>
      </w:r>
      <w:r>
        <w:t xml:space="preserve">claiming that it identifies a universal causal mechanism.</w:t>
      </w:r>
    </w:p>
    <w:bookmarkEnd w:id="60"/>
    <w:bookmarkStart w:id="61" w:name="authorization-is-part-of-the-treatment"/>
    <w:p>
      <w:pPr>
        <w:pStyle w:val="Heading3"/>
        <w:keepNext/>
      </w:pPr>
      <w:r>
        <w:t xml:space="preserve">5.2 Authorization is part of the treatment</w:t>
      </w:r>
    </w:p>
    <w:p>
      <w:pPr>
        <w:pStyle w:val="FirstParagraph"/>
      </w:pPr>
      <w:r>
        <w:t xml:space="preserve">Authorization is often treated as fixed infrastructure rather than an</w:t>
      </w:r>
      <w:r>
        <w:t xml:space="preserve"> </w:t>
      </w:r>
      <w:r>
        <w:t xml:space="preserve">experimental variable. That assumption is risky in tool-agent evaluation. An</w:t>
      </w:r>
      <w:r>
        <w:t xml:space="preserve"> </w:t>
      </w:r>
      <w:r>
        <w:t xml:space="preserve">exact per-case authorization object reconstructed from the expected answer</w:t>
      </w:r>
      <w:r>
        <w:t xml:space="preserve"> </w:t>
      </w:r>
      <w:r>
        <w:t xml:space="preserve">can remove uncertainty that a deployed Guard must resolve. A broad policy can</w:t>
      </w:r>
      <w:r>
        <w:t xml:space="preserve"> </w:t>
      </w:r>
      <w:r>
        <w:t xml:space="preserve">improve apparent utility by authorizing too much. An underspecified policy can</w:t>
      </w:r>
      <w:r>
        <w:t xml:space="preserve"> </w:t>
      </w:r>
      <w:r>
        <w:t xml:space="preserve">make safe completion impossible, while conflicting constraints may increase</w:t>
      </w:r>
      <w:r>
        <w:t xml:space="preserve"> </w:t>
      </w:r>
      <w:r>
        <w:t xml:space="preserve">denial, confirmation, or failure even when they prevent unsafe effects.</w:t>
      </w:r>
    </w:p>
    <w:p>
      <w:pPr>
        <w:pStyle w:val="BodyText"/>
      </w:pPr>
      <w:r>
        <w:t xml:space="preserve">The paired design makes these trade-offs observable.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is the</w:t>
      </w:r>
      <w:r>
        <w:t xml:space="preserve"> </w:t>
      </w:r>
      <w:r>
        <w:t xml:space="preserve">primary deployment-like regime because it is created from trusted user intent</w:t>
      </w:r>
      <w:r>
        <w:t xml:space="preserve"> </w:t>
      </w:r>
      <w:r>
        <w:t xml:space="preserve">before untrusted context is processed.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is an oracle sensitivity</w:t>
      </w:r>
      <w:r>
        <w:t xml:space="preserve"> </w:t>
      </w:r>
      <w:r>
        <w:t xml:space="preserve">condition, not a preferred policy source. The</w:t>
      </w:r>
      <w:r>
        <w:t xml:space="preserve"> </w:t>
      </w:r>
      <w:r>
        <w:rPr>
          <w:rStyle w:val="VerbatimChar"/>
        </w:rPr>
        <w:t xml:space="preserve">broad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underspecified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conflicting</w:t>
      </w:r>
      <w:r>
        <w:t xml:space="preserve"> </w:t>
      </w:r>
      <w:r>
        <w:t xml:space="preserve">cells are stress tests on a fixed nested sample. Their value lies</w:t>
      </w:r>
      <w:r>
        <w:t xml:space="preserve"> </w:t>
      </w:r>
      <w:r>
        <w:t xml:space="preserve">in showing whether a headline security number is stable to plausible policy</w:t>
      </w:r>
      <w:r>
        <w:t xml:space="preserve"> </w:t>
      </w:r>
      <w:r>
        <w:t xml:space="preserve">construction errors.</w:t>
      </w:r>
    </w:p>
    <w:p>
      <w:pPr>
        <w:pStyle w:val="BodyText"/>
      </w:pPr>
      <w:r>
        <w:t xml:space="preserve">The DeepSeek paired experiment did not reveal an unsafe-effect advantage for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: three of four primary cells had 0/100 unsafe effects, while the</w:t>
      </w:r>
      <w:r>
        <w:t xml:space="preserve"> </w:t>
      </w:r>
      <w:r>
        <w:t xml:space="preserve">remaining policy-only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cell had 1/100. The meaningful movement</w:t>
      </w:r>
      <w:r>
        <w:t xml:space="preserve"> </w:t>
      </w:r>
      <w:r>
        <w:t xml:space="preserve">was instead in utility and runtime burden. Moving from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reduced benign-tool completion by 21.67 points for policy-only and</w:t>
      </w:r>
      <w:r>
        <w:t xml:space="preserve"> </w:t>
      </w:r>
      <w:r>
        <w:t xml:space="preserve">15.00 points for full. The task-cluster bootstrap intervals excluded zero,</w:t>
      </w:r>
      <w:r>
        <w:t xml:space="preserve"> </w:t>
      </w:r>
      <w:r>
        <w:t xml:space="preserve">although the corresponding McNemar comparisons did not remain below 0.05 after</w:t>
      </w:r>
      <w:r>
        <w:t xml:space="preserve"> </w:t>
      </w:r>
      <w:r>
        <w:t xml:space="preserve">Holm correction.</w:t>
      </w:r>
    </w:p>
    <w:p>
      <w:pPr>
        <w:pStyle w:val="BodyText"/>
      </w:pPr>
      <w:r>
        <w:t xml:space="preserve">The operational shift was substantial. Exact policies eliminated ASK in both</w:t>
      </w:r>
      <w:r>
        <w:t xml:space="preserve"> </w:t>
      </w:r>
      <w:r>
        <w:t xml:space="preserve">M3 variants but increased the share of records with DENY from 7.22% to 48.89%</w:t>
      </w:r>
      <w:r>
        <w:t xml:space="preserve"> </w:t>
      </w:r>
      <w:r>
        <w:t xml:space="preserve">for policy-only and from 11.11% to 45.00% for full. Failure rose to roughly 24%</w:t>
      </w:r>
      <w:r>
        <w:t xml:space="preserve"> </w:t>
      </w:r>
      <w:r>
        <w:t xml:space="preserve">and p95 latency to roughly 19.5 seconds in both exact cells. The broad,</w:t>
      </w:r>
      <w:r>
        <w:t xml:space="preserve"> </w:t>
      </w:r>
      <w:r>
        <w:t xml:space="preserve">conflicting, and underspecified stress regimes likewise reduced completion by</w:t>
      </w:r>
      <w:r>
        <w:t xml:space="preserve"> </w:t>
      </w:r>
      <w:r>
        <w:t xml:space="preserve">25–30 points on their nested benign-tool subset without changing the observed</w:t>
      </w:r>
      <w:r>
        <w:t xml:space="preserve"> </w:t>
      </w:r>
      <w:r>
        <w:t xml:space="preserve">attack floor. These findings show that policy specification can move burden</w:t>
      </w:r>
      <w:r>
        <w:t xml:space="preserve"> </w:t>
      </w:r>
      <w:r>
        <w:t xml:space="preserve">and utility even when a headline attack rate appears stable.</w:t>
      </w:r>
    </w:p>
    <w:bookmarkEnd w:id="61"/>
    <w:bookmarkStart w:id="62" w:name="X51d55857fd78b0704b7007a4ab3a79d92f25221"/>
    <w:p>
      <w:pPr>
        <w:pStyle w:val="Heading3"/>
        <w:keepNext/>
      </w:pPr>
      <w:r>
        <w:t xml:space="preserve">5.3 Executed effects and utility must be reported together</w:t>
      </w:r>
    </w:p>
    <w:p>
      <w:pPr>
        <w:pStyle w:val="FirstParagraph"/>
      </w:pPr>
      <w:r>
        <w:t xml:space="preserve">A low prompt-injection success rate is not sufficient evidence of a useful</w:t>
      </w:r>
      <w:r>
        <w:t xml:space="preserve"> </w:t>
      </w:r>
      <w:r>
        <w:t xml:space="preserve">runtime defense. A detector may flag adversarial text without preventing an</w:t>
      </w:r>
      <w:r>
        <w:t xml:space="preserve"> </w:t>
      </w:r>
      <w:r>
        <w:t xml:space="preserve">effect; a runtime may prevent effects by denying nearly every useful action;</w:t>
      </w:r>
      <w:r>
        <w:t xml:space="preserve"> </w:t>
      </w:r>
      <w:r>
        <w:t xml:space="preserve">and a parser/provider failure may look secure if the evaluator counts only</w:t>
      </w:r>
      <w:r>
        <w:t xml:space="preserve"> </w:t>
      </w:r>
      <w:r>
        <w:t xml:space="preserve">successful executions. We therefore treat isolated executed effect as the</w:t>
      </w:r>
      <w:r>
        <w:t xml:space="preserve"> </w:t>
      </w:r>
      <w:r>
        <w:t xml:space="preserve">security endpoint and benign tool-task completion as a joint primary endpoint.</w:t>
      </w:r>
    </w:p>
    <w:p>
      <w:pPr>
        <w:pStyle w:val="BodyText"/>
      </w:pPr>
      <w:r>
        <w:t xml:space="preserve">The Public evidence already illustrates the problem. Relative to the</w:t>
      </w:r>
      <w:r>
        <w:t xml:space="preserve"> </w:t>
      </w:r>
      <w:r>
        <w:t xml:space="preserve">structural condition, both M3 variants reduced unsafe effects but also had much</w:t>
      </w:r>
      <w:r>
        <w:t xml:space="preserve"> </w:t>
      </w:r>
      <w:r>
        <w:t xml:space="preserve">lower benign-tool completion. Policy-only then outperformed full on security</w:t>
      </w:r>
      <w:r>
        <w:t xml:space="preserve"> </w:t>
      </w:r>
      <w:r>
        <w:t xml:space="preserve">without losing additional utility. The interpretation is not that provenance</w:t>
      </w:r>
      <w:r>
        <w:t xml:space="preserve"> </w:t>
      </w:r>
      <w:r>
        <w:t xml:space="preserve">is intrinsically harmful. It is that the evaluated full implementation did not</w:t>
      </w:r>
      <w:r>
        <w:t xml:space="preserve"> </w:t>
      </w:r>
      <w:r>
        <w:t xml:space="preserve">earn its complexity under these tasks and policies.</w:t>
      </w:r>
    </w:p>
    <w:p>
      <w:pPr>
        <w:pStyle w:val="BodyText"/>
      </w:pPr>
      <w:r>
        <w:t xml:space="preserve">ASK, DENY, operational failure, latency, tokens, and cost provide the missing</w:t>
      </w:r>
      <w:r>
        <w:t xml:space="preserve"> </w:t>
      </w:r>
      <w:r>
        <w:t xml:space="preserve">mechanism-facing context. An authorization regime that shifts unsafe effects</w:t>
      </w:r>
      <w:r>
        <w:t xml:space="preserve"> </w:t>
      </w:r>
      <w:r>
        <w:t xml:space="preserve">downward but greatly increases ASK may be acceptable in high-consequence</w:t>
      </w:r>
      <w:r>
        <w:t xml:space="preserve"> </w:t>
      </w:r>
      <w:r>
        <w:t xml:space="preserve">workflows and unacceptable in routine automation. A regime that shifts both</w:t>
      </w:r>
      <w:r>
        <w:t xml:space="preserve"> </w:t>
      </w:r>
      <w:r>
        <w:t xml:space="preserve">ASK and failure upward may simply externalize uncertainty rather than resolve</w:t>
      </w:r>
      <w:r>
        <w:t xml:space="preserve"> </w:t>
      </w:r>
      <w:r>
        <w:t xml:space="preserve">it. The paper reports these burdens directly rather than collapsing them into</w:t>
      </w:r>
      <w:r>
        <w:t xml:space="preserve"> </w:t>
      </w:r>
      <w:r>
        <w:t xml:space="preserve">a composite score.</w:t>
      </w:r>
    </w:p>
    <w:bookmarkEnd w:id="62"/>
    <w:bookmarkStart w:id="63" w:name="X0e31176f559158f4c40a3a2e91fc60538cab5a3"/>
    <w:p>
      <w:pPr>
        <w:pStyle w:val="Heading3"/>
        <w:keepNext/>
      </w:pPr>
      <w:r>
        <w:t xml:space="preserve">5.4 Adaptive evidence is budget-sensitive, not saturated</w:t>
      </w:r>
    </w:p>
    <w:p>
      <w:pPr>
        <w:pStyle w:val="FirstParagraph"/>
      </w:pPr>
      <w:r>
        <w:t xml:space="preserve">The 40-task defense-aware panel found first unsafe effect for 4/40 tasks by 50</w:t>
      </w:r>
      <w:r>
        <w:t xml:space="preserve"> </w:t>
      </w:r>
      <w:r>
        <w:t xml:space="preserve">queries and 18/40 by 200 queries. Thus a budget-50 evaluation would have missed</w:t>
      </w:r>
      <w:r>
        <w:t xml:space="preserve"> </w:t>
      </w:r>
      <w:r>
        <w:t xml:space="preserve">most successes later observed by budget 200. This supports the general warning</w:t>
      </w:r>
      <w:r>
        <w:t xml:space="preserve"> </w:t>
      </w:r>
      <w:r>
        <w:t xml:space="preserve">that a static or weak attacker can overstate robustness</w:t>
      </w:r>
      <w:r>
        <w:t xml:space="preserve"> </w:t>
      </w:r>
      <w:r>
        <w:t xml:space="preserve">(Nasr et al. 2025)</w:t>
      </w:r>
      <w:r>
        <w:t xml:space="preserve">.</w:t>
      </w:r>
    </w:p>
    <w:p>
      <w:pPr>
        <w:pStyle w:val="BodyText"/>
      </w:pPr>
      <w:r>
        <w:t xml:space="preserve">The evidence stops at 200. It cannot establish that attack success has</w:t>
      </w:r>
      <w:r>
        <w:t xml:space="preserve"> </w:t>
      </w:r>
      <w:r>
        <w:t xml:space="preserve">saturated, estimate an asymptotic attack rate, or compare hardest-task behavior</w:t>
      </w:r>
      <w:r>
        <w:t xml:space="preserve"> </w:t>
      </w:r>
      <w:r>
        <w:t xml:space="preserve">at 2,000 queries. The correct presentation is a cumulative first-success curve</w:t>
      </w:r>
      <w:r>
        <w:t xml:space="preserve"> </w:t>
      </w:r>
      <w:r>
        <w:t xml:space="preserve">through 200 with an explicit no-saturation boundary. This narrower result is</w:t>
      </w:r>
      <w:r>
        <w:t xml:space="preserve"> </w:t>
      </w:r>
      <w:r>
        <w:t xml:space="preserve">more defensible than extending a long and costly panel whose additional</w:t>
      </w:r>
      <w:r>
        <w:t xml:space="preserve"> </w:t>
      </w:r>
      <w:r>
        <w:t xml:space="preserve">validity for the paper’s authorization question is uncertain.</w:t>
      </w:r>
    </w:p>
    <w:bookmarkEnd w:id="63"/>
    <w:bookmarkStart w:id="64" w:name="X30d802ff665a8145052131c2a07aea91abe24d1"/>
    <w:p>
      <w:pPr>
        <w:pStyle w:val="Heading3"/>
        <w:keepNext/>
      </w:pPr>
      <w:r>
        <w:t xml:space="preserve">5.5 Relation to recent provenance and authorization work</w:t>
      </w:r>
    </w:p>
    <w:p>
      <w:pPr>
        <w:pStyle w:val="FirstParagraph"/>
      </w:pPr>
      <w:r>
        <w:t xml:space="preserve">VIGIL, DRIFT, the Task Shield, IPIGuard, Progent, CaMeL, ARGUS, AuthGraph, FAVA,</w:t>
      </w:r>
      <w:r>
        <w:t xml:space="preserve"> </w:t>
      </w:r>
      <w:r>
        <w:t xml:space="preserve">and provenance-sensitivity auditing occupy overlapping parts of the design</w:t>
      </w:r>
      <w:r>
        <w:t xml:space="preserve"> </w:t>
      </w:r>
      <w:r>
        <w:t xml:space="preserve">space</w:t>
      </w:r>
      <w:r>
        <w:t xml:space="preserve"> </w:t>
      </w:r>
      <w:r>
        <w:t xml:space="preserve">(Lin et al. 2026; Li et al. 2025; Jia et al. 2025; Weng et al. 2026; P. Wang, Li, and Tian 2026; Shi et al. 2025; An et al. 2025; Debenedetti et al. 2025; Liao 2026; Y. Zhang et al. 2026)</w:t>
      </w:r>
      <w:r>
        <w:t xml:space="preserve">. These</w:t>
      </w:r>
      <w:r>
        <w:t xml:space="preserve"> </w:t>
      </w:r>
      <w:r>
        <w:t xml:space="preserve">works rule out claims that M3 is the first verify-before-commit system, the</w:t>
      </w:r>
      <w:r>
        <w:t xml:space="preserve"> </w:t>
      </w:r>
      <w:r>
        <w:t xml:space="preserve">first parameter-source defense, or the first structured runtime authorizer.</w:t>
      </w:r>
    </w:p>
    <w:p>
      <w:pPr>
        <w:pStyle w:val="BodyText"/>
      </w:pPr>
      <w:r>
        <w:t xml:space="preserve">The remaining contribution is methodological and empirical. The study holds</w:t>
      </w:r>
      <w:r>
        <w:t xml:space="preserve"> </w:t>
      </w:r>
      <w:r>
        <w:t xml:space="preserve">task content fixed while changing authorization regimes and Guard modules,</w:t>
      </w:r>
      <w:r>
        <w:t xml:space="preserve"> </w:t>
      </w:r>
      <w:r>
        <w:t xml:space="preserve">keeps evaluator fields offline, measures post-enforcement effects, retains</w:t>
      </w:r>
      <w:r>
        <w:t xml:space="preserve"> </w:t>
      </w:r>
      <w:r>
        <w:t xml:space="preserve">failure in ITT, and reports operational burden. In particular, the recent</w:t>
      </w:r>
      <w:r>
        <w:t xml:space="preserve"> </w:t>
      </w:r>
      <w:r>
        <w:t xml:space="preserve">provenance-sensitivity study changes source authority in controlled next-action</w:t>
      </w:r>
      <w:r>
        <w:t xml:space="preserve"> </w:t>
      </w:r>
      <w:r>
        <w:t xml:space="preserve">tasks</w:t>
      </w:r>
      <w:r>
        <w:t xml:space="preserve"> </w:t>
      </w:r>
      <w:r>
        <w:t xml:space="preserve">(Liao 2026)</w:t>
      </w:r>
      <w:r>
        <w:t xml:space="preserve">. The present design extends that measurement question to complete</w:t>
      </w:r>
      <w:r>
        <w:t xml:space="preserve"> </w:t>
      </w:r>
      <w:r>
        <w:t xml:space="preserve">tool trajectories and executed effects, albeit with the additional</w:t>
      </w:r>
      <w:r>
        <w:t xml:space="preserve"> </w:t>
      </w:r>
      <w:r>
        <w:t xml:space="preserve">implementation complexity and failure modes that such trajectories introduce.</w:t>
      </w:r>
    </w:p>
    <w:bookmarkEnd w:id="64"/>
    <w:bookmarkStart w:id="65" w:name="cross-provider-interpretation"/>
    <w:p>
      <w:pPr>
        <w:pStyle w:val="Heading3"/>
        <w:keepNext/>
      </w:pPr>
      <w:r>
        <w:t xml:space="preserve">5.6 Cross-provider interpretation</w:t>
      </w:r>
    </w:p>
    <w:p>
      <w:pPr>
        <w:pStyle w:val="FirstParagraph"/>
      </w:pPr>
      <w:r>
        <w:t xml:space="preserve">The Gemini sample is deliberately smaller and nested inside the DeepSeek</w:t>
      </w:r>
      <w:r>
        <w:t xml:space="preserve"> </w:t>
      </w:r>
      <w:r>
        <w:t xml:space="preserve">sample. It can show whether the main paired direction appears under another</w:t>
      </w:r>
      <w:r>
        <w:t xml:space="preserve"> </w:t>
      </w:r>
      <w:r>
        <w:t xml:space="preserve">provider; it cannot establish broad model-family generality. The official free</w:t>
      </w:r>
      <w:r>
        <w:t xml:space="preserve"> </w:t>
      </w:r>
      <w:r>
        <w:t xml:space="preserve">tier also introduces an availability constraint. The protocol stops at the</w:t>
      </w:r>
      <w:r>
        <w:t xml:space="preserve"> </w:t>
      </w:r>
      <w:r>
        <w:t xml:space="preserve">first 429, resumes only response-less or untouched work on a later quota day,</w:t>
      </w:r>
      <w:r>
        <w:t xml:space="preserve"> </w:t>
      </w:r>
      <w:r>
        <w:t xml:space="preserve">and downgrades transparently after three quota-day attempts.</w:t>
      </w:r>
    </w:p>
    <w:p>
      <w:pPr>
        <w:pStyle w:val="BodyText"/>
      </w:pPr>
      <w:r>
        <w:t xml:space="preserve">The stopping rule closed with 32/450 terminal work items, including five with</w:t>
      </w:r>
      <w:r>
        <w:t xml:space="preserve"> </w:t>
      </w:r>
      <w:r>
        <w:t xml:space="preserve">official model responses; 83 observed items remained nonterminal and 335 were</w:t>
      </w:r>
      <w:r>
        <w:t xml:space="preserve"> </w:t>
      </w:r>
      <w:r>
        <w:t xml:space="preserve">unstarted. These rows are retained for operational accounting but excluded</w:t>
      </w:r>
      <w:r>
        <w:t xml:space="preserve"> </w:t>
      </w:r>
      <w:r>
        <w:t xml:space="preserve">from scientific inference. External validity is therefore limited to DeepSeek</w:t>
      </w:r>
      <w:r>
        <w:t xml:space="preserve"> </w:t>
      </w:r>
      <w:r>
        <w:t xml:space="preserve">V4 Pro and V4 Flash, and no cross-provider conclusion is made.</w:t>
      </w:r>
    </w:p>
    <w:bookmarkEnd w:id="65"/>
    <w:bookmarkStart w:id="66" w:name="limitations"/>
    <w:p>
      <w:pPr>
        <w:pStyle w:val="Heading3"/>
        <w:keepNext/>
      </w:pPr>
      <w:r>
        <w:t xml:space="preserve">5.7 Limitations</w:t>
      </w:r>
    </w:p>
    <w:p>
      <w:pPr>
        <w:pStyle w:val="FirstParagraph"/>
      </w:pPr>
      <w:r>
        <w:t xml:space="preserve">First, the new primary experiment uses one proprietary model and two benchmark</w:t>
      </w:r>
      <w:r>
        <w:t xml:space="preserve"> </w:t>
      </w:r>
      <w:r>
        <w:t xml:space="preserve">families. Model updates, tool schemas, system prompts, and application context</w:t>
      </w:r>
      <w:r>
        <w:t xml:space="preserve"> </w:t>
      </w:r>
      <w:r>
        <w:t xml:space="preserve">may change the effects. The smaller Gemini subset was designed to probe this</w:t>
      </w:r>
      <w:r>
        <w:t xml:space="preserve"> </w:t>
      </w:r>
      <w:r>
        <w:t xml:space="preserve">dependence, but it contributes no cross-provider evidence unless all 450 work</w:t>
      </w:r>
      <w:r>
        <w:t xml:space="preserve"> </w:t>
      </w:r>
      <w:r>
        <w:t xml:space="preserve">items reach terminal status. Although execution dates, official response</w:t>
      </w:r>
      <w:r>
        <w:t xml:space="preserve"> </w:t>
      </w:r>
      <w:r>
        <w:t xml:space="preserve">identifiers, and returned model names are retained, provider-managed aliases do</w:t>
      </w:r>
      <w:r>
        <w:t xml:space="preserve"> </w:t>
      </w:r>
      <w:r>
        <w:t xml:space="preserve">not make the underlying weights immutable.</w:t>
      </w:r>
    </w:p>
    <w:p>
      <w:pPr>
        <w:pStyle w:val="BodyText"/>
      </w:pPr>
      <w:r>
        <w:t xml:space="preserve">Second, the new authorization experiment has a strong attack-endpoint floor:</w:t>
      </w:r>
      <w:r>
        <w:t xml:space="preserve"> </w:t>
      </w:r>
      <w:r>
        <w:t xml:space="preserve">only one unsafe effect occurred across the 400 primary attack records. It can</w:t>
      </w:r>
      <w:r>
        <w:t xml:space="preserve"> </w:t>
      </w:r>
      <w:r>
        <w:t xml:space="preserve">therefore estimate utility and operational burden more informatively than</w:t>
      </w:r>
      <w:r>
        <w:t xml:space="preserve"> </w:t>
      </w:r>
      <w:r>
        <w:t xml:space="preserve">small security differences between its four primary cells. Security-direction</w:t>
      </w:r>
      <w:r>
        <w:t xml:space="preserve"> </w:t>
      </w:r>
      <w:r>
        <w:t xml:space="preserve">evidence comes mainly from the larger Public matrices and must not be inferred</w:t>
      </w:r>
      <w:r>
        <w:t xml:space="preserve"> </w:t>
      </w:r>
      <w:r>
        <w:t xml:space="preserve">from these near-zero cells alone.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is one policy compiler, not a complete model of human</w:t>
      </w:r>
      <w:r>
        <w:t xml:space="preserve"> </w:t>
      </w:r>
      <w:r>
        <w:t xml:space="preserve">authorization. The stress regimes approximate common policy errors but do not</w:t>
      </w:r>
      <w:r>
        <w:t xml:space="preserve"> </w:t>
      </w:r>
      <w:r>
        <w:t xml:space="preserve">measure their prevalence in deployed systems.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is intentionally</w:t>
      </w:r>
      <w:r>
        <w:t xml:space="preserve"> </w:t>
      </w:r>
      <w:r>
        <w:t xml:space="preserve">artificial and should not be read as a recommended configuration.</w:t>
      </w:r>
    </w:p>
    <w:p>
      <w:pPr>
        <w:pStyle w:val="BodyText"/>
      </w:pPr>
      <w:r>
        <w:t xml:space="preserve">Fourth, the effect environment is isolated. This is necessary to prevent real</w:t>
      </w:r>
      <w:r>
        <w:t xml:space="preserve"> </w:t>
      </w:r>
      <w:r>
        <w:t xml:space="preserve">email, payment, browser, code, or production actions, but it may omit latency,</w:t>
      </w:r>
      <w:r>
        <w:t xml:space="preserve"> </w:t>
      </w:r>
      <w:r>
        <w:t xml:space="preserve">state, and recovery behavior found in live applications.</w:t>
      </w:r>
    </w:p>
    <w:p>
      <w:pPr>
        <w:pStyle w:val="BodyText"/>
      </w:pPr>
      <w:r>
        <w:t xml:space="preserve">Fifth, the adaptive panel reports budgets only through 200 and does not prove</w:t>
      </w:r>
      <w:r>
        <w:t xml:space="preserve"> </w:t>
      </w:r>
      <w:r>
        <w:t xml:space="preserve">saturation. Attack search is still one family of defense-aware optimization;</w:t>
      </w:r>
      <w:r>
        <w:t xml:space="preserve"> </w:t>
      </w:r>
      <w:r>
        <w:t xml:space="preserve">another optimizer may find different failures.</w:t>
      </w:r>
    </w:p>
    <w:p>
      <w:pPr>
        <w:pStyle w:val="BodyText"/>
      </w:pPr>
      <w:r>
        <w:t xml:space="preserve">Sixth, failure handling is conservative but not interpretation-free. All</w:t>
      </w:r>
      <w:r>
        <w:t xml:space="preserve"> </w:t>
      </w:r>
      <w:r>
        <w:t xml:space="preserve">response-bearing failures are terminal in ITT, whereas response-less transport</w:t>
      </w:r>
      <w:r>
        <w:t xml:space="preserve"> </w:t>
      </w:r>
      <w:r>
        <w:t xml:space="preserve">failures can receive bounded explicit recovery. We report raw failures and</w:t>
      </w:r>
      <w:r>
        <w:t xml:space="preserve"> </w:t>
      </w:r>
      <w:r>
        <w:t xml:space="preserve">superseded attempts so readers can assess that choice.</w:t>
      </w:r>
    </w:p>
    <w:p>
      <w:pPr>
        <w:pStyle w:val="BodyText"/>
      </w:pPr>
      <w:r>
        <w:t xml:space="preserve">Finally, this paper does not include an independent blind set. It also does not</w:t>
      </w:r>
      <w:r>
        <w:t xml:space="preserve"> </w:t>
      </w:r>
      <w:r>
        <w:t xml:space="preserve">claim first, only, or SOTA status. Its external-validity claims are limited to</w:t>
      </w:r>
      <w:r>
        <w:t xml:space="preserve"> </w:t>
      </w:r>
      <w:r>
        <w:t xml:space="preserve">the models, benchmarks, policy compiler, stress regimes, and attack budgets</w:t>
      </w:r>
      <w:r>
        <w:t xml:space="preserve"> </w:t>
      </w:r>
      <w:r>
        <w:t xml:space="preserve">actually evaluated.</w:t>
      </w:r>
    </w:p>
    <w:bookmarkEnd w:id="66"/>
    <w:bookmarkStart w:id="67" w:name="practical-implications"/>
    <w:p>
      <w:pPr>
        <w:pStyle w:val="Heading3"/>
        <w:keepNext/>
      </w:pPr>
      <w:r>
        <w:t xml:space="preserve">5.8 Practical implications</w:t>
      </w:r>
    </w:p>
    <w:p>
      <w:pPr>
        <w:pStyle w:val="FirstParagraph"/>
      </w:pPr>
      <w:r>
        <w:t xml:space="preserve">Three practical recommendations follow. First, agent-security benchmarks</w:t>
      </w:r>
      <w:r>
        <w:t xml:space="preserve"> </w:t>
      </w:r>
      <w:r>
        <w:t xml:space="preserve">should publish the fields visible to the online Guard and keep evaluator-only</w:t>
      </w:r>
      <w:r>
        <w:t xml:space="preserve"> </w:t>
      </w:r>
      <w:r>
        <w:t xml:space="preserve">answers outside that projection.</w:t>
      </w:r>
      <w:r>
        <w:t xml:space="preserve"> </w:t>
      </w:r>
      <w:r>
        <w:t xml:space="preserve">Second, runtime defenses should be compared against a policy-only variant on</w:t>
      </w:r>
      <w:r>
        <w:t xml:space="preserve"> </w:t>
      </w:r>
      <w:r>
        <w:t xml:space="preserve">the same tasks; otherwise a complex module may receive credit for behavior</w:t>
      </w:r>
      <w:r>
        <w:t xml:space="preserve"> </w:t>
      </w:r>
      <w:r>
        <w:t xml:space="preserve">already supplied by the base policy. Third, security reports should include</w:t>
      </w:r>
      <w:r>
        <w:t xml:space="preserve"> </w:t>
      </w:r>
      <w:r>
        <w:t xml:space="preserve">benign completion, confirmation/blocking burden, failures, latency, and attack</w:t>
      </w:r>
      <w:r>
        <w:t xml:space="preserve"> </w:t>
      </w:r>
      <w:r>
        <w:t xml:space="preserve">budget alongside unsafe-effect rate.</w:t>
      </w:r>
    </w:p>
    <w:p>
      <w:pPr>
        <w:pStyle w:val="BodyText"/>
      </w:pPr>
      <w:r>
        <w:t xml:space="preserve">The DeepSeek authorization-regime results now tie these recommendations to</w:t>
      </w:r>
      <w:r>
        <w:t xml:space="preserve"> </w:t>
      </w:r>
      <w:r>
        <w:t xml:space="preserve">observed effects: exact and stressed policies materially changed completion,</w:t>
      </w:r>
      <w:r>
        <w:t xml:space="preserve"> </w:t>
      </w:r>
      <w:r>
        <w:t xml:space="preserve">blocking, failure, and latency while observed unsafe effects remained near</w:t>
      </w:r>
      <w:r>
        <w:t xml:space="preserve"> </w:t>
      </w:r>
      <w:r>
        <w:t xml:space="preserve">zero. The prespecified Gemini stopping rule closed with an incomplete</w:t>
      </w:r>
      <w:r>
        <w:t xml:space="preserve"> </w:t>
      </w:r>
      <w:r>
        <w:t xml:space="preserve">diagnostic subset, which cannot alter or broaden the DeepSeek findings.</w:t>
      </w:r>
    </w:p>
    <w:bookmarkEnd w:id="67"/>
    <w:bookmarkEnd w:id="68"/>
    <w:bookmarkStart w:id="69" w:name="conclusion"/>
    <w:p>
      <w:pPr>
        <w:pStyle w:val="Heading2"/>
        <w:keepNext/>
      </w:pPr>
      <w:r>
        <w:t xml:space="preserve">6. Conclusion</w:t>
      </w:r>
    </w:p>
    <w:p>
      <w:pPr>
        <w:pStyle w:val="FirstParagraph"/>
      </w:pPr>
      <w:r>
        <w:t xml:space="preserve">This study treats runtime authorization as an experimental variable rather</w:t>
      </w:r>
      <w:r>
        <w:t xml:space="preserve"> </w:t>
      </w:r>
      <w:r>
        <w:t xml:space="preserve">than fixed infrastructure. Across the completed medium and Public studies,</w:t>
      </w:r>
      <w:r>
        <w:t xml:space="preserve"> </w:t>
      </w:r>
      <w:r>
        <w:t xml:space="preserve">M3-full reduced unsafe effects relative to a structural baseline but did not</w:t>
      </w:r>
      <w:r>
        <w:t xml:space="preserve"> </w:t>
      </w:r>
      <w:r>
        <w:t xml:space="preserve">improve on policy-only enforcement. The direction replicated across DeepSeek</w:t>
      </w:r>
      <w:r>
        <w:t xml:space="preserve"> </w:t>
      </w:r>
      <w:r>
        <w:t xml:space="preserve">V4 Pro and V4 Flash: full produced more unsafe effects than policy-only, while</w:t>
      </w:r>
      <w:r>
        <w:t xml:space="preserve"> </w:t>
      </w:r>
      <w:r>
        <w:t xml:space="preserve">benign-tool utility was equal or only slightly different. The evaluated</w:t>
      </w:r>
      <w:r>
        <w:t xml:space="preserve"> </w:t>
      </w:r>
      <w:r>
        <w:t xml:space="preserve">provenance, temporal/data-flow, and confirmation extensions therefore did not</w:t>
      </w:r>
      <w:r>
        <w:t xml:space="preserve"> </w:t>
      </w:r>
      <w:r>
        <w:t xml:space="preserve">show an independent advantage sufficient to support a leading-defense claim.</w:t>
      </w:r>
    </w:p>
    <w:p>
      <w:pPr>
        <w:pStyle w:val="BodyText"/>
      </w:pPr>
      <w:r>
        <w:t xml:space="preserve">The prospectively frozen authorization experiment explains why security alone</w:t>
      </w:r>
      <w:r>
        <w:t xml:space="preserve"> </w:t>
      </w:r>
      <w:r>
        <w:t xml:space="preserve">is an incomplete endpoint. Unsafe effects remained at or near zero in all four</w:t>
      </w:r>
      <w:r>
        <w:t xml:space="preserve"> </w:t>
      </w:r>
      <w:r>
        <w:t xml:space="preserve">main cells, yet changing from</w:t>
      </w:r>
      <w:r>
        <w:t xml:space="preserve"> </w:t>
      </w:r>
      <w:r>
        <w:rPr>
          <w:rStyle w:val="VerbatimChar"/>
        </w:rPr>
        <w:t xml:space="preserve">auto_compiled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reduced</w:t>
      </w:r>
      <w:r>
        <w:t xml:space="preserve"> </w:t>
      </w:r>
      <w:r>
        <w:t xml:space="preserve">benign-tool completion by 21.67 percentage points for policy-only and 15.00</w:t>
      </w:r>
      <w:r>
        <w:t xml:space="preserve"> </w:t>
      </w:r>
      <w:r>
        <w:t xml:space="preserve">points for M3-full. Exact authorization removed ASK but moved 45.00–48.89% of</w:t>
      </w:r>
      <w:r>
        <w:t xml:space="preserve"> </w:t>
      </w:r>
      <w:r>
        <w:t xml:space="preserve">records into at least one DENY, raised failures to approximately 24%, and</w:t>
      </w:r>
      <w:r>
        <w:t xml:space="preserve"> </w:t>
      </w:r>
      <w:r>
        <w:t xml:space="preserve">roughly doubled p95 latency. Broad, conflicting, and underspecified regimes</w:t>
      </w:r>
      <w:r>
        <w:t xml:space="preserve"> </w:t>
      </w:r>
      <w:r>
        <w:t xml:space="preserve">also reduced completion on the nested tool-task subset without changing the</w:t>
      </w:r>
      <w:r>
        <w:t xml:space="preserve"> </w:t>
      </w:r>
      <w:r>
        <w:t xml:space="preserve">observed attack floor. Authorization construction can therefore materially</w:t>
      </w:r>
      <w:r>
        <w:t xml:space="preserve"> </w:t>
      </w:r>
      <w:r>
        <w:t xml:space="preserve">alter the measured security–utility frontier even when an attack-only result</w:t>
      </w:r>
      <w:r>
        <w:t xml:space="preserve"> </w:t>
      </w:r>
      <w:r>
        <w:t xml:space="preserve">looks stable.</w:t>
      </w:r>
    </w:p>
    <w:p>
      <w:pPr>
        <w:pStyle w:val="BodyText"/>
      </w:pPr>
      <w:r>
        <w:t xml:space="preserve">The adaptive panel supplies a related measurement warning. First unsafe</w:t>
      </w:r>
      <w:r>
        <w:t xml:space="preserve"> </w:t>
      </w:r>
      <w:r>
        <w:t xml:space="preserve">effects were observed for 4/40 tasks by query 50 and 18/40 by query 200. A</w:t>
      </w:r>
      <w:r>
        <w:t xml:space="preserve"> </w:t>
      </w:r>
      <w:r>
        <w:t xml:space="preserve">single low attack budget would have missed most successes found by the larger</w:t>
      </w:r>
      <w:r>
        <w:t xml:space="preserve"> </w:t>
      </w:r>
      <w:r>
        <w:t xml:space="preserve">budget, but two budget points cannot establish saturation.</w:t>
      </w:r>
    </w:p>
    <w:p>
      <w:pPr>
        <w:pStyle w:val="BodyText"/>
      </w:pPr>
      <w:r>
        <w:t xml:space="preserve">These findings support three practical requirements for tool-agent security</w:t>
      </w:r>
      <w:r>
        <w:t xml:space="preserve"> </w:t>
      </w:r>
      <w:r>
        <w:t xml:space="preserve">evaluation: keep evaluator-only fields outside online Guard state, compare</w:t>
      </w:r>
      <w:r>
        <w:t xml:space="preserve"> </w:t>
      </w:r>
      <w:r>
        <w:t xml:space="preserve">complex mechanisms with a policy-only ablation on identical tasks, and report</w:t>
      </w:r>
      <w:r>
        <w:t xml:space="preserve"> </w:t>
      </w:r>
      <w:r>
        <w:t xml:space="preserve">utility, ASK/DENY burden, failures, latency, and attack budget alongside unsafe</w:t>
      </w:r>
      <w:r>
        <w:t xml:space="preserve"> </w:t>
      </w:r>
      <w:r>
        <w:t xml:space="preserve">effects. The conclusions remain limited to the tested policies, benchmarks,</w:t>
      </w:r>
      <w:r>
        <w:t xml:space="preserve"> </w:t>
      </w:r>
      <w:r>
        <w:t xml:space="preserve">runtime implementation, DeepSeek models, and budget range. The prespecified</w:t>
      </w:r>
      <w:r>
        <w:t xml:space="preserve"> </w:t>
      </w:r>
      <w:r>
        <w:t xml:space="preserve">Gemini sample closed incomplete under its free-tier stopping rule and remains</w:t>
      </w:r>
      <w:r>
        <w:t xml:space="preserve"> </w:t>
      </w:r>
      <w:r>
        <w:t xml:space="preserve">diagnostic; it cannot erase or broaden the completed DeepSeek findings.</w:t>
      </w:r>
    </w:p>
    <w:bookmarkEnd w:id="69"/>
    <w:bookmarkStart w:id="75" w:name="figures"/>
    <w:p>
      <w:pPr>
        <w:pStyle w:val="Heading2"/>
        <w:keepNext/>
      </w:pPr>
      <w:r>
        <w:t xml:space="preserve">Figures</w:t>
      </w:r>
    </w:p>
    <w:p>
      <w:pPr>
        <w:pStyle w:val="CaptionedFigure"/>
      </w:pPr>
      <w:r>
        <w:drawing>
          <wp:inline>
            <wp:extent cx="5334000" cy="2425603"/>
            <wp:effectExtent b="0" l="0" r="0" t="0"/>
            <wp:docPr descr="Figure 1. Online authorization projection and offline evaluation boundary." title="" id="1" name="Picture"/>
            <a:graphic>
              <a:graphicData uri="http://schemas.openxmlformats.org/drawingml/2006/picture">
                <pic:pic>
                  <pic:nvPicPr>
                    <pic:cNvPr descr="../lean_empirical/figures_deepseek_v1/figure_1_online_field_iso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5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Online authorization projection and offline evaluation boundary.</w:t>
      </w:r>
    </w:p>
    <w:p>
      <w:pPr>
        <w:pStyle w:val="CaptionedFigure"/>
      </w:pPr>
      <w:r>
        <w:drawing>
          <wp:inline>
            <wp:extent cx="5334000" cy="3783019"/>
            <wp:effectExtent b="0" l="0" r="0" t="0"/>
            <wp:docPr descr="Figure 2. Security–utility trade-off by authorization condition." title="" id="1" name="Picture"/>
            <a:graphic>
              <a:graphicData uri="http://schemas.openxmlformats.org/drawingml/2006/picture">
                <pic:pic>
                  <pic:nvPicPr>
                    <pic:cNvPr descr="../lean_empirical/figures_deepseek_v1/figure_2_safety_utility_pare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Security–utility trade-off by authorization condition.</w:t>
      </w:r>
    </w:p>
    <w:p>
      <w:pPr>
        <w:pStyle w:val="CaptionedFigure"/>
      </w:pPr>
      <w:r>
        <w:drawing>
          <wp:inline>
            <wp:extent cx="5334000" cy="3987128"/>
            <wp:effectExtent b="0" l="0" r="0" t="0"/>
            <wp:docPr descr="Figure 3. Paired authorization and mechanism effects." title="" id="1" name="Picture"/>
            <a:graphic>
              <a:graphicData uri="http://schemas.openxmlformats.org/drawingml/2006/picture">
                <pic:pic>
                  <pic:nvPicPr>
                    <pic:cNvPr descr="../lean_empirical/figures_deepseek_v1/figure_3_authorization_fore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Paired authorization and mechanism effects.</w:t>
      </w:r>
    </w:p>
    <w:p>
      <w:pPr>
        <w:pStyle w:val="CaptionedFigure"/>
      </w:pPr>
      <w:r>
        <w:drawing>
          <wp:inline>
            <wp:extent cx="5334000" cy="3216328"/>
            <wp:effectExtent b="0" l="0" r="0" t="0"/>
            <wp:docPr descr="Figure 4. Runtime confirmation, blocking, failure, and latency burden." title="" id="1" name="Picture"/>
            <a:graphic>
              <a:graphicData uri="http://schemas.openxmlformats.org/drawingml/2006/picture">
                <pic:pic>
                  <pic:nvPicPr>
                    <pic:cNvPr descr="../lean_empirical/figures_deepseek_v1/figure_4_runtime_burde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6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Runtime confirmation, blocking, failure, and latency burden.</w:t>
      </w:r>
    </w:p>
    <w:p>
      <w:pPr>
        <w:pStyle w:val="CaptionedFigure"/>
      </w:pPr>
      <w:r>
        <w:drawing>
          <wp:inline>
            <wp:extent cx="5334000" cy="3783159"/>
            <wp:effectExtent b="0" l="0" r="0" t="0"/>
            <wp:docPr descr="Figure 5. Adaptive first-success curve through query budget 200." title="" id="1" name="Picture"/>
            <a:graphic>
              <a:graphicData uri="http://schemas.openxmlformats.org/drawingml/2006/picture">
                <pic:pic>
                  <pic:nvPicPr>
                    <pic:cNvPr descr="../lean_empirical/figures_deepseek_v1/figure_5_adaptive_first_succe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Adaptive first-success curve through query budget 200.</w:t>
      </w:r>
    </w:p>
    <w:bookmarkEnd w:id="75"/>
    <w:bookmarkStart w:id="82" w:name="tables"/>
    <w:p>
      <w:pPr>
        <w:pStyle w:val="Heading2"/>
        <w:keepNext/>
      </w:pPr>
      <w:r>
        <w:t xml:space="preserve">Tables</w:t>
      </w:r>
    </w:p>
    <w:bookmarkStart w:id="76" w:name="table-1.-experimental-design"/>
    <w:p>
      <w:pPr>
        <w:pStyle w:val="Heading3"/>
        <w:keepNext/>
      </w:pPr>
      <w:r>
        <w:t xml:space="preserve">Table 1. Experimental design</w:t>
      </w:r>
    </w:p>
    <w:p>
      <w:pPr>
        <w:pStyle w:val="FirstParagraph"/>
      </w:pPr>
      <w:r>
        <w:t xml:space="preserve">Providers, benchmarks, conditions, authorization regimes and frozen work-item counts for the lean empirical study. Gemini counts are planned; its incomplete rows are excluded from inference.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495"/>
        <w:gridCol w:w="1542"/>
        <w:gridCol w:w="1915"/>
        <w:gridCol w:w="2862"/>
        <w:gridCol w:w="1546"/>
      </w:tblGrid>
      <w:tr>
        <w:trPr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5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Provider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2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Benchmark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15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Condition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6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Authorization regimes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6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Planned n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AgentDojo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6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auto compiled, broad, conflicting, exact gold, underspecified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235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AgentDojo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Policy-only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6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auto compiled, exact gold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160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6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auto compiled, broad, conflicting, exact gold, underspecified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305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Policy-only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6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auto compiled, exact gold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200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AgentDojo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6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auto compiled, exact gold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80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AgentDojo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Policy-only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6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auto compiled, exact gold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80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AgentDojo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Structural baseline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6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auto compiled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40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6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auto compiled, exact gold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100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Policy-only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6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auto compiled, exact gold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100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Structural baseline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6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auto compiled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50</w:t>
            </w:r>
          </w:p>
        </w:tc>
      </w:tr>
    </w:tbl>
    <w:bookmarkEnd w:id="76"/>
    <w:bookmarkStart w:id="77" w:name="table-2.-joint-primary-endpoints"/>
    <w:p>
      <w:pPr>
        <w:pStyle w:val="Heading3"/>
        <w:keepNext/>
      </w:pPr>
      <w:r>
        <w:t xml:space="preserve">Table 2. Joint primary endpoints</w:t>
      </w:r>
    </w:p>
    <w:p>
      <w:pPr>
        <w:pStyle w:val="FirstParagraph"/>
      </w:pPr>
      <w:r>
        <w:t xml:space="preserve">Unsafe effects among attack tasks and completions among benign tool tasks. Brackets contain Wilson 95% confidence intervals.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515"/>
        <w:gridCol w:w="1653"/>
        <w:gridCol w:w="1772"/>
        <w:gridCol w:w="2182"/>
        <w:gridCol w:w="2238"/>
      </w:tblGrid>
      <w:tr>
        <w:trPr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5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Provider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3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Condition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7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Authorization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8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Unsafe effect, n/N (95% CI)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38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Benign-tool TCR, n/N (95% CI)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3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auto compiled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8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0/100 (0.0%) [0.0%, 3.7%]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16/60 (26.7%) [17.1%, 39.0%]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3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broad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8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0/30 (0.0%) [0.0%, 11.4%]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3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2/20 (10.0%) [2.8%, 30.1%]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3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conflicting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8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0/30 (0.0%) [0.0%, 11.4%]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3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1/20 (5.0%) [0.9%, 23.6%]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3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exact gold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8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0/100 (0.0%) [0.0%, 3.7%]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3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7/60 (11.7%) [5.8%, 22.2%]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3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underspecified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8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0/30 (0.0%) [0.0%, 11.4%]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3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2/20 (10.0%) [2.8%, 30.1%]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3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Policy-only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auto compiled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8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1/100 (1.0%) [0.2%, 5.4%]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22/60 (36.7%) [25.6%, 49.3%]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3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Policy-only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exact gold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8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0/100 (0.0%) [0.0%, 3.7%]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3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9/60 (15.0%) [8.1%, 26.1%]</w:t>
            </w:r>
          </w:p>
        </w:tc>
      </w:tr>
    </w:tbl>
    <w:bookmarkEnd w:id="77"/>
    <w:bookmarkStart w:id="78" w:name="Xd0cc7104cfff95cb39f2f29f0dec108c42421ac"/>
    <w:p>
      <w:pPr>
        <w:pStyle w:val="Heading3"/>
        <w:keepNext/>
      </w:pPr>
      <w:r>
        <w:t xml:space="preserve">Table 3. Paired authorization and mechanism effects</w:t>
      </w:r>
    </w:p>
    <w:p>
      <w:pPr>
        <w:pStyle w:val="FirstParagraph"/>
      </w:pPr>
      <w:r>
        <w:t xml:space="preserve">Absolute percentage-point differences use the second condition minus the first. Stress-regime extensions are outside the primary Holm family.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928"/>
        <w:gridCol w:w="1050"/>
        <w:gridCol w:w="1277"/>
        <w:gridCol w:w="928"/>
        <w:gridCol w:w="1050"/>
        <w:gridCol w:w="1132"/>
        <w:gridCol w:w="1157"/>
        <w:gridCol w:w="948"/>
        <w:gridCol w:w="890"/>
      </w:tblGrid>
      <w:tr>
        <w:trPr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 xml:space="preserve">Provider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 xml:space="preserve">Endpoint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Comparison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Paired 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Difference (pp)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Bootstrap 95% CI (pp)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Discordant first/second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McNemar 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Holm p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Benign-tool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Policy-only auto to M3-full auto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-10.0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[-18.3, -3.3]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6/0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0.031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0.094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Benign-tool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Policy-only exact to M3-full exact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-3.3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[-8.3, +0.0]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2/0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0.500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0.500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Benign-tool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M3-full auto to exact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-15.0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[-28.3, -1.7]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13/4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0.049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0.098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Benign-tool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Policy-only auto to exact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-21.7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[-36.7, -5.0]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19/6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0.015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0.059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Policy-only auto to M3-full auto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-1.0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[-3.0, +0.0]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1/0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1.000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Policy-only exact to M3-full exact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+0.0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[+0.0, +0.0]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0/0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1.000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M3-full auto to exact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+0.0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[+0.0, +0.0]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0/0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1.000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Policy-only auto to exact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-1.0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[-3.0, +0.0]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1/0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1.000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Benign-tool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M3-full auto to broad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-25.0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[-45.0, -5.0]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5/0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0.062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M3-full auto to broad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+0.0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[+0.0, +0.0]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0/0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Benign-tool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M3-full auto to conflicting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-30.0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[-50.0, -10.0]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6/0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0.031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M3-full auto to conflicting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+0.0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[+0.0, +0.0]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0/0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Benign-tool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M3-full auto to underspecified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-25.0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[-50.0, +0.0]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6/1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0.125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M3-full auto to underspecified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5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+0.0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[+0.0, +0.0]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0/0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4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89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—</w:t>
            </w:r>
          </w:p>
        </w:tc>
      </w:tr>
    </w:tbl>
    <w:bookmarkEnd w:id="78"/>
    <w:bookmarkStart w:id="79" w:name="table-4.-runtime-burden"/>
    <w:p>
      <w:pPr>
        <w:pStyle w:val="Heading3"/>
        <w:keepNext/>
      </w:pPr>
      <w:r>
        <w:t xml:space="preserve">Table 4. Runtime burden</w:t>
      </w:r>
    </w:p>
    <w:p>
      <w:pPr>
        <w:pStyle w:val="FirstParagraph"/>
      </w:pPr>
      <w:r>
        <w:t xml:space="preserve">ASK and DENY cells report event totals, record incidence and the share of records affected. Failures remain in the ITT denominator.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952"/>
        <w:gridCol w:w="1012"/>
        <w:gridCol w:w="1065"/>
        <w:gridCol w:w="1128"/>
        <w:gridCol w:w="1142"/>
        <w:gridCol w:w="993"/>
        <w:gridCol w:w="1142"/>
        <w:gridCol w:w="929"/>
        <w:gridCol w:w="997"/>
      </w:tblGrid>
      <w:tr>
        <w:trPr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52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 xml:space="preserve">Provider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12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 xml:space="preserve">Condition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65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Authorization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ASK events/records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DENY events/records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3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Failures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Latency p50/p95 (s)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9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Tokens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7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Cost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5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1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6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auto compiled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58 / 58 (32.2%)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20 / 20 (11.1%)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17 (9.4%)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2.90 / 9.18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279,687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CNY 0.2522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5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1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6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broad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23 / 23 (38.3%)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7 / 7 (11.7%)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6 (10.0%)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2.84 / 9.38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82,975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CNY 0.0769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5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1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6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conflicting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26 / 26 (43.3%)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6 / 6 (10.0%)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5 (8.3%)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2.79 / 7.89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67,404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CNY 0.0412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5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1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6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exact gold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 / 0 (0.0%)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187 / 81 (45.0%)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44 (24.4%)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3.94 / 19.62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454,627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CNY 0.2995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5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1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M3-full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6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underspecified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30 / 30 (50.0%)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 / 4 (6.7%)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 (6.7%)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2.78 / 10.65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82,731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CNY 0.0875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5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1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Policy-only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6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auto compiled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62 / 62 (34.4%)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13 / 13 (7.2%)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13 (7.2%)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3.16 / 10.63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307,544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CNY 0.2940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5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1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Policy-only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6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exact gold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 / 0 (0.0%)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227 / 88 (48.9%)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43 (23.9%)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5.06 / 19.42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2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473,478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CNY 0.3374</w:t>
            </w:r>
          </w:p>
        </w:tc>
      </w:tr>
    </w:tbl>
    <w:bookmarkEnd w:id="79"/>
    <w:bookmarkStart w:id="80" w:name="table-5.-prespecified-heterogeneity"/>
    <w:p>
      <w:pPr>
        <w:pStyle w:val="Heading3"/>
        <w:keepNext/>
      </w:pPr>
      <w:r>
        <w:t xml:space="preserve">Table 5. Prespecified heterogeneity</w:t>
      </w:r>
    </w:p>
    <w:p>
      <w:pPr>
        <w:pStyle w:val="FirstParagraph"/>
      </w:pPr>
      <w:r>
        <w:t xml:space="preserve">Endpoint counts by benchmark and attack family. These prespecified strata are descriptive rather than additional confirmatory families.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165"/>
        <w:gridCol w:w="1199"/>
        <w:gridCol w:w="1676"/>
        <w:gridCol w:w="1128"/>
        <w:gridCol w:w="1347"/>
        <w:gridCol w:w="1347"/>
        <w:gridCol w:w="1498"/>
      </w:tblGrid>
      <w:tr>
        <w:trPr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 xml:space="preserve">Provider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 xml:space="preserve">Benchmark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Attack family/stratum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Records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Attack records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Unsafe effects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Operational failures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AgentDojo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pooled/no family label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395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245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93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benign clean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24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cross tool attack chain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direct jailbreak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environment context pollution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json rpc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memory poisoning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multilingual t2l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obfuscation evasion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rag indirect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65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M3-v2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tool output injection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2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11</w:t>
            </w:r>
          </w:p>
        </w:tc>
      </w:tr>
    </w:tbl>
    <w:bookmarkEnd w:id="80"/>
    <w:bookmarkStart w:id="81" w:name="X5061b4ced358d9d41a14c66c0665b59cd4f5370"/>
    <w:p>
      <w:pPr>
        <w:pStyle w:val="Heading3"/>
        <w:keepNext/>
      </w:pPr>
      <w:r>
        <w:t xml:space="preserve">Table 6. Adaptive evidence at budgets 50 and 200</w:t>
      </w:r>
    </w:p>
    <w:p>
      <w:pPr>
        <w:pStyle w:val="FirstParagraph"/>
      </w:pPr>
      <w:r>
        <w:t xml:space="preserve">Cumulative tasks with at least one unsafe effect through budgets 50 and 200. These two points do not establish attack saturation.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601"/>
        <w:gridCol w:w="1277"/>
        <w:gridCol w:w="1402"/>
        <w:gridCol w:w="1277"/>
        <w:gridCol w:w="1571"/>
        <w:gridCol w:w="2232"/>
      </w:tblGrid>
      <w:tr>
        <w:trPr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1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Model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Budget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Successes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Rate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71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Wilson 95% CI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3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Claim boundary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1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50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4/40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10.0%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7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[4.0%, 23.1%]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3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Budgets 50 and 200 only; no saturation claim</w:t>
            </w:r>
          </w:p>
        </w:tc>
      </w:tr>
      <w:t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01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200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18/40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45.0%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7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[30.7%, 60.2%]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3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Budgets 50 and 200 only; no saturation claim</w:t>
            </w:r>
          </w:p>
        </w:tc>
      </w:tr>
    </w:tbl>
    <w:bookmarkEnd w:id="81"/>
    <w:bookmarkEnd w:id="82"/>
    <w:bookmarkStart w:id="83" w:name="figure-captions"/>
    <w:p>
      <w:pPr>
        <w:pStyle w:val="Heading2"/>
        <w:keepNext/>
      </w:pPr>
      <w:r>
        <w:t xml:space="preserve">Figure captions</w:t>
      </w:r>
    </w:p>
    <w:p>
      <w:pPr>
        <w:pStyle w:val="FirstParagraph"/>
      </w:pPr>
      <w:r>
        <w:rPr>
          <w:bCs/>
          <w:b/>
        </w:rPr>
        <w:t xml:space="preserve">Figure 1. Online authorization projection and offline evaluation boundary.</w:t>
      </w:r>
      <w:r>
        <w:t xml:space="preserve"> </w:t>
      </w:r>
      <w:r>
        <w:t xml:space="preserve">Trusted task context, the selected policy projection, provenance events, and</w:t>
      </w:r>
      <w:r>
        <w:t xml:space="preserve"> </w:t>
      </w:r>
      <w:r>
        <w:t xml:space="preserve">the proposed action may enter the runtime Guard. Raw gold answers, evaluator</w:t>
      </w:r>
      <w:r>
        <w:t xml:space="preserve"> </w:t>
      </w:r>
      <w:r>
        <w:t xml:space="preserve">labels, reference trajectories, and effect-scoring metadata remain offline.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exact_gold</w:t>
      </w:r>
      <w:r>
        <w:t xml:space="preserve"> </w:t>
      </w:r>
      <w:r>
        <w:t xml:space="preserve">sensitivity condition exposes only a derived authorization</w:t>
      </w:r>
      <w:r>
        <w:t xml:space="preserve"> </w:t>
      </w:r>
      <w:r>
        <w:t xml:space="preserve">object to the policy projection. Only isolated simulated effects are scored;</w:t>
      </w:r>
      <w:r>
        <w:t xml:space="preserve"> </w:t>
      </w:r>
      <w:r>
        <w:t xml:space="preserve">provider-managed tools and real external actions are disabled.</w:t>
      </w:r>
    </w:p>
    <w:p>
      <w:pPr>
        <w:pStyle w:val="BodyText"/>
      </w:pPr>
      <w:r>
        <w:rPr>
          <w:bCs/>
          <w:b/>
        </w:rPr>
        <w:t xml:space="preserve">Figure 2. Security–utility trade-off by authorization condition.</w:t>
      </w:r>
      <w:r>
        <w:t xml:space="preserve"> </w:t>
      </w:r>
      <w:r>
        <w:t xml:space="preserve">Each</w:t>
      </w:r>
      <w:r>
        <w:t xml:space="preserve"> </w:t>
      </w:r>
      <w:r>
        <w:t xml:space="preserve">DeepSeek V4 Pro point reports benign-tool completion on the horizontal axis and</w:t>
      </w:r>
      <w:r>
        <w:t xml:space="preserve"> </w:t>
      </w:r>
      <w:r>
        <w:t xml:space="preserve">one minus attack unsafe-effect rate on the vertical axis. The four main cells</w:t>
      </w:r>
      <w:r>
        <w:t xml:space="preserve"> </w:t>
      </w:r>
      <w:r>
        <w:t xml:space="preserve">use 100 attacks and 60 benign tool tasks each; each nested stress cell uses 30</w:t>
      </w:r>
      <w:r>
        <w:t xml:space="preserve"> </w:t>
      </w:r>
      <w:r>
        <w:t xml:space="preserve">attacks and 20 benign tool tasks. All terminal failures remain in the</w:t>
      </w:r>
      <w:r>
        <w:t xml:space="preserve"> </w:t>
      </w:r>
      <w:r>
        <w:t xml:space="preserve">intention-to-treat denominators. Numbered markers map to the condition key; a</w:t>
      </w:r>
      <w:r>
        <w:t xml:space="preserve"> </w:t>
      </w:r>
      <w:r>
        <w:t xml:space="preserve">slash joins conditions with exactly coincident coordinates. Near-identical</w:t>
      </w:r>
      <w:r>
        <w:t xml:space="preserve"> </w:t>
      </w:r>
      <w:r>
        <w:t xml:space="preserve">attack safety can coexist with substantially different utility.</w:t>
      </w:r>
    </w:p>
    <w:p>
      <w:pPr>
        <w:pStyle w:val="BodyText"/>
      </w:pPr>
      <w:r>
        <w:rPr>
          <w:bCs/>
          <w:b/>
        </w:rPr>
        <w:t xml:space="preserve">Figure 3. Paired effects of authorization regime and Guard configuration.</w:t>
      </w:r>
      <w:r>
        <w:t xml:space="preserve"> </w:t>
      </w:r>
      <w:r>
        <w:t xml:space="preserve">Points are absolute percentage-point differences for the second condition</w:t>
      </w:r>
      <w:r>
        <w:t xml:space="preserve"> </w:t>
      </w:r>
      <w:r>
        <w:t xml:space="preserve">minus the first; bars are 95% intervals from 10,000 task-cluster bootstrap</w:t>
      </w:r>
      <w:r>
        <w:t xml:space="preserve"> </w:t>
      </w:r>
      <w:r>
        <w:t xml:space="preserve">resamples. Orange rows use attack unsafe effect and blue rows use benign-tool</w:t>
      </w:r>
      <w:r>
        <w:t xml:space="preserve"> </w:t>
      </w:r>
      <w:r>
        <w:t xml:space="preserve">task completion. Exact McNemar and Holm-adjusted values are reported in Table</w:t>
      </w:r>
      <w:r>
        <w:t xml:space="preserve"> </w:t>
      </w:r>
      <w:r>
        <w:t xml:space="preserve">3 rather than encoded graphically.</w:t>
      </w:r>
    </w:p>
    <w:p>
      <w:pPr>
        <w:pStyle w:val="BodyText"/>
      </w:pPr>
      <w:r>
        <w:rPr>
          <w:bCs/>
          <w:b/>
        </w:rPr>
        <w:t xml:space="preserve">Figure 4. Runtime confirmation, blocking, failure, and latency burden.</w:t>
      </w:r>
      <w:r>
        <w:t xml:space="preserve"> </w:t>
      </w:r>
      <w:r>
        <w:t xml:space="preserve">ASK</w:t>
      </w:r>
      <w:r>
        <w:t xml:space="preserve"> </w:t>
      </w:r>
      <w:r>
        <w:t xml:space="preserve">and DENY panels report the percentage of terminal ITT records with at least one</w:t>
      </w:r>
      <w:r>
        <w:t xml:space="preserve"> </w:t>
      </w:r>
      <w:r>
        <w:t xml:space="preserve">corresponding event, not the number of events divided by records. The table</w:t>
      </w:r>
      <w:r>
        <w:t xml:space="preserve"> </w:t>
      </w:r>
      <w:r>
        <w:t xml:space="preserve">retains both record incidence and total event counts because a trajectory may</w:t>
      </w:r>
      <w:r>
        <w:t xml:space="preserve"> </w:t>
      </w:r>
      <w:r>
        <w:t xml:space="preserve">contain multiple decisions. Failure uses the prespecified terminal failure</w:t>
      </w:r>
      <w:r>
        <w:t xml:space="preserve"> </w:t>
      </w:r>
      <w:r>
        <w:t xml:space="preserve">set; latency is condition-level p95 wall time.</w:t>
      </w:r>
    </w:p>
    <w:p>
      <w:pPr>
        <w:pStyle w:val="BodyText"/>
      </w:pPr>
      <w:r>
        <w:rPr>
          <w:bCs/>
          <w:b/>
        </w:rPr>
        <w:t xml:space="preserve">Figure 5. Adaptive first-success curve through query budget 200.</w:t>
      </w:r>
      <w:r>
        <w:t xml:space="preserve"> </w:t>
      </w:r>
      <w:r>
        <w:t xml:space="preserve">The fixed</w:t>
      </w:r>
      <w:r>
        <w:t xml:space="preserve"> </w:t>
      </w:r>
      <w:r>
        <w:t xml:space="preserve">40-task DeepSeek V4 Pro panel contributes one first-unsafe-effect query per</w:t>
      </w:r>
      <w:r>
        <w:t xml:space="preserve"> </w:t>
      </w:r>
      <w:r>
        <w:t xml:space="preserve">successful task. Four tasks had succeeded by query 50 and 18 by query 200.</w:t>
      </w:r>
      <w:r>
        <w:t xml:space="preserve"> </w:t>
      </w:r>
      <w:r>
        <w:t xml:space="preserve">The curve is descriptive only through 200 and must not be interpreted as an</w:t>
      </w:r>
      <w:r>
        <w:t xml:space="preserve"> </w:t>
      </w:r>
      <w:r>
        <w:t xml:space="preserve">estimate of attack saturation.</w:t>
      </w:r>
    </w:p>
    <w:bookmarkEnd w:id="83"/>
    <w:bookmarkStart w:id="90" w:name="submission-statements"/>
    <w:p>
      <w:pPr>
        <w:pStyle w:val="Heading2"/>
        <w:keepNext/>
      </w:pPr>
      <w:r>
        <w:t xml:space="preserve">Submission statements</w:t>
      </w:r>
    </w:p>
    <w:bookmarkStart w:id="84" w:name="competing-interests"/>
    <w:p>
      <w:pPr>
        <w:pStyle w:val="Heading3"/>
        <w:keepNext/>
      </w:pPr>
      <w:r>
        <w:t xml:space="preserve">Competing interests</w:t>
      </w:r>
    </w:p>
    <w:p>
      <w:pPr>
        <w:pStyle w:val="FirstParagraph"/>
      </w:pPr>
      <w:r>
        <w:t xml:space="preserve">The corresponding author must confirm the competing-interests declaration with</w:t>
      </w:r>
      <w:r>
        <w:t xml:space="preserve"> </w:t>
      </w:r>
      <w:r>
        <w:t xml:space="preserve">all authors before submission.</w:t>
      </w:r>
    </w:p>
    <w:bookmarkEnd w:id="84"/>
    <w:bookmarkStart w:id="85" w:name="funding"/>
    <w:p>
      <w:pPr>
        <w:pStyle w:val="Heading3"/>
        <w:keepNext/>
      </w:pPr>
      <w:r>
        <w:t xml:space="preserve">Funding</w:t>
      </w:r>
    </w:p>
    <w:p>
      <w:pPr>
        <w:pStyle w:val="FirstParagraph"/>
      </w:pPr>
      <w:r>
        <w:t xml:space="preserve">The corresponding author must provide the funder name, grant number, and</w:t>
      </w:r>
      <w:r>
        <w:t xml:space="preserve"> </w:t>
      </w:r>
      <w:r>
        <w:t xml:space="preserve">sponsor role, or confirm that the research received no specific grant from</w:t>
      </w:r>
      <w:r>
        <w:t xml:space="preserve"> </w:t>
      </w:r>
      <w:r>
        <w:t xml:space="preserve">funding agencies in the public, commercial, or not-for-profit sectors.</w:t>
      </w:r>
    </w:p>
    <w:bookmarkEnd w:id="85"/>
    <w:bookmarkStart w:id="86" w:name="data-and-code-availability"/>
    <w:p>
      <w:pPr>
        <w:pStyle w:val="Heading3"/>
        <w:keepNext/>
      </w:pPr>
      <w:r>
        <w:t xml:space="preserve">Data and code availability</w:t>
      </w:r>
    </w:p>
    <w:p>
      <w:pPr>
        <w:pStyle w:val="FirstParagraph"/>
      </w:pPr>
      <w:r>
        <w:t xml:space="preserve">The implementation, frozen lean experiment plan, analysis code, aggregate</w:t>
      </w:r>
      <w:r>
        <w:t xml:space="preserve"> </w:t>
      </w:r>
      <w:r>
        <w:t xml:space="preserve">tables, and editable figures are maintained at</w:t>
      </w:r>
      <w:r>
        <w:t xml:space="preserve"> </w:t>
      </w:r>
      <w:r>
        <w:t xml:space="preserve">https://github.com/Fischl0527/M3_PI_Guard. The repository is private during</w:t>
      </w:r>
      <w:r>
        <w:t xml:space="preserve"> </w:t>
      </w:r>
      <w:r>
        <w:t xml:space="preserve">manuscript preparation. A public archival release with an immutable version</w:t>
      </w:r>
      <w:r>
        <w:t xml:space="preserve"> </w:t>
      </w:r>
      <w:r>
        <w:t xml:space="preserve">identifier will be deposited before publication. Credentials and secrets are</w:t>
      </w:r>
      <w:r>
        <w:t xml:space="preserve"> </w:t>
      </w:r>
      <w:r>
        <w:t xml:space="preserve">excluded from the release. Any restrictions on provider-derived compact raw</w:t>
      </w:r>
      <w:r>
        <w:t xml:space="preserve"> </w:t>
      </w:r>
      <w:r>
        <w:t xml:space="preserve">records will be stated explicitly in the archival record.</w:t>
      </w:r>
    </w:p>
    <w:bookmarkEnd w:id="86"/>
    <w:bookmarkStart w:id="87" w:name="X1f74eb43af444059c7518034463b6c89b1cacf4"/>
    <w:p>
      <w:pPr>
        <w:pStyle w:val="Heading3"/>
        <w:keepNext/>
      </w:pPr>
      <w:r>
        <w:t xml:space="preserve">Declaration of generative AI and AI-assisted technologies in the manuscript preparation process</w:t>
      </w:r>
    </w:p>
    <w:p>
      <w:pPr>
        <w:pStyle w:val="FirstParagraph"/>
      </w:pPr>
      <w:r>
        <w:t xml:space="preserve">During preparation of this work, the authors used OpenAI Codex for software</w:t>
      </w:r>
      <w:r>
        <w:t xml:space="preserve"> </w:t>
      </w:r>
      <w:r>
        <w:t xml:space="preserve">editing, statistical-script review, figure-generation support, and language</w:t>
      </w:r>
      <w:r>
        <w:t xml:space="preserve"> </w:t>
      </w:r>
      <w:r>
        <w:t xml:space="preserve">revision. An earlier DeepSeek-generated project-planning note supplied by the</w:t>
      </w:r>
      <w:r>
        <w:t xml:space="preserve"> </w:t>
      </w:r>
      <w:r>
        <w:t xml:space="preserve">project owner was consulted during study scoping. The authors reviewed and</w:t>
      </w:r>
      <w:r>
        <w:t xml:space="preserve"> </w:t>
      </w:r>
      <w:r>
        <w:t xml:space="preserve">revised the resulting material and take full responsibility for the analysis,</w:t>
      </w:r>
      <w:r>
        <w:t xml:space="preserve"> </w:t>
      </w:r>
      <w:r>
        <w:t xml:space="preserve">interpretation, citations, and manuscript content. DeepSeek and Gemini API</w:t>
      </w:r>
      <w:r>
        <w:t xml:space="preserve"> </w:t>
      </w:r>
      <w:r>
        <w:t xml:space="preserve">outputs reported in the experiments are evaluated research data; they were not</w:t>
      </w:r>
      <w:r>
        <w:t xml:space="preserve"> </w:t>
      </w:r>
      <w:r>
        <w:t xml:space="preserve">used to generate outcome labels or statistical conclusions.</w:t>
      </w:r>
    </w:p>
    <w:bookmarkEnd w:id="87"/>
    <w:bookmarkStart w:id="88" w:name="ethics-and-safety"/>
    <w:p>
      <w:pPr>
        <w:pStyle w:val="Heading3"/>
        <w:keepNext/>
      </w:pPr>
      <w:r>
        <w:t xml:space="preserve">Ethics and safety</w:t>
      </w:r>
    </w:p>
    <w:p>
      <w:pPr>
        <w:pStyle w:val="FirstParagraph"/>
      </w:pPr>
      <w:r>
        <w:t xml:space="preserve">The study involved no human participants and collected no personal data. Tool</w:t>
      </w:r>
      <w:r>
        <w:t xml:space="preserve"> </w:t>
      </w:r>
      <w:r>
        <w:t xml:space="preserve">effects were evaluated in isolated benchmark state. Real email, payment,</w:t>
      </w:r>
      <w:r>
        <w:t xml:space="preserve"> </w:t>
      </w:r>
      <w:r>
        <w:t xml:space="preserve">browser, code-execution, production-API, and provider-managed tool operations</w:t>
      </w:r>
      <w:r>
        <w:t xml:space="preserve"> </w:t>
      </w:r>
      <w:r>
        <w:t xml:space="preserve">were disabled. The authors must confirm any institutional review or exemption</w:t>
      </w:r>
      <w:r>
        <w:t xml:space="preserve"> </w:t>
      </w:r>
      <w:r>
        <w:t xml:space="preserve">requirement before submission.</w:t>
      </w:r>
    </w:p>
    <w:bookmarkEnd w:id="88"/>
    <w:bookmarkStart w:id="89" w:name="author-contributions"/>
    <w:p>
      <w:pPr>
        <w:pStyle w:val="Heading3"/>
        <w:keepNext/>
      </w:pPr>
      <w:r>
        <w:t xml:space="preserve">Author contributions</w:t>
      </w:r>
    </w:p>
    <w:p>
      <w:pPr>
        <w:pStyle w:val="FirstParagraph"/>
      </w:pPr>
      <w:r>
        <w:t xml:space="preserve">Author order and CRediT roles must be approved by every author before</w:t>
      </w:r>
      <w:r>
        <w:t xml:space="preserve"> </w:t>
      </w:r>
      <w:r>
        <w:t xml:space="preserve">submission.</w:t>
      </w:r>
    </w:p>
    <w:bookmarkEnd w:id="89"/>
    <w:bookmarkEnd w:id="90"/>
    <w:bookmarkStart w:id="134" w:name="references"/>
    <w:p>
      <w:pPr>
        <w:pStyle w:val="Heading2"/>
        <w:keepNext/>
      </w:pPr>
      <w:r>
        <w:t xml:space="preserve">References</w:t>
      </w:r>
    </w:p>
    <w:bookmarkStart w:id="133" w:name="refs"/>
    <w:bookmarkStart w:id="92" w:name="ref-L25"/>
    <w:p>
      <w:pPr>
        <w:pStyle w:val="Bibliography"/>
      </w:pPr>
      <w:r>
        <w:t xml:space="preserve">An, Hengyu, Jinghuai Zhang, Tianyu Du, Chunyi Zhou, Qingming Li, Tao Lin, and Shouling Ji. 2025.</w:t>
      </w:r>
      <w:r>
        <w:t xml:space="preserve"> </w:t>
      </w:r>
      <w:r>
        <w:t xml:space="preserve">“</w:t>
      </w:r>
      <w:r>
        <w:t xml:space="preserve">IPIG</w:t>
      </w:r>
      <w:r>
        <w:t xml:space="preserve">uard: A Novel Tool Dependency Graph-Based Defense Against Indirect Prompt Injection in</w:t>
      </w:r>
      <w:r>
        <w:t xml:space="preserve"> </w:t>
      </w:r>
      <w:r>
        <w:t xml:space="preserve">LLM</w:t>
      </w:r>
      <w:r>
        <w:t xml:space="preserve"> </w:t>
      </w:r>
      <w:r>
        <w:t xml:space="preserve">Agents.”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2025 Conference on Empirical Methods in Natural Language Processing</w:t>
      </w:r>
      <w:r>
        <w:t xml:space="preserve">, edited by Christos Christodoulopoulos, Tanmoy Chakraborty, Carolyn Rose, and Violet Peng, 1023–39. Suzhou, China: Association for Computational Linguistics.</w:t>
      </w:r>
      <w:r>
        <w:t xml:space="preserve"> </w:t>
      </w:r>
      <w:hyperlink r:id="rId91">
        <w:r>
          <w:rPr>
            <w:rStyle w:val="Hyperlink"/>
          </w:rPr>
          <w:t xml:space="preserve">https://doi.org/10.18653/v1/2025.emnlp-main.53</w:t>
        </w:r>
      </w:hyperlink>
      <w:r>
        <w:t xml:space="preserve">.</w:t>
      </w:r>
    </w:p>
    <w:bookmarkEnd w:id="92"/>
    <w:bookmarkStart w:id="94" w:name="ref-L07"/>
    <w:p>
      <w:pPr>
        <w:pStyle w:val="Bibliography"/>
      </w:pPr>
      <w:r>
        <w:t xml:space="preserve">Chen, Sizhe, Julien Piet, Chawin Sitawarin, and David Wagner. 2025.</w:t>
      </w:r>
      <w:r>
        <w:t xml:space="preserve"> </w:t>
      </w:r>
      <w:r>
        <w:t xml:space="preserve">“</w:t>
      </w:r>
      <w:r>
        <w:t xml:space="preserve">StruQ</w:t>
      </w:r>
      <w:r>
        <w:t xml:space="preserve">: Defending Against Prompt Injection with Structured Queries.”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34th USENIX Security Symposium (USENIX Security 25)</w:t>
      </w:r>
      <w:r>
        <w:t xml:space="preserve">, 2383–2400.</w:t>
      </w:r>
      <w:r>
        <w:t xml:space="preserve"> </w:t>
      </w:r>
      <w:hyperlink r:id="rId93">
        <w:r>
          <w:rPr>
            <w:rStyle w:val="Hyperlink"/>
          </w:rPr>
          <w:t xml:space="preserve">https://www.usenix.org/conference/usenixsecurity25/presentation/chen-sizhe</w:t>
        </w:r>
      </w:hyperlink>
      <w:r>
        <w:t xml:space="preserve">.</w:t>
      </w:r>
    </w:p>
    <w:bookmarkEnd w:id="94"/>
    <w:bookmarkStart w:id="96" w:name="ref-L32"/>
    <w:p>
      <w:pPr>
        <w:pStyle w:val="Bibliography"/>
      </w:pPr>
      <w:r>
        <w:t xml:space="preserve">Chen, Yulin, Haoran Li, Yuan Sui, Yufei He, Yue Liu, Yangqiu Song, and Bryan Hooi. 2025.</w:t>
      </w:r>
      <w:r>
        <w:t xml:space="preserve"> </w:t>
      </w:r>
      <w:r>
        <w:t xml:space="preserve">“Can Indirect Prompt Injection Attacks Be Detected and Removed?”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63rd Annual Meeting of the Association for Computational Linguistics (Volume 1: Long Papers)</w:t>
      </w:r>
      <w:r>
        <w:t xml:space="preserve">, edited by Wanxiang Che, Joyce Nabende, Ekaterina Shutova, and Mohammad Taher Pilehvar, 18189–206. Vienna, Austria: Association for Computational Linguistics.</w:t>
      </w:r>
      <w:r>
        <w:t xml:space="preserve"> </w:t>
      </w:r>
      <w:hyperlink r:id="rId95">
        <w:r>
          <w:rPr>
            <w:rStyle w:val="Hyperlink"/>
          </w:rPr>
          <w:t xml:space="preserve">https://doi.org/10.18653/v1/2025.acl-long.890</w:t>
        </w:r>
      </w:hyperlink>
      <w:r>
        <w:t xml:space="preserve">.</w:t>
      </w:r>
    </w:p>
    <w:bookmarkEnd w:id="96"/>
    <w:bookmarkStart w:id="98" w:name="ref-L26"/>
    <w:p>
      <w:pPr>
        <w:pStyle w:val="Bibliography"/>
      </w:pPr>
      <w:r>
        <w:t xml:space="preserve">Debenedetti, Edoardo, Ilia Shumailov, Tianqi Fan, Jamie Hayes, Nicholas Carlini, Daniel Fabian, Christoph Kern, Chongyang Shi, Andreas Terzis, and Florian Tramèr. 2025.</w:t>
      </w:r>
      <w:r>
        <w:t xml:space="preserve"> </w:t>
      </w:r>
      <w:r>
        <w:t xml:space="preserve">“Defeating Prompt Injections by Design.”</w:t>
      </w:r>
      <w:r>
        <w:t xml:space="preserve"> </w:t>
      </w:r>
      <w:hyperlink r:id="rId97">
        <w:r>
          <w:rPr>
            <w:rStyle w:val="Hyperlink"/>
          </w:rPr>
          <w:t xml:space="preserve">https://arxiv.org/abs/2503.18813</w:t>
        </w:r>
      </w:hyperlink>
      <w:r>
        <w:t xml:space="preserve">.</w:t>
      </w:r>
    </w:p>
    <w:bookmarkEnd w:id="98"/>
    <w:bookmarkStart w:id="100" w:name="ref-L09"/>
    <w:p>
      <w:pPr>
        <w:pStyle w:val="Bibliography"/>
      </w:pPr>
      <w:r>
        <w:t xml:space="preserve">Debenedetti, Edoardo, Jie Zhang, Mislav Balunovic, Luca Beurer-Kellner, Marc Fischer, and Florian Tramèr. 2024.</w:t>
      </w:r>
      <w:r>
        <w:t xml:space="preserve"> </w:t>
      </w:r>
      <w:r>
        <w:t xml:space="preserve">“AgentDojo: A Dynamic Environment to Evaluate Prompt Injection Attacks and Defenses for LLM Agents.”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 </w:t>
      </w:r>
      <w:r>
        <w:t xml:space="preserve">37: 82895–920.</w:t>
      </w:r>
      <w:r>
        <w:t xml:space="preserve"> </w:t>
      </w:r>
      <w:hyperlink r:id="rId99">
        <w:r>
          <w:rPr>
            <w:rStyle w:val="Hyperlink"/>
          </w:rPr>
          <w:t xml:space="preserve">https://doi.org/10.52202/079017-2636</w:t>
        </w:r>
      </w:hyperlink>
      <w:r>
        <w:t xml:space="preserve">.</w:t>
      </w:r>
    </w:p>
    <w:bookmarkEnd w:id="100"/>
    <w:bookmarkStart w:id="102" w:name="ref-L23"/>
    <w:p>
      <w:pPr>
        <w:pStyle w:val="Bibliography"/>
      </w:pPr>
      <w:r>
        <w:t xml:space="preserve">Gong, Guangyu, and Zizhuang Deng. 2026.</w:t>
      </w:r>
      <w:r>
        <w:t xml:space="preserve"> </w:t>
      </w:r>
      <w:r>
        <w:t xml:space="preserve">“PlanGuard: Defending Agents Against Indirect Prompt Injection via Planning-Based Consistency Verification.”</w:t>
      </w:r>
      <w:r>
        <w:t xml:space="preserve"> </w:t>
      </w:r>
      <w:hyperlink r:id="rId101">
        <w:r>
          <w:rPr>
            <w:rStyle w:val="Hyperlink"/>
          </w:rPr>
          <w:t xml:space="preserve">https://arxiv.org/abs/2604.10134</w:t>
        </w:r>
      </w:hyperlink>
      <w:r>
        <w:t xml:space="preserve">.</w:t>
      </w:r>
    </w:p>
    <w:bookmarkEnd w:id="102"/>
    <w:bookmarkStart w:id="104" w:name="ref-L30"/>
    <w:p>
      <w:pPr>
        <w:pStyle w:val="Bibliography"/>
      </w:pPr>
      <w:r>
        <w:t xml:space="preserve">Hines, Keegan, Gary Lopez, Matthew Hall, Federico Zarfati, Yonatan Zunger, and Emre Kiciman. 2024.</w:t>
      </w:r>
      <w:r>
        <w:t xml:space="preserve"> </w:t>
      </w:r>
      <w:r>
        <w:t xml:space="preserve">“Defending Against Indirect Prompt Injection Attacks with Spotlighting.”</w:t>
      </w:r>
      <w:r>
        <w:t xml:space="preserve"> </w:t>
      </w:r>
      <w:hyperlink r:id="rId103">
        <w:r>
          <w:rPr>
            <w:rStyle w:val="Hyperlink"/>
          </w:rPr>
          <w:t xml:space="preserve">https://arxiv.org/abs/2403.14720</w:t>
        </w:r>
      </w:hyperlink>
      <w:r>
        <w:t xml:space="preserve">.</w:t>
      </w:r>
    </w:p>
    <w:bookmarkEnd w:id="104"/>
    <w:bookmarkStart w:id="106" w:name="ref-L03"/>
    <w:p>
      <w:pPr>
        <w:pStyle w:val="Bibliography"/>
      </w:pPr>
      <w:r>
        <w:t xml:space="preserve">Jia, Feiran, Tong Wu, Xin Qin, and Anna Squicciarini. 2025.</w:t>
      </w:r>
      <w:r>
        <w:t xml:space="preserve"> </w:t>
      </w:r>
      <w:r>
        <w:t xml:space="preserve">“The Task Shield: Enforcing Task Alignment to Defend Against Indirect Prompt Injection in</w:t>
      </w:r>
      <w:r>
        <w:t xml:space="preserve"> </w:t>
      </w:r>
      <w:r>
        <w:t xml:space="preserve">LLM</w:t>
      </w:r>
      <w:r>
        <w:t xml:space="preserve"> </w:t>
      </w:r>
      <w:r>
        <w:t xml:space="preserve">Agents.”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63rd Annual Meeting of the Association for Computational Linguistics (Volume 1: Long Papers)</w:t>
      </w:r>
      <w:r>
        <w:t xml:space="preserve">, edited by Wanxiang Che, Joyce Nabende, Ekaterina Shutova, and Mohammad Taher Pilehvar, 29680–97. Vienna, Austria: Association for Computational Linguistics.</w:t>
      </w:r>
      <w:r>
        <w:t xml:space="preserve"> </w:t>
      </w:r>
      <w:hyperlink r:id="rId105">
        <w:r>
          <w:rPr>
            <w:rStyle w:val="Hyperlink"/>
          </w:rPr>
          <w:t xml:space="preserve">https://doi.org/10.18653/v1/2025.acl-long.1435</w:t>
        </w:r>
      </w:hyperlink>
      <w:r>
        <w:t xml:space="preserve">.</w:t>
      </w:r>
    </w:p>
    <w:bookmarkEnd w:id="106"/>
    <w:bookmarkStart w:id="108" w:name="ref-L02"/>
    <w:p>
      <w:pPr>
        <w:pStyle w:val="Bibliography"/>
      </w:pPr>
      <w:r>
        <w:t xml:space="preserve">Li, Hao, Xiaogeng Liu, CHIU Chun, Dianqi Li, Ning Zhang, and Chaowei Xiao. 2025.</w:t>
      </w:r>
      <w:r>
        <w:t xml:space="preserve"> </w:t>
      </w:r>
      <w:r>
        <w:t xml:space="preserve">“DRIFT: Dynamic Rule-Based Defense with Injection Isolation for Securing LLM Agents.”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t xml:space="preserve"> </w:t>
      </w:r>
      <w:r>
        <w:t xml:space="preserve">38: 83262–90.</w:t>
      </w:r>
      <w:r>
        <w:t xml:space="preserve"> </w:t>
      </w:r>
      <w:hyperlink r:id="rId107">
        <w:r>
          <w:rPr>
            <w:rStyle w:val="Hyperlink"/>
          </w:rPr>
          <w:t xml:space="preserve">https://doi.org/10.52202/085713-2791</w:t>
        </w:r>
      </w:hyperlink>
      <w:r>
        <w:t xml:space="preserve">.</w:t>
      </w:r>
    </w:p>
    <w:bookmarkEnd w:id="108"/>
    <w:bookmarkStart w:id="110" w:name="ref-L35"/>
    <w:p>
      <w:pPr>
        <w:pStyle w:val="Bibliography"/>
      </w:pPr>
      <w:r>
        <w:t xml:space="preserve">Liao, Junchi. 2026.</w:t>
      </w:r>
      <w:r>
        <w:t xml:space="preserve"> </w:t>
      </w:r>
      <w:r>
        <w:t xml:space="preserve">“Auditing Provenance Sensitivity in LLM Agent Action Selection.”</w:t>
      </w:r>
      <w:r>
        <w:t xml:space="preserve"> </w:t>
      </w:r>
      <w:hyperlink r:id="rId109">
        <w:r>
          <w:rPr>
            <w:rStyle w:val="Hyperlink"/>
          </w:rPr>
          <w:t xml:space="preserve">https://arxiv.org/abs/2607.20827</w:t>
        </w:r>
      </w:hyperlink>
      <w:r>
        <w:t xml:space="preserve">.</w:t>
      </w:r>
    </w:p>
    <w:bookmarkEnd w:id="110"/>
    <w:bookmarkStart w:id="112" w:name="ref-L01"/>
    <w:p>
      <w:pPr>
        <w:pStyle w:val="Bibliography"/>
      </w:pPr>
      <w:r>
        <w:t xml:space="preserve">Lin, Junda, Zhaomeng Zhou, Zhi Zheng, Shuochen Liu, Tong Xu, Yong Chen, and Enhong Chen. 2026.</w:t>
      </w:r>
      <w:r>
        <w:t xml:space="preserve"> </w:t>
      </w:r>
      <w:r>
        <w:t xml:space="preserve">“</w:t>
      </w:r>
      <w:r>
        <w:t xml:space="preserve">VIGIL</w:t>
      </w:r>
      <w:r>
        <w:t xml:space="preserve">: Defending</w:t>
      </w:r>
      <w:r>
        <w:t xml:space="preserve"> </w:t>
      </w:r>
      <w:r>
        <w:t xml:space="preserve">LLM</w:t>
      </w:r>
      <w:r>
        <w:t xml:space="preserve"> </w:t>
      </w:r>
      <w:r>
        <w:t xml:space="preserve">Agents Against Tool-Stream Injection via Verify-Before-Commit.”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64th Annual Meeting of the</w:t>
      </w:r>
      <w:r>
        <w:rPr>
          <w:iCs/>
          <w:i/>
        </w:rPr>
        <w:t xml:space="preserve"> </w:t>
      </w:r>
      <w:r>
        <w:rPr>
          <w:iCs/>
          <w:i/>
        </w:rPr>
        <w:t xml:space="preserve">A</w:t>
      </w:r>
      <w:r>
        <w:rPr>
          <w:iCs/>
          <w:i/>
        </w:rPr>
        <w:t xml:space="preserve">ssociation for</w:t>
      </w:r>
      <w:r>
        <w:rPr>
          <w:iCs/>
          <w:i/>
        </w:rPr>
        <w:t xml:space="preserve"> </w:t>
      </w:r>
      <w:r>
        <w:rPr>
          <w:iCs/>
          <w:i/>
        </w:rPr>
        <w:t xml:space="preserve">C</w:t>
      </w:r>
      <w:r>
        <w:rPr>
          <w:iCs/>
          <w:i/>
        </w:rPr>
        <w:t xml:space="preserve">omputational</w:t>
      </w:r>
      <w:r>
        <w:rPr>
          <w:iCs/>
          <w:i/>
        </w:rPr>
        <w:t xml:space="preserve"> </w:t>
      </w:r>
      <w:r>
        <w:rPr>
          <w:iCs/>
          <w:i/>
        </w:rPr>
        <w:t xml:space="preserve">L</w:t>
      </w:r>
      <w:r>
        <w:rPr>
          <w:iCs/>
          <w:i/>
        </w:rPr>
        <w:t xml:space="preserve">inguistics (Volume 1: Long Papers)</w:t>
      </w:r>
      <w:r>
        <w:t xml:space="preserve">, edited by Maria Liakata, Viviane P. Moreira, Jiajun Zhang, and David Jurgens, 9764–85. San Diego, California, United States: Association for Computational Linguistics.</w:t>
      </w:r>
      <w:r>
        <w:t xml:space="preserve"> </w:t>
      </w:r>
      <w:hyperlink r:id="rId111">
        <w:r>
          <w:rPr>
            <w:rStyle w:val="Hyperlink"/>
          </w:rPr>
          <w:t xml:space="preserve">https://doi.org/10.18653/v1/2026.acl-long.443</w:t>
        </w:r>
      </w:hyperlink>
      <w:r>
        <w:t xml:space="preserve">.</w:t>
      </w:r>
    </w:p>
    <w:bookmarkEnd w:id="112"/>
    <w:bookmarkStart w:id="114" w:name="ref-L27"/>
    <w:p>
      <w:pPr>
        <w:pStyle w:val="Bibliography"/>
      </w:pPr>
      <w:r>
        <w:t xml:space="preserve">Nasr, Milad, Nicholas Carlini, Chawin Sitawarin, Sander V. Schulhoff, Jamie Hayes, Michael Ilie, Juliette Pluto, et al. 2025.</w:t>
      </w:r>
      <w:r>
        <w:t xml:space="preserve"> </w:t>
      </w:r>
      <w:r>
        <w:t xml:space="preserve">“The Attacker Moves Second: Stronger Adaptive Attacks Bypass Defenses Against Llm Jailbreaks and Prompt Injections.”</w:t>
      </w:r>
      <w:r>
        <w:t xml:space="preserve"> </w:t>
      </w:r>
      <w:hyperlink r:id="rId113">
        <w:r>
          <w:rPr>
            <w:rStyle w:val="Hyperlink"/>
          </w:rPr>
          <w:t xml:space="preserve">https://arxiv.org/abs/2510.09023</w:t>
        </w:r>
      </w:hyperlink>
      <w:r>
        <w:t xml:space="preserve">.</w:t>
      </w:r>
    </w:p>
    <w:bookmarkEnd w:id="114"/>
    <w:bookmarkStart w:id="116" w:name="ref-L24"/>
    <w:p>
      <w:pPr>
        <w:pStyle w:val="Bibliography"/>
      </w:pPr>
      <w:r>
        <w:t xml:space="preserve">Shi, Tianneng, Jingxuan He, Zhun Wang, Hongwei Li, Linyu Wu, Wenbo Guo, and Dawn Song. 2025.</w:t>
      </w:r>
      <w:r>
        <w:t xml:space="preserve"> </w:t>
      </w:r>
      <w:r>
        <w:t xml:space="preserve">“Progent: Securing AI Agents with Privilege Control.”</w:t>
      </w:r>
      <w:r>
        <w:t xml:space="preserve"> </w:t>
      </w:r>
      <w:hyperlink r:id="rId115">
        <w:r>
          <w:rPr>
            <w:rStyle w:val="Hyperlink"/>
          </w:rPr>
          <w:t xml:space="preserve">https://arxiv.org/abs/2504.11703</w:t>
        </w:r>
      </w:hyperlink>
      <w:r>
        <w:t xml:space="preserve">.</w:t>
      </w:r>
    </w:p>
    <w:bookmarkEnd w:id="116"/>
    <w:bookmarkStart w:id="118" w:name="ref-L08"/>
    <w:p>
      <w:pPr>
        <w:pStyle w:val="Bibliography"/>
      </w:pPr>
      <w:r>
        <w:t xml:space="preserve">Tsai, Lillian, and Eugene Bagdasaryan. 2025.</w:t>
      </w:r>
      <w:r>
        <w:t xml:space="preserve"> </w:t>
      </w:r>
      <w:r>
        <w:t xml:space="preserve">“Contextual Agent Security: A Policy for Every Purpose.”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Workshop on Hot Topics in Operating Systems</w:t>
      </w:r>
      <w:r>
        <w:t xml:space="preserve">, 8–17.</w:t>
      </w:r>
      <w:r>
        <w:t xml:space="preserve"> </w:t>
      </w:r>
      <w:hyperlink r:id="rId117">
        <w:r>
          <w:rPr>
            <w:rStyle w:val="Hyperlink"/>
          </w:rPr>
          <w:t xml:space="preserve">https://doi.org/10.1145/3713082.3730378</w:t>
        </w:r>
      </w:hyperlink>
      <w:r>
        <w:t xml:space="preserve">.</w:t>
      </w:r>
    </w:p>
    <w:bookmarkEnd w:id="118"/>
    <w:bookmarkStart w:id="120" w:name="ref-L31"/>
    <w:p>
      <w:pPr>
        <w:pStyle w:val="Bibliography"/>
      </w:pPr>
      <w:r>
        <w:t xml:space="preserve">Wallace, Eric, Kai Xiao, Reimar Leike, Lilian Weng, Johannes Heidecke, and Alex Beutel. 2024.</w:t>
      </w:r>
      <w:r>
        <w:t xml:space="preserve"> </w:t>
      </w:r>
      <w:r>
        <w:t xml:space="preserve">“The Instruction Hierarchy: Training LLMs to Prioritize Privileged Instructions.”</w:t>
      </w:r>
      <w:r>
        <w:t xml:space="preserve"> </w:t>
      </w:r>
      <w:hyperlink r:id="rId119">
        <w:r>
          <w:rPr>
            <w:rStyle w:val="Hyperlink"/>
          </w:rPr>
          <w:t xml:space="preserve">https://arxiv.org/abs/2404.13208</w:t>
        </w:r>
      </w:hyperlink>
      <w:r>
        <w:t xml:space="preserve">.</w:t>
      </w:r>
    </w:p>
    <w:bookmarkEnd w:id="120"/>
    <w:bookmarkStart w:id="122" w:name="ref-L20"/>
    <w:p>
      <w:pPr>
        <w:pStyle w:val="Bibliography"/>
      </w:pPr>
      <w:r>
        <w:t xml:space="preserve">Wang, Haoyu, Christopher M. Poskitt, and Jun Sun. 2026.</w:t>
      </w:r>
      <w:r>
        <w:t xml:space="preserve"> </w:t>
      </w:r>
      <w:r>
        <w:t xml:space="preserve">“AgentSpec: Customizable Runtime Enforcement for Safe and Reliable LLM Agents.”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2026 IEEE/ACM 48th International Conference on Software Engineering (ICSE)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https://conf.researchr.org/details/icse-2026/icse-2026-research-track/29/AgentSpec-Customizable-Runtime-Enforcement-for-Safe-and-Reliable-LLM-Agents</w:t>
        </w:r>
      </w:hyperlink>
      <w:r>
        <w:t xml:space="preserve">.</w:t>
      </w:r>
    </w:p>
    <w:bookmarkEnd w:id="122"/>
    <w:bookmarkStart w:id="124" w:name="ref-L22"/>
    <w:p>
      <w:pPr>
        <w:pStyle w:val="Bibliography"/>
      </w:pPr>
      <w:r>
        <w:t xml:space="preserve">Wang, Peiran, Ying Li, and Yuan Tian. 2026.</w:t>
      </w:r>
      <w:r>
        <w:t xml:space="preserve"> </w:t>
      </w:r>
      <w:r>
        <w:t xml:space="preserve">“Aligning Provenance with Authorization: A Dual-Graph Defense for LLM Agents.”</w:t>
      </w:r>
      <w:r>
        <w:t xml:space="preserve"> </w:t>
      </w:r>
      <w:hyperlink r:id="rId123">
        <w:r>
          <w:rPr>
            <w:rStyle w:val="Hyperlink"/>
          </w:rPr>
          <w:t xml:space="preserve">https://arxiv.org/abs/2605.26497</w:t>
        </w:r>
      </w:hyperlink>
      <w:r>
        <w:t xml:space="preserve">.</w:t>
      </w:r>
    </w:p>
    <w:bookmarkEnd w:id="124"/>
    <w:bookmarkStart w:id="126" w:name="ref-L21"/>
    <w:p>
      <w:pPr>
        <w:pStyle w:val="Bibliography"/>
      </w:pPr>
      <w:r>
        <w:t xml:space="preserve">Weng, Shihao, Yang Feng, Jinrui Zhang, Xiaofei Xie, Jiongchi Yu, and Jia Liu. 2026.</w:t>
      </w:r>
      <w:r>
        <w:t xml:space="preserve"> </w:t>
      </w:r>
      <w:r>
        <w:t xml:space="preserve">“ARGUS: Defending LLM Agents Against Context-Aware Prompt Injection.”</w:t>
      </w:r>
      <w:r>
        <w:t xml:space="preserve"> </w:t>
      </w:r>
      <w:hyperlink r:id="rId125">
        <w:r>
          <w:rPr>
            <w:rStyle w:val="Hyperlink"/>
          </w:rPr>
          <w:t xml:space="preserve">https://arxiv.org/abs/2605.03378</w:t>
        </w:r>
      </w:hyperlink>
      <w:r>
        <w:t xml:space="preserve">.</w:t>
      </w:r>
    </w:p>
    <w:bookmarkEnd w:id="126"/>
    <w:bookmarkStart w:id="128" w:name="ref-L10"/>
    <w:p>
      <w:pPr>
        <w:pStyle w:val="Bibliography"/>
      </w:pPr>
      <w:r>
        <w:t xml:space="preserve">Zhan, Qiusi, Zhixiang Liang, Zifan Ying, and Daniel Kang. 2024.</w:t>
      </w:r>
      <w:r>
        <w:t xml:space="preserve"> </w:t>
      </w:r>
      <w:r>
        <w:t xml:space="preserve">“</w:t>
      </w:r>
      <w:r>
        <w:t xml:space="preserve">I</w:t>
      </w:r>
      <w:r>
        <w:t xml:space="preserve">njec</w:t>
      </w:r>
      <w:r>
        <w:t xml:space="preserve">A</w:t>
      </w:r>
      <w:r>
        <w:t xml:space="preserve">gent: Benchmarking Indirect Prompt Injections in Tool-Integrated Large Language Model Agents.”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Findings of the Association for Computational Linguistics: ACL 2024</w:t>
      </w:r>
      <w:r>
        <w:t xml:space="preserve">, edited by Lun-Wei Ku, Andre Martins, and Vivek Srikumar, 10471–506. Bangkok, Thailand: Association for Computational Linguistics.</w:t>
      </w:r>
      <w:r>
        <w:t xml:space="preserve"> </w:t>
      </w:r>
      <w:hyperlink r:id="rId127">
        <w:r>
          <w:rPr>
            <w:rStyle w:val="Hyperlink"/>
          </w:rPr>
          <w:t xml:space="preserve">https://doi.org/10.18653/v1/2024.findings-acl.624</w:t>
        </w:r>
      </w:hyperlink>
      <w:r>
        <w:t xml:space="preserve">.</w:t>
      </w:r>
    </w:p>
    <w:bookmarkEnd w:id="128"/>
    <w:bookmarkStart w:id="130" w:name="ref-L34"/>
    <w:p>
      <w:pPr>
        <w:pStyle w:val="Bibliography"/>
      </w:pPr>
      <w:r>
        <w:t xml:space="preserve">Zhang, Hanrong, Jingyuan Huang, Kai Mei, Yifei Yao, Zhenting Wang, Chenlu Zhan, Hongwei Wang, and Yongfeng Zhang. 2025.</w:t>
      </w:r>
      <w:r>
        <w:t xml:space="preserve"> </w:t>
      </w:r>
      <w:r>
        <w:t xml:space="preserve">“Agent Security Bench (ASB): Formalizing and Benchmarking Attacks and Defenses in LLM-Based Agents.”</w:t>
      </w:r>
      <w:r>
        <w:t xml:space="preserve"> </w:t>
      </w:r>
      <w:r>
        <w:rPr>
          <w:iCs/>
          <w:i/>
        </w:rPr>
        <w:t xml:space="preserve">International Conference on Learning Representations</w:t>
      </w:r>
      <w:r>
        <w:t xml:space="preserve"> </w:t>
      </w:r>
      <w:r>
        <w:t xml:space="preserve">2025: 35331–66.</w:t>
      </w:r>
      <w:r>
        <w:t xml:space="preserve"> </w:t>
      </w:r>
      <w:hyperlink r:id="rId129">
        <w:r>
          <w:rPr>
            <w:rStyle w:val="Hyperlink"/>
          </w:rPr>
          <w:t xml:space="preserve">https://proceedings.iclr.cc/paper_files/paper/2025/hash/5750f91d8fb9d5c02bd8ad2c3b44456b-Abstract-Conference.html</w:t>
        </w:r>
      </w:hyperlink>
      <w:r>
        <w:t xml:space="preserve">.</w:t>
      </w:r>
    </w:p>
    <w:bookmarkEnd w:id="130"/>
    <w:bookmarkStart w:id="132" w:name="ref-L36"/>
    <w:p>
      <w:pPr>
        <w:pStyle w:val="Bibliography"/>
      </w:pPr>
      <w:r>
        <w:t xml:space="preserve">Zhang, Yifan, Xinkui Zhao, Sai Liu, Hengxuan Lou, Guanjie Cheng, and Chang Liu. 2026.</w:t>
      </w:r>
      <w:r>
        <w:t xml:space="preserve"> </w:t>
      </w:r>
      <w:r>
        <w:t xml:space="preserve">“FAVA: Formal Authorization for Verified Agents with Evidence-Backed Permission Graphs.”</w:t>
      </w:r>
      <w:r>
        <w:t xml:space="preserve"> </w:t>
      </w:r>
      <w:hyperlink r:id="rId131">
        <w:r>
          <w:rPr>
            <w:rStyle w:val="Hyperlink"/>
          </w:rPr>
          <w:t xml:space="preserve">https://arxiv.org/abs/2607.27267</w:t>
        </w:r>
      </w:hyperlink>
      <w:r>
        <w:t xml:space="preserve">.</w:t>
      </w:r>
    </w:p>
    <w:bookmarkEnd w:id="132"/>
    <w:bookmarkEnd w:id="133"/>
    <w:bookmarkEnd w:id="134"/>
    <w:bookmarkEnd w:id="135"/>
    <w:sectPr>
      <w:headerReference w:type="default" r:id="rId9"/>
      <w:footerReference w:type="default" r:id="rId10"/>
      <w:type w:val="continuous"/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Runtime Authorization for Tool-Using LLM Agents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76" w:lineRule="auto"/>
      <w:jc w:val="both"/>
    </w:pPr>
    <w:rPr>
      <w:rFonts w:ascii="Times New Roman" w:hAnsi="Times New Roman" w:eastAsia="Times New Roman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0" w:line="276" w:lineRule="auto"/>
      <w:jc w:val="both"/>
    </w:pPr>
    <w:qFormat/>
    <w:rPr>
      <w:rFonts w:ascii="Times New Roman" w:hAnsi="Times New Roman" w:eastAsia="Times New Roman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76" w:lineRule="auto"/>
      <w:jc w:val="both"/>
    </w:pPr>
    <w:rPr>
      <w:rFonts w:ascii="Times New Roman" w:hAnsi="Times New Roman" w:eastAsia="Times New Roman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0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70" Type="http://schemas.openxmlformats.org/officeDocument/2006/relationships/image" Target="media/rId70.png"/><Relationship Id="rId71" Type="http://schemas.openxmlformats.org/officeDocument/2006/relationships/image" Target="media/rId71.png"/><Relationship Id="rId72" Type="http://schemas.openxmlformats.org/officeDocument/2006/relationships/image" Target="media/rId72.png"/><Relationship Id="rId73" Type="http://schemas.openxmlformats.org/officeDocument/2006/relationships/image" Target="media/rId73.png"/><Relationship Id="rId74" Type="http://schemas.openxmlformats.org/officeDocument/2006/relationships/image" Target="media/rId74.png"/><Relationship Id="rId103" Type="http://schemas.openxmlformats.org/officeDocument/2006/relationships/hyperlink" Target="https://arxiv.org/abs/2403.14720" TargetMode="External"/><Relationship Id="rId119" Type="http://schemas.openxmlformats.org/officeDocument/2006/relationships/hyperlink" Target="https://arxiv.org/abs/2404.13208" TargetMode="External"/><Relationship Id="rId97" Type="http://schemas.openxmlformats.org/officeDocument/2006/relationships/hyperlink" Target="https://arxiv.org/abs/2503.18813" TargetMode="External"/><Relationship Id="rId115" Type="http://schemas.openxmlformats.org/officeDocument/2006/relationships/hyperlink" Target="https://arxiv.org/abs/2504.11703" TargetMode="External"/><Relationship Id="rId113" Type="http://schemas.openxmlformats.org/officeDocument/2006/relationships/hyperlink" Target="https://arxiv.org/abs/2510.09023" TargetMode="External"/><Relationship Id="rId101" Type="http://schemas.openxmlformats.org/officeDocument/2006/relationships/hyperlink" Target="https://arxiv.org/abs/2604.10134" TargetMode="External"/><Relationship Id="rId125" Type="http://schemas.openxmlformats.org/officeDocument/2006/relationships/hyperlink" Target="https://arxiv.org/abs/2605.03378" TargetMode="External"/><Relationship Id="rId123" Type="http://schemas.openxmlformats.org/officeDocument/2006/relationships/hyperlink" Target="https://arxiv.org/abs/2605.26497" TargetMode="External"/><Relationship Id="rId109" Type="http://schemas.openxmlformats.org/officeDocument/2006/relationships/hyperlink" Target="https://arxiv.org/abs/2607.20827" TargetMode="External"/><Relationship Id="rId131" Type="http://schemas.openxmlformats.org/officeDocument/2006/relationships/hyperlink" Target="https://arxiv.org/abs/2607.27267" TargetMode="External"/><Relationship Id="rId121" Type="http://schemas.openxmlformats.org/officeDocument/2006/relationships/hyperlink" Target="https://conf.researchr.org/details/icse-2026/icse-2026-research-track/29/AgentSpec-Customizable-Runtime-Enforcement-for-Safe-and-Reliable-LLM-Agents" TargetMode="External"/><Relationship Id="rId117" Type="http://schemas.openxmlformats.org/officeDocument/2006/relationships/hyperlink" Target="https://doi.org/10.1145/3713082.3730378" TargetMode="External"/><Relationship Id="rId127" Type="http://schemas.openxmlformats.org/officeDocument/2006/relationships/hyperlink" Target="https://doi.org/10.18653/v1/2024.findings-acl.624" TargetMode="External"/><Relationship Id="rId105" Type="http://schemas.openxmlformats.org/officeDocument/2006/relationships/hyperlink" Target="https://doi.org/10.18653/v1/2025.acl-long.1435" TargetMode="External"/><Relationship Id="rId95" Type="http://schemas.openxmlformats.org/officeDocument/2006/relationships/hyperlink" Target="https://doi.org/10.18653/v1/2025.acl-long.890" TargetMode="External"/><Relationship Id="rId91" Type="http://schemas.openxmlformats.org/officeDocument/2006/relationships/hyperlink" Target="https://doi.org/10.18653/v1/2025.emnlp-main.53" TargetMode="External"/><Relationship Id="rId111" Type="http://schemas.openxmlformats.org/officeDocument/2006/relationships/hyperlink" Target="https://doi.org/10.18653/v1/2026.acl-long.443" TargetMode="External"/><Relationship Id="rId99" Type="http://schemas.openxmlformats.org/officeDocument/2006/relationships/hyperlink" Target="https://doi.org/10.52202/079017-2636" TargetMode="External"/><Relationship Id="rId107" Type="http://schemas.openxmlformats.org/officeDocument/2006/relationships/hyperlink" Target="https://doi.org/10.52202/085713-2791" TargetMode="External"/><Relationship Id="rId129" Type="http://schemas.openxmlformats.org/officeDocument/2006/relationships/hyperlink" Target="https://proceedings.iclr.cc/paper_files/paper/2025/hash/5750f91d8fb9d5c02bd8ad2c3b44456b-Abstract-Conference.html" TargetMode="External"/><Relationship Id="rId93" Type="http://schemas.openxmlformats.org/officeDocument/2006/relationships/hyperlink" Target="https://www.usenix.org/conference/usenixsecurity25/presentation/chen-sizhe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https://arxiv.org/abs/2403.14720" TargetMode="External"/><Relationship Id="rId119" Type="http://schemas.openxmlformats.org/officeDocument/2006/relationships/hyperlink" Target="https://arxiv.org/abs/2404.13208" TargetMode="External"/><Relationship Id="rId97" Type="http://schemas.openxmlformats.org/officeDocument/2006/relationships/hyperlink" Target="https://arxiv.org/abs/2503.18813" TargetMode="External"/><Relationship Id="rId115" Type="http://schemas.openxmlformats.org/officeDocument/2006/relationships/hyperlink" Target="https://arxiv.org/abs/2504.11703" TargetMode="External"/><Relationship Id="rId113" Type="http://schemas.openxmlformats.org/officeDocument/2006/relationships/hyperlink" Target="https://arxiv.org/abs/2510.09023" TargetMode="External"/><Relationship Id="rId101" Type="http://schemas.openxmlformats.org/officeDocument/2006/relationships/hyperlink" Target="https://arxiv.org/abs/2604.10134" TargetMode="External"/><Relationship Id="rId125" Type="http://schemas.openxmlformats.org/officeDocument/2006/relationships/hyperlink" Target="https://arxiv.org/abs/2605.03378" TargetMode="External"/><Relationship Id="rId123" Type="http://schemas.openxmlformats.org/officeDocument/2006/relationships/hyperlink" Target="https://arxiv.org/abs/2605.26497" TargetMode="External"/><Relationship Id="rId109" Type="http://schemas.openxmlformats.org/officeDocument/2006/relationships/hyperlink" Target="https://arxiv.org/abs/2607.20827" TargetMode="External"/><Relationship Id="rId131" Type="http://schemas.openxmlformats.org/officeDocument/2006/relationships/hyperlink" Target="https://arxiv.org/abs/2607.27267" TargetMode="External"/><Relationship Id="rId121" Type="http://schemas.openxmlformats.org/officeDocument/2006/relationships/hyperlink" Target="https://conf.researchr.org/details/icse-2026/icse-2026-research-track/29/AgentSpec-Customizable-Runtime-Enforcement-for-Safe-and-Reliable-LLM-Agents" TargetMode="External"/><Relationship Id="rId117" Type="http://schemas.openxmlformats.org/officeDocument/2006/relationships/hyperlink" Target="https://doi.org/10.1145/3713082.3730378" TargetMode="External"/><Relationship Id="rId127" Type="http://schemas.openxmlformats.org/officeDocument/2006/relationships/hyperlink" Target="https://doi.org/10.18653/v1/2024.findings-acl.624" TargetMode="External"/><Relationship Id="rId105" Type="http://schemas.openxmlformats.org/officeDocument/2006/relationships/hyperlink" Target="https://doi.org/10.18653/v1/2025.acl-long.1435" TargetMode="External"/><Relationship Id="rId95" Type="http://schemas.openxmlformats.org/officeDocument/2006/relationships/hyperlink" Target="https://doi.org/10.18653/v1/2025.acl-long.890" TargetMode="External"/><Relationship Id="rId91" Type="http://schemas.openxmlformats.org/officeDocument/2006/relationships/hyperlink" Target="https://doi.org/10.18653/v1/2025.emnlp-main.53" TargetMode="External"/><Relationship Id="rId111" Type="http://schemas.openxmlformats.org/officeDocument/2006/relationships/hyperlink" Target="https://doi.org/10.18653/v1/2026.acl-long.443" TargetMode="External"/><Relationship Id="rId99" Type="http://schemas.openxmlformats.org/officeDocument/2006/relationships/hyperlink" Target="https://doi.org/10.52202/079017-2636" TargetMode="External"/><Relationship Id="rId107" Type="http://schemas.openxmlformats.org/officeDocument/2006/relationships/hyperlink" Target="https://doi.org/10.52202/085713-2791" TargetMode="External"/><Relationship Id="rId129" Type="http://schemas.openxmlformats.org/officeDocument/2006/relationships/hyperlink" Target="https://proceedings.iclr.cc/paper_files/paper/2025/hash/5750f91d8fb9d5c02bd8ad2c3b44456b-Abstract-Conference.html" TargetMode="External"/><Relationship Id="rId93" Type="http://schemas.openxmlformats.org/officeDocument/2006/relationships/hyperlink" Target="https://www.usenix.org/conference/usenixsecurity25/presentation/chen-siz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Runtime Authorization Under Context and Provenance Uncertainty for Tool-Using LLM Agents</dc:title>
  <dc:creator/>
  <cp:keywords/>
  <dcterms:created xsi:type="dcterms:W3CDTF">2026-08-23T11:54:31Z</dcterms:created>
  <dcterms:modified xsi:type="dcterms:W3CDTF">2026-08-23T11:54:31Z</dcterms:modified>
  <dc:subject>JISA working manuscript</dc:subject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E:\M3_PI_Guard_test\docs\research\paper_v2\manuscript\references_v1.bib</vt:lpwstr>
  </property>
  <property fmtid="{D5CDD505-2E9C-101B-9397-08002B2CF9AE}" pid="3" name="reference-section-title">
    <vt:lpwstr>References</vt:lpwstr>
  </property>
</Properties>
</file>