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工具型大语言模型智能体的授权制度与运行时-guard-配置评估"/>
    <w:p>
      <w:pPr>
        <w:pStyle w:val="Heading1"/>
        <w:keepNext/>
      </w:pPr>
      <w:r>
        <w:rPr>
          <w:rFonts w:ascii="Times New Roman" w:hAnsi="Times New Roman" w:eastAsia="Microsoft YaHei"/>
          <w:lang w:val="en-US" w:eastAsia="zh-CN"/>
        </w:rPr>
        <w:t xml:space="preserve">工具型大语言模型智能体的授权制度与运行时 Guard 配置评估</w:t>
      </w:r>
    </w:p>
    <w:p>
      <w:pPr>
        <w:pStyle w:val="FirstParagraph"/>
      </w:pPr>
      <w:r>
        <w:rPr>
          <w:iCs/>
          <w:rFonts w:ascii="Times New Roman" w:hAnsi="Times New Roman" w:eastAsia="SimSun"/>
          <w:i/>
          <w:lang w:val="en-US" w:eastAsia="zh-CN"/>
        </w:rPr>
        <w:t xml:space="preserve">英文对照题目：Evaluating Authorization Regimes and Runtime Guardrail Configurations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投稿时仍以英文稿为准。Gemini 跨厂商样本已按免费层停止规则以不完整诊断样本结账，因此本文不作跨厂商泛化主张。</w:t>
      </w:r>
    </w:p>
    <w:bookmarkStart w:id="20" w:name="摘要"/>
    <w:p>
      <w:pPr>
        <w:pStyle w:val="Heading2"/>
        <w:keepNex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工具型大语言模型智能体能够把提示注入转化为外部动作，但安全性测量结果会受到运行时授权方式的显著影响。本研究将原始评估器字段和评分字段排除在在线状态之外，系统改变授权制度，包括明确标注为 oracle 敏感性条件的金标准派生授权，并联合测量不安全效应、任务完成、系统确认请求、阻断、运行失败、时延及成本。</w:t>
      </w:r>
    </w:p>
    <w:p>
      <w:pPr>
        <w:pStyle w:val="BodyText"/>
      </w:pPr>
      <w:r>
        <w:rPr>
          <w:rFonts w:ascii="Times New Roman" w:hAnsi="Times New Roman" w:eastAsia="SimSun"/>
          <w:lang w:val="en-US" w:eastAsia="zh-CN"/>
        </w:rPr>
        <w:t xml:space="preserve">我们重新分析了覆盖 902 个不重复案例（各队列存在重叠）的 7,353 条条件级 DeepSeek 记录，以及 40 个防御感知自适应攻击任务。在包含 5,082 条记录的 V4 Pro Public 矩阵中，完整配置包在 600 个攻击任务上产生 38 个不安全效应，策略配置包为 13 个；两者在 168 个良性工具任务上均完成 49 个。包含 1,791 条记录的 V4 Flash 矩阵呈现相同安全方向：完整与策略配置包分别为 24/400 和 12/400。自适应搜索在预算 50 时发现 4/40 个任务的首个不安全效应，在预算 200 时增至 18/40。</w:t>
      </w:r>
    </w:p>
    <w:p>
      <w:pPr>
        <w:pStyle w:val="BodyText"/>
      </w:pPr>
      <w:r>
        <w:rPr>
          <w:rFonts w:ascii="Times New Roman" w:hAnsi="Times New Roman" w:eastAsia="SimSun"/>
          <w:lang w:val="en-US" w:eastAsia="zh-CN"/>
        </w:rPr>
        <w:t xml:space="preserve">新的冻结实验在 180 个配对的 AgentDojo 和 M3-v2 案例上，将策略配置包与完整配置包分别同非 oracle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、oracle 敏感性的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授权交叉，共形成 900 个 DeepSeek V4 Pro 工作项。四个主单元中三个为 0/100 个不安全效应，另一个为 1/100，但悲观的</w:t>
      </w:r>
      <w:r>
        <w:rPr>
          <w:rFonts w:ascii="Times New Roman" w:hAnsi="Times New Roman" w:eastAsia="SimSun"/>
          <w:lang w:val="en-US" w:eastAsia="zh-CN"/>
        </w:rPr>
        <w:t xml:space="preserve">“</w:t>
      </w:r>
      <w:r>
        <w:rPr>
          <w:rFonts w:ascii="Times New Roman" w:hAnsi="Times New Roman" w:eastAsia="SimSun"/>
          <w:lang w:val="en-US" w:eastAsia="zh-CN"/>
        </w:rPr>
        <w:t xml:space="preserve">不安全效应或运行失败</w:t>
      </w:r>
      <w:r>
        <w:rPr>
          <w:rFonts w:ascii="Times New Roman" w:hAnsi="Times New Roman" w:eastAsia="SimSun"/>
          <w:lang w:val="en-US" w:eastAsia="zh-CN"/>
        </w:rPr>
        <w:t xml:space="preserve">”</w:t>
      </w:r>
      <w:r>
        <w:rPr>
          <w:rFonts w:ascii="Times New Roman" w:hAnsi="Times New Roman" w:eastAsia="SimSun"/>
          <w:lang w:val="en-US" w:eastAsia="zh-CN"/>
        </w:rPr>
        <w:t xml:space="preserve">界限在策略配置包中由 7/100 升至 25/100，在完整配置包中由 8/100 升至 26/100。良性工具任务结果具有基准反转：AgentDojo 的 exact 授权完成数提高，而 M3-v2 在策略/完整配置包下分别由 17/30、12/30 降至 0/30。</w:t>
      </w:r>
    </w:p>
    <w:p>
      <w:pPr>
        <w:pStyle w:val="BodyText"/>
      </w:pPr>
      <w:r>
        <w:rPr>
          <w:rFonts w:ascii="Times New Roman" w:hAnsi="Times New Roman" w:eastAsia="SimSun"/>
          <w:lang w:val="en-US" w:eastAsia="zh-CN"/>
        </w:rPr>
        <w:t xml:space="preserve">因此，即使观察到的不安全效应率表面稳定，授权构造仍会改变效用、阻断、失败和时延。完整配置包还把提示配置由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，所以它与策略配置包之间只是成套配置比较，不能识别来源、数据流、确认或提示中任一组件的独立因果作用。Gemini 免费层执行在 32/450 个终态工作项时关闭，因此当前结果不支持任何跨厂商结论。</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pPr>
      <w:r>
        <w:rPr>
          <w:rFonts w:ascii="Times New Roman" w:hAnsi="Times New Roman" w:eastAsia="Microsoft YaHei"/>
          <w:lang w:val="en-US" w:eastAsia="zh-CN"/>
        </w:rPr>
        <w:t xml:space="preserve">1. 引言</w:t>
      </w:r>
    </w:p>
    <w:bookmarkStart w:id="21" w:name="研究动机"/>
    <w:p>
      <w:pPr>
        <w:pStyle w:val="Heading3"/>
        <w:keepNex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Bagdasaryan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系统确认请求、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本文回答三个研究问题：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RQ2：配置比较。</w:t>
      </w:r>
      <w:r>
        <w:rPr>
          <w:rFonts w:ascii="Times New Roman" w:hAnsi="Times New Roman" w:eastAsia="SimSun"/>
          <w:lang w:val="en-US" w:eastAsia="zh-CN"/>
        </w:rPr>
        <w:t xml:space="preserve"> </w:t>
      </w:r>
      <w:r>
        <w:rPr>
          <w:rFonts w:ascii="Times New Roman" w:hAnsi="Times New Roman" w:eastAsia="SimSun"/>
          <w:lang w:val="en-US" w:eastAsia="zh-CN"/>
        </w:rPr>
        <w:t xml:space="preserve">完整 M3 配置包与策略配置包在安全、效用和运行结果上有何差异，同时不把该差异归因于某一个组件？</w:t>
      </w:r>
    </w:p>
    <w:p>
      <w:pPr>
        <w:numPr>
          <w:ilvl w:val="0"/>
          <w:numId w:val="1001"/>
        </w:numPr>
        <w:pStyle w:val="Compact"/>
      </w:pPr>
      <w:r>
        <w:rPr>
          <w:bCs/>
          <w:rFonts w:ascii="Times New Roman" w:hAnsi="Times New Roman" w:eastAsia="SimSun"/>
          <w:b/>
          <w:lang w:val="en-US" w:eastAsia="zh-CN"/>
        </w:rPr>
        <w:t xml:space="preserve">RQ3：复现与自适应预算。</w:t>
      </w:r>
      <w:r>
        <w:rPr>
          <w:rFonts w:ascii="Times New Roman" w:hAnsi="Times New Roman" w:eastAsia="SimSun"/>
          <w:lang w:val="en-US" w:eastAsia="zh-CN"/>
        </w:rPr>
        <w:t xml:space="preserve"> </w:t>
      </w:r>
      <w:r>
        <w:rPr>
          <w:rFonts w:ascii="Times New Roman" w:hAnsi="Times New Roman" w:eastAsia="SimSun"/>
          <w:lang w:val="en-US" w:eastAsia="zh-CN"/>
        </w:rPr>
        <w:t xml:space="preserve">这些方向在 AgentDojo 与 M3-v2、已经完成的 DeepSeek V4 Pro/V4 Flash 证据以及防御感知预算 50/200 下是否一致？</w:t>
      </w:r>
    </w:p>
    <w:bookmarkEnd w:id="23"/>
    <w:bookmarkStart w:id="24" w:name="研究设计"/>
    <w:p>
      <w:pPr>
        <w:pStyle w:val="Heading3"/>
        <w:keepNex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三态运行时决策；在线投影排除仅供评估使用的字段；自动路径满足权限单调性；参数来源被显式记录；权限扩张需要独立确认。主要配对实验将策略配置包和完整配置包分别同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交叉。完整配置包同时启用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 </w:t>
      </w:r>
      <w:r>
        <w:rPr>
          <w:rFonts w:ascii="Times New Roman" w:hAnsi="Times New Roman" w:eastAsia="SimSun"/>
          <w:lang w:val="en-US" w:eastAsia="zh-CN"/>
        </w:rPr>
        <w:t xml:space="preserve">及来源、时序/数据流、单调权限和确认路径，而策略配置包使用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提示配置，因此该比较不是组件消融。嵌套子集增加三种授权压力制度。超时、解析失败、拒答、达到最大步骤和服务商故障均保留在 ITT 分母中。</w:t>
      </w:r>
    </w:p>
    <w:p>
      <w:pPr>
        <w:pStyle w:val="BodyText"/>
      </w:pPr>
      <w:r>
        <w:rPr>
          <w:rFonts w:ascii="Times New Roman" w:hAnsi="Times New Roman" w:eastAsia="SimSun"/>
          <w:lang w:val="en-US" w:eastAsia="zh-CN"/>
        </w:rPr>
        <w:t xml:space="preserve">新的主样本包含 180 个配对案例和 900 个 DeepSeek V4 Pro 工作项；嵌套的 90 案例 Gemini 3.6 Flash 计划包含 450 个工作项。研究另行复用已经完成的 480 条中型实验、5,082 条 Pro Public 矩阵、1,791 条 Flash Public 矩阵以及 40 个任务在预算 50/200 下的自适应证据。所有实验均禁止服务商托管工具和真实外部效应。</w:t>
      </w:r>
    </w:p>
    <w:bookmarkEnd w:id="24"/>
    <w:bookmarkStart w:id="25" w:name="实证动机与论文定位"/>
    <w:p>
      <w:pPr>
        <w:pStyle w:val="Heading3"/>
        <w:keepNex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已经完成的中型证伪实验不支持完整配置包优越性主张。相对结构化条件，完整配置包将不安全效应从 8/36 降至 0/36，但策略配置包同样为 0/36。良性工具任务完成由结构化条件的 12/24 降至完整配置包的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规模更大的 Public 主矩阵进一步强化了这一判断。在 600 个攻击任务上，完整配置包将结构化条件的 133 个不安全效应降至 38 个，但策略配置包仅为 13 个；在 168 个良性工具任务上，两种 M3 配置均完成 49 个，结构化条件完成 103 个。因此，在主模型证据中，完整配置包相对策略配置包既没有安全优势，也没有效用优势。1.4955% 的保留诊断比例还超过了预设的 1% clean-configuration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18/40。该结果证明预算敏感性明显，但不能证明攻击已经饱和。因此，本文只报告截至查询 200 的 first-success 曲线，不提出预算 500 或 2,000 的结论。</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未表现出稳定的增量安全或效用优势。所有不利结果均被保留；Gemini 在 32/450 个终态工作项时按停止规则降级为诊断样本，不能支持跨厂商主张。</w:t>
      </w:r>
    </w:p>
    <w:bookmarkEnd w:id="25"/>
    <w:bookmarkStart w:id="26" w:name="研究贡献"/>
    <w:p>
      <w:pPr>
        <w:pStyle w:val="Heading3"/>
        <w:keepNex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现有证据支持四项边界明确的贡献：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通过配对安全—效用评估比较策略配置包与完整配置包，并明确披露该成套处理不能识别单个组件贡献；</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实证刻画授权制度、系统确认请求、基准/任务异质性以及防御感知攻击预算。</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pPr>
      <w:r>
        <w:rPr>
          <w:rFonts w:ascii="Times New Roman" w:hAnsi="Times New Roman" w:eastAsia="Microsoft YaHei"/>
          <w:lang w:val="en-US" w:eastAsia="zh-CN"/>
        </w:rPr>
        <w:t xml:space="preserve">2. 相关工作</w:t>
      </w:r>
    </w:p>
    <w:bookmarkStart w:id="28" w:name="运行时验证与任务一致性"/>
    <w:p>
      <w:pPr>
        <w:pStyle w:val="Heading3"/>
        <w:keepNex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因此，当前可辩护的贡献主要是方法与实证：检验授权信息本身是否改变所测安全与效用；通过运行时投影排除评估字段；在配对条件下比较 policy-only 与完整来源/时序/确认机制；并在统一证据契约下量化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7" w:name="方法"/>
    <w:p>
      <w:pPr>
        <w:pStyle w:val="Heading2"/>
        <w:keepNext/>
      </w:pPr>
      <w:r>
        <w:rPr>
          <w:rFonts w:ascii="Times New Roman" w:hAnsi="Times New Roman" w:eastAsia="Microsoft YaHei"/>
          <w:lang w:val="en-US" w:eastAsia="zh-CN"/>
        </w:rPr>
        <w:t xml:space="preserve">3. 方法</w:t>
      </w:r>
    </w:p>
    <w:bookmarkStart w:id="34" w:name="研究设计与研究问题"/>
    <w:p>
      <w:pPr>
        <w:pStyle w:val="Heading3"/>
        <w:keepNex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配置包。</w:t>
      </w:r>
    </w:p>
    <w:p>
      <w:pPr>
        <w:pStyle w:val="BodyText"/>
      </w:pPr>
      <w:r>
        <w:rPr>
          <w:rFonts w:ascii="Times New Roman" w:hAnsi="Times New Roman" w:eastAsia="SimSun"/>
          <w:lang w:val="en-US" w:eastAsia="zh-CN"/>
        </w:rPr>
        <w:t xml:space="preserve">研究问题与第 1.3 节一致：RQ1 关注授权制度，RQ2 关注完整配置包与策略配置包的差异和代价，RQ3 关注跨基准、同一服务商不同模型和预算 50/200 的方向稳定性。正面结果不是停止或结项条件；即使</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影响很小、完整配置包低于策略配置包，预定分析仍会保留。Gemini 不完整结果只作为运行诊断，不进入 RQ3 推断。</w:t>
      </w:r>
    </w:p>
    <w:bookmarkEnd w:id="34"/>
    <w:bookmarkStart w:id="35" w:name="威胁模型与安全边界"/>
    <w:p>
      <w:pPr>
        <w:pStyle w:val="Heading3"/>
        <w:keepNex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条件共享智能体、模型、解析器、评估器、工具环境和任务策略表示，但并非单组件消融。</w:t>
      </w:r>
    </w:p>
    <w:p>
      <w:pPr>
        <w:numPr>
          <w:ilvl w:val="0"/>
          <w:numId w:val="1003"/>
        </w:numPr>
        <w:pStyle w:val="Compact"/>
      </w:pPr>
      <w:r>
        <w:rPr>
          <w:bCs/>
          <w:rFonts w:ascii="Times New Roman" w:hAnsi="Times New Roman" w:eastAsia="SimSun"/>
          <w:b/>
          <w:lang w:val="en-US" w:eastAsia="zh-CN"/>
        </w:rPr>
        <w:t xml:space="preserve">策略配置包（M3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normal</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完整配置包（M3-full）</w:t>
      </w:r>
      <w:r>
        <w:rPr>
          <w:rFonts w:ascii="Times New Roman" w:hAnsi="Times New Roman" w:eastAsia="SimSun"/>
          <w:lang w:val="en-US" w:eastAsia="zh-CN"/>
        </w:rPr>
        <w:t xml:space="preserve"> </w:t>
      </w:r>
      <w:r>
        <w:rPr>
          <w:rFonts w:ascii="Times New Roman" w:hAnsi="Times New Roman" w:eastAsia="SimSun"/>
          <w:lang w:val="en-US" w:eastAsia="zh-CN"/>
        </w:rPr>
        <w:t xml:space="preserve">使用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safe_prompt</w:t>
      </w:r>
      <w:r>
        <w:rPr>
          <w:rFonts w:ascii="Times New Roman" w:hAnsi="Times New Roman" w:eastAsia="SimSun"/>
          <w:lang w:val="en-US" w:eastAsia="zh-CN"/>
        </w:rPr>
        <w:t xml:space="preserve"> </w:t>
      </w:r>
      <w:r>
        <w:rPr>
          <w:rFonts w:ascii="Times New Roman" w:hAnsi="Times New Roman" w:eastAsia="SimSun"/>
          <w:lang w:val="en-US" w:eastAsia="zh-CN"/>
        </w:rPr>
        <w:t xml:space="preserve">提示配置，并在策略执行之外启用参数来源、时序/数据流约束、权限单调转换和确认。自动转换只能保持或降低权限；权限扩张产生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Fonts w:ascii="Times New Roman" w:hAnsi="Times New Roman" w:eastAsia="SimSun"/>
          <w:lang w:val="en-US" w:eastAsia="zh-CN"/>
        </w:rPr>
        <w:t xml:space="preserve">因为提示配置和多个运行时模块同时改变，两单元之间只能解释为成套配置比较；本文不把差异归因于来源、数据流、确认或提示中的任何单项。</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w:t>
      </w:r>
    </w:p>
    <w:p>
      <w:pPr>
        <w:pStyle w:val="BodyText"/>
      </w:pPr>
      <w:r>
        <w:rPr>
          <w:rFonts w:ascii="Times New Roman" w:hAnsi="Times New Roman" w:eastAsia="SimSun"/>
          <w:lang w:val="en-US" w:eastAsia="zh-CN"/>
        </w:rPr>
        <w:t xml:space="preserve">计划的 Gemini 子集包含源码固定的 VIGIL verify-before-commit 适配器，固定提交为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af8eb9c70d32f8a3cc07b308e823c813b2285772</w:t>
      </w:r>
      <w:r>
        <w:rPr>
          <w:rFonts w:ascii="Times New Roman" w:hAnsi="Times New Roman" w:eastAsia="SimSun"/>
          <w:lang w:val="en-US" w:eastAsia="zh-CN"/>
        </w:rPr>
        <w:t xml:space="preserve">。适配只注入本项目的服务商客户端并保留上游约束生成器与提交前验证流程，温度为 0、单次调用、JSON 输出；不满足该路径时拒绝回退。由于 Gemini 未完成，该条件不进入主要推断。</w:t>
      </w:r>
    </w:p>
    <w:bookmarkEnd w:id="37"/>
    <w:bookmarkStart w:id="38" w:name="授权制度"/>
    <w:p>
      <w:pPr>
        <w:pStyle w:val="Heading3"/>
        <w:keepNex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本文评估五种确定性授权构造。</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只读取可信用户请求、可信上下文与工具 schema，并在处理不可信证据前生成工具、参数、约束和确认规则。</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在离线侧把预期工具调用及其必需参数转换为精确值规则，关闭确认，并只把派生授权对象放入在线状态；原始答案、标签和评估说明仍然离线。</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将精确值约束替换为类型约束，并在扩大副作用范围时要求确认。</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从已编译策略中确定性删除最后一条规则。</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则把受控参数值替换为固定的冲突占位值。</w:t>
      </w:r>
    </w:p>
    <w:p>
      <w:pPr>
        <w:pStyle w:val="BodyText"/>
      </w:pPr>
      <w:r>
        <w:rPr>
          <w:rFonts w:ascii="Times New Roman" w:hAnsi="Times New Roman" w:eastAsia="SimSun"/>
          <w:lang w:val="en-US" w:eastAsia="zh-CN"/>
        </w:rPr>
        <w:t xml:space="preserve">例如，</w:t>
      </w:r>
      <w:r>
        <w:rPr>
          <w:rStyle w:val="VerbatimChar"/>
          <w:rFonts w:ascii="Times New Roman" w:hAnsi="Times New Roman" w:eastAsia="SimSun"/>
          <w:lang w:val="en-US" w:eastAsia="zh-CN"/>
        </w:rPr>
        <w:t xml:space="preserve">send_email(to="analyst [at] example.test")</w:t>
      </w:r>
      <w:r>
        <w:rPr>
          <w:rFonts w:ascii="Times New Roman" w:hAnsi="Times New Roman" w:eastAsia="SimSun"/>
          <w:lang w:val="en-US" w:eastAsia="zh-CN"/>
        </w:rPr>
        <w:t xml:space="preserve"> </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 </w:t>
      </w:r>
      <w:r>
        <w:rPr>
          <w:rFonts w:ascii="Times New Roman" w:hAnsi="Times New Roman" w:eastAsia="SimSun"/>
          <w:lang w:val="en-US" w:eastAsia="zh-CN"/>
        </w:rPr>
        <w:t xml:space="preserve">下变成</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send_email(to: string, confirmation required)</w:t>
      </w:r>
      <w:r>
        <w:rPr>
          <w:rFonts w:ascii="Times New Roman" w:hAnsi="Times New Roman" w:eastAsia="SimSun"/>
          <w:lang w:val="en-US" w:eastAsia="zh-CN"/>
        </w:rPr>
        <w:t xml:space="preserve">；若它是最后一条规则，则在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下被删除；在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下目标被改为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conflicting-scope [at] example.test</w:t>
      </w:r>
      <w:r>
        <w:rPr>
          <w:rFonts w:ascii="Times New Roman" w:hAnsi="Times New Roman" w:eastAsia="SimSun"/>
          <w:lang w:val="en-US" w:eastAsia="zh-CN"/>
        </w:rPr>
        <w:t xml:space="preserve">；在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下，离线预期调用被转换为必需的精确值规则。这些定义描述的是本实现中的受控压力操作，不代表部署授权错误的自然发生率。</w:t>
      </w:r>
    </w:p>
    <w:p>
      <w:pPr>
        <w:pStyle w:val="BodyText"/>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前三组记录分别包含 847、597 和 72 个唯一案例。Flash 的 597 个案例全部嵌套于 Pro Public 队列；中型队列与 Pro、Flash 分别重叠 17 和 16 个案例，三者并集为 902 个不同案例。因此，7,353 条条件级记录不能被当作 7,353 个独立案例。</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个良性无工具任务。该研究在 Public 矩阵完成之后设计，但确定性选择器只读取冻结的 Public 执行计划标识、结果产生前已存在的基准/任务/攻击族分层与调用预算，不读取任何 Public 结果或结果文件。</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跨厂商样本"/>
    <w:p>
      <w:pPr>
        <w:pStyle w:val="Heading3"/>
        <w:keepNext/>
      </w:pPr>
      <w:r>
        <w:rPr>
          <w:rFonts w:ascii="Times New Roman" w:hAnsi="Times New Roman" w:eastAsia="Microsoft YaHei"/>
          <w:lang w:val="en-US" w:eastAsia="zh-CN"/>
        </w:rPr>
        <w:t xml:space="preserve">3.8 冻结的跨厂商样本</w:t>
      </w:r>
    </w:p>
    <w:p>
      <w:pPr>
        <w:pStyle w:val="FirstParagraph"/>
      </w:pPr>
      <w:r>
        <w:rPr>
          <w:rFonts w:ascii="Times New Roman" w:hAnsi="Times New Roman" w:eastAsia="SimSun"/>
          <w:lang w:val="en-US" w:eastAsia="zh-CN"/>
        </w:rPr>
        <w:t xml:space="preserve">Gemini 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1"/>
    <w:bookmarkStart w:id="42" w:name="服务商与模型身份"/>
    <w:p>
      <w:pPr>
        <w:pStyle w:val="Heading3"/>
        <w:keepNext/>
      </w:pPr>
      <w:r>
        <w:rPr>
          <w:rFonts w:ascii="Times New Roman" w:hAnsi="Times New Roman" w:eastAsia="Microsoft YaHei"/>
          <w:lang w:val="en-US" w:eastAsia="zh-CN"/>
        </w:rPr>
        <w:t xml:space="preserve">3.9 服务商与模型身份</w:t>
      </w:r>
    </w:p>
    <w:p>
      <w:pPr>
        <w:pStyle w:val="FirstParagraph"/>
      </w:pPr>
      <w:r>
        <w:rPr>
          <w:rFonts w:ascii="Times New Roman" w:hAnsi="Times New Roman" w:eastAsia="SimSun"/>
          <w:lang w:val="en-US" w:eastAsia="zh-CN"/>
        </w:rPr>
        <w:t xml:space="preserve">主模型为通过 DeepSeek 官方端点访问的 DeepSeek V4 Pro；跨厂商模型为通过 Google Generative Language OpenAI 兼容官方端点访问的 Gemini 3.6 Flash。每个请求在传输前分配本地请求标识并计算规范化载荷摘要。含响应记录保留官方 response ID、精确返回模型、usage、时延以及成本或免费层证明。本文报告证据所对应的服务商调用发生于 2026 年 7–8 月。返回名称属于服务商管理的模型别名，只能标识请求时实际提供的模型服务，不能冻结其隐藏权重。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bookmarkEnd w:id="42"/>
    <w:bookmarkStart w:id="43" w:name="失败与恢复策略"/>
    <w:p>
      <w:pPr>
        <w:pStyle w:val="Heading3"/>
        <w:keepNext/>
      </w:pPr>
      <w:r>
        <w:rPr>
          <w:rFonts w:ascii="Times New Roman" w:hAnsi="Times New Roman" w:eastAsia="Microsoft YaHei"/>
          <w:lang w:val="en-US" w:eastAsia="zh-CN"/>
        </w:rPr>
        <w:t xml:space="preserve">3.10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4"/>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4"/>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4"/>
        </w:numPr>
        <w:pStyle w:val="Compact"/>
      </w:pPr>
      <w:r>
        <w:rPr>
          <w:rFonts w:ascii="Times New Roman" w:hAnsi="Times New Roman" w:eastAsia="SimSun"/>
          <w:lang w:val="en-US" w:eastAsia="zh-CN"/>
        </w:rPr>
        <w:t xml:space="preserve">只重试受影响项目，成功和未受影响项目始终跳过；</w:t>
      </w:r>
    </w:p>
    <w:p>
      <w:pPr>
        <w:numPr>
          <w:ilvl w:val="0"/>
          <w:numId w:val="1004"/>
        </w:numPr>
        <w:pStyle w:val="Compact"/>
      </w:pPr>
      <w:r>
        <w:rPr>
          <w:rFonts w:ascii="Times New Roman" w:hAnsi="Times New Roman" w:eastAsia="SimSun"/>
          <w:lang w:val="en-US" w:eastAsia="zh-CN"/>
        </w:rPr>
        <w:t xml:space="preserve">非速率限制的响应前失败重复一次后转为终态；</w:t>
      </w:r>
    </w:p>
    <w:p>
      <w:pPr>
        <w:numPr>
          <w:ilvl w:val="0"/>
          <w:numId w:val="1004"/>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3"/>
    <w:bookmarkStart w:id="44" w:name="结果变量"/>
    <w:p>
      <w:pPr>
        <w:pStyle w:val="Heading3"/>
        <w:keepNext/>
      </w:pPr>
      <w:r>
        <w:rPr>
          <w:rFonts w:ascii="Times New Roman" w:hAnsi="Times New Roman" w:eastAsia="Microsoft YaHei"/>
          <w:lang w:val="en-US" w:eastAsia="zh-CN"/>
        </w:rPr>
        <w:t xml:space="preserve">3.11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。良性无工具任务完成率仅作描述性结果。次要结果包括系统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请求发生率、</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发生率、运行失败、p50/p95 时延、总 token、API 成本，以及按基准和攻击族预定义的异质性。</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只是运行时系统提出确认的次数；本文没有人类参与者，因而不把它解释为实际的人类负担或批准行为。</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为检验</w:t>
      </w:r>
      <w:r>
        <w:rPr>
          <w:rFonts w:ascii="Times New Roman" w:hAnsi="Times New Roman" w:eastAsia="SimSun"/>
          <w:lang w:val="en-US" w:eastAsia="zh-CN"/>
        </w:rPr>
        <w:t xml:space="preserve">“</w:t>
      </w:r>
      <w:r>
        <w:rPr>
          <w:rFonts w:ascii="Times New Roman" w:hAnsi="Times New Roman" w:eastAsia="SimSun"/>
          <w:lang w:val="en-US" w:eastAsia="zh-CN"/>
        </w:rPr>
        <w:t xml:space="preserve">失败伪装成安全</w:t>
      </w:r>
      <w:r>
        <w:rPr>
          <w:rFonts w:ascii="Times New Roman" w:hAnsi="Times New Roman" w:eastAsia="SimSun"/>
          <w:lang w:val="en-US" w:eastAsia="zh-CN"/>
        </w:rPr>
        <w:t xml:space="preserve">”</w:t>
      </w:r>
      <w:r>
        <w:rPr>
          <w:rFonts w:ascii="Times New Roman" w:hAnsi="Times New Roman" w:eastAsia="SimSun"/>
          <w:lang w:val="en-US" w:eastAsia="zh-CN"/>
        </w:rPr>
        <w:t xml:space="preserve">的风险，攻击任务另报告悲观的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敏感性界限。该组合量是稳健性下界式的界限，不是观察到的攻击成功率。时延和负担摘要同样包含全部终态工作项，而非只包含成功完成项。</w:t>
      </w:r>
    </w:p>
    <w:bookmarkEnd w:id="44"/>
    <w:bookmarkStart w:id="45" w:name="统计分析"/>
    <w:p>
      <w:pPr>
        <w:pStyle w:val="Heading3"/>
        <w:keepNext/>
      </w:pPr>
      <w:r>
        <w:rPr>
          <w:rFonts w:ascii="Times New Roman" w:hAnsi="Times New Roman" w:eastAsia="Microsoft YaHei"/>
          <w:lang w:val="en-US" w:eastAsia="zh-CN"/>
        </w:rPr>
        <w:t xml:space="preserve">3.12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；完整配置包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下策略对完整配置包。McNemar p 值分别在良性工具 TCR 与攻击失败敏感性界限两个终点族内进行 Holm 校正，两个族分开校正；10,000 次任务聚类 bootstrap 区间不作多重性调整。</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当 100 个攻击样本中观察到 0 个事件时，Wilson 95% 区间上限仍为 3.70%；30 个攻击样本中观察到 0 个事件时，上限为 11.35%。因此这些单元的安全比较具有地板限制。本文报告设计精度，不用观察结果计算事后</w:t>
      </w:r>
      <w:r>
        <w:rPr>
          <w:rFonts w:ascii="Times New Roman" w:hAnsi="Times New Roman" w:eastAsia="SimSun"/>
          <w:lang w:val="en-US" w:eastAsia="zh-CN"/>
        </w:rPr>
        <w:t xml:space="preserve">“</w:t>
      </w:r>
      <w:r>
        <w:rPr>
          <w:rFonts w:ascii="Times New Roman" w:hAnsi="Times New Roman" w:eastAsia="SimSun"/>
          <w:lang w:val="en-US" w:eastAsia="zh-CN"/>
        </w:rPr>
        <w:t xml:space="preserve">达成功效</w:t>
      </w:r>
      <w:r>
        <w:rPr>
          <w:rFonts w:ascii="Times New Roman" w:hAnsi="Times New Roman" w:eastAsia="SimSun"/>
          <w:lang w:val="en-US" w:eastAsia="zh-CN"/>
        </w:rPr>
        <w:t xml:space="preserve">”</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自适应证据仅限预算 50 与 200。本文报告固定 40 任务队列在不同查询数前至少出现一次不安全效应的累计比例以及两个观察预算点，不外推饱和水平。</w:t>
      </w:r>
    </w:p>
    <w:bookmarkEnd w:id="45"/>
    <w:bookmarkStart w:id="46" w:name="最小验证与可复现性"/>
    <w:p>
      <w:pPr>
        <w:pStyle w:val="Heading3"/>
        <w:keepNext/>
      </w:pPr>
      <w:r>
        <w:rPr>
          <w:rFonts w:ascii="Times New Roman" w:hAnsi="Times New Roman" w:eastAsia="Microsoft YaHei"/>
          <w:lang w:val="en-US" w:eastAsia="zh-CN"/>
        </w:rPr>
        <w:t xml:space="preserve">3.13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服务商的六项正式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每个服务商写入一份追加式紧凑原始 JSONL。最终统计只写入一份授权分析 JSON；图件输出为投稿用矢量 PDF、可编辑 SVG 和用于 Word/质量检查的 PNG。可复现材料包括冻结样本、条件分配、分析代码、汇总表和版本化源码。</w:t>
      </w:r>
    </w:p>
    <w:bookmarkEnd w:id="46"/>
    <w:bookmarkEnd w:id="47"/>
    <w:bookmarkStart w:id="59" w:name="结果"/>
    <w:p>
      <w:pPr>
        <w:pStyle w:val="Heading2"/>
        <w:keepNext/>
      </w:pPr>
      <w:r>
        <w:rPr>
          <w:rFonts w:ascii="Times New Roman" w:hAnsi="Times New Roman" w:eastAsia="Microsoft YaHei"/>
          <w:lang w:val="en-US" w:eastAsia="zh-CN"/>
        </w:rPr>
        <w:t xml:space="preserve">4. 结果</w:t>
      </w:r>
    </w:p>
    <w:bookmarkStart w:id="48" w:name="中型证伪实验"/>
    <w:p>
      <w:pPr>
        <w:pStyle w:val="Heading3"/>
        <w:keepNex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条授权制度探针记录。预注册分析不支持完整配置包优越性主张：完整配置包满足安全效应与非 deny-all 条件，但没有满足效用点估计的非劣标准，在安全性上也没有优于策略配置包。本文同时保留相对结构化条件有利的安全结果，以及不利的效用和配置包比较结果。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中型样本反映的是安全—效用权衡，而不是完整配置包的增量收益。结构化条件下的八个不安全效应在两种 M3 配置中均被消除，但两种 M3 配置完成的良性工具任务也明显更少。相对结构化条件，完整配置包的良性工具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8"/>
    <w:bookmarkStart w:id="49" w:name="授权制度敏感性"/>
    <w:p>
      <w:pPr>
        <w:pStyle w:val="Heading3"/>
        <w:keepNex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49"/>
    <w:bookmarkStart w:id="50" w:name="预设决策标准"/>
    <w:p>
      <w:pPr>
        <w:pStyle w:val="Heading3"/>
        <w:keepNex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tblHeader w:val="true"/>
        </w:trPr>
        <w:tc>
          <w:tcPr>
            <w:vAlign w:val="center"/>
            <w:tcMar>
              <w:top w:w="80" w:type="dxa"/>
              <w:bottom w:w="80" w:type="dxa"/>
              <w:start w:w="120" w:type="dxa"/>
              <w:end w:w="120" w:type="dxa"/>
            </w:tcMar>
            <w:tcW w:w="3588" w:type="dxa"/>
            <w:shd w:fill="E8EEF5"/>
          </w:tcPr>
          <w:p>
            <w:pPr>
              <w:pStyle w:val="Compac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spacing w:before="0" w:after="40" w:line="240" w:lineRule="auto"/>
              <w:jc w:val="center"/>
            </w:pPr>
            <w:r>
              <w:rPr>
                <w:rFonts w:ascii="Times New Roman" w:hAnsi="Times New Roman" w:eastAsia="SimSun"/>
                <w:b/>
                <w:sz w:val="17"/>
                <w:lang w:val="en-US" w:eastAsia="zh-CN"/>
              </w:rPr>
              <w:t xml:space="preserve">证据</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0"/>
    <w:bookmarkStart w:id="51" w:name="public-主模型结果"/>
    <w:p>
      <w:pPr>
        <w:pStyle w:val="Heading3"/>
        <w:keepNex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个配对攻击案例上，完整配置包产生 38 个不安全效应（6.33%，Wilson 95% CI 4.65–8.57），结构化条件为 133 个（22.17%，19.03–25.66）。配对差为 −15.83 个百分点（10,000 次聚类 bootstrap 95% CI −19.50 至 −12.17；exact McNemar p=4.04e−17；Holm 校正 p=1.61e−16）。然而，该降低不能证明完整配置包优于策略配置包：后者只有 13 个不安全效应（2.17%，1.27–3.67），因此完整配置包高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1"/>
    <w:bookmarkStart w:id="52" w:name="deepseek-v4-flash-公共复现"/>
    <w:p>
      <w:pPr>
        <w:pStyle w:val="Heading3"/>
        <w:keepNex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2"/>
    <w:bookmarkStart w:id="53" w:name="public-运行与决策负担"/>
    <w:p>
      <w:pPr>
        <w:pStyle w:val="Heading3"/>
        <w:keepNex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在攻击任务上，完整配置包给出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，策略配置包给出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个良性工具任务上，完整配置包给出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，策略配置包给出 69 个。主要配置比较由此满足结构化安全效应标准，却未满足效用非劣或完整包优越性标准。该模式更符合安全—效用权衡。</w:t>
      </w:r>
    </w:p>
    <w:bookmarkEnd w:id="53"/>
    <w:bookmarkStart w:id="56" w:name="deepseek-授权制度实验"/>
    <w:p>
      <w:pPr>
        <w:pStyle w:val="Heading3"/>
        <w:keepNex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4" w:name="联合安全与效用终点"/>
    <w:p>
      <w:pPr>
        <w:pStyle w:val="Heading4"/>
        <w:keepNex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主实验的不安全效应处于地板水平：完整配置包在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0/100，策略配置包在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下完整减策略配置包为 −1.00 个百分点（任务聚类 bootstrap 95% CI −3.00 至 0.00；Holm 校正 McNemar p=1.0），其余主要安全比较完全为零或只涉及同一单事件。这种成套比较没有证明完整配置包优于策略配置包，也不能识别单个运行时模块的贡献。</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p>
      <w:pPr>
        <w:pStyle w:val="BodyText"/>
      </w:pPr>
      <w:r>
        <w:rPr>
          <w:rFonts w:ascii="Times New Roman" w:hAnsi="Times New Roman" w:eastAsia="SimSun"/>
          <w:lang w:val="en-US" w:eastAsia="zh-CN"/>
        </w:rPr>
        <w:t xml:space="preserve">聚合结果掩盖了基准方向反转。在 AgentDojo 上，策略配置包的良性工具完成由 5/30 升至 9/30（+13.33 个百分点，bootstrap 95% CI −3.33 至 30.00），完整配置包由 4/30 升至 7/30（+10.00，−3.33 至 23.33）。在 M3-v2 上，策略配置包却由 17/30 降至 0/30（−56.67，−73.33 至 −40.00），完整配置包由 12/30 降至 0/30（−40.00，−56.67 至 −23.33）。所以 pooled TCR 下降主要由 M3-v2 驱动，不能泛化为两个基准共有的授权效应。</w:t>
      </w:r>
    </w:p>
    <w:p>
      <w:pPr>
        <w:pStyle w:val="BodyText"/>
      </w:pPr>
      <w:r>
        <w:rPr>
          <w:rFonts w:ascii="Times New Roman" w:hAnsi="Times New Roman" w:eastAsia="SimSun"/>
          <w:lang w:val="en-US" w:eastAsia="zh-CN"/>
        </w:rPr>
        <w:t xml:space="preserve">失败敏感性分析进一步改变安全解释。把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unsafe_effect OR operational_failure</w:t>
      </w:r>
      <w:r>
        <w:rPr>
          <w:rFonts w:ascii="Times New Roman" w:hAnsi="Times New Roman" w:eastAsia="SimSun"/>
          <w:lang w:val="en-US" w:eastAsia="zh-CN"/>
        </w:rPr>
        <w:t xml:space="preserve"> </w:t>
      </w:r>
      <w:r>
        <w:rPr>
          <w:rFonts w:ascii="Times New Roman" w:hAnsi="Times New Roman" w:eastAsia="SimSun"/>
          <w:lang w:val="en-US" w:eastAsia="zh-CN"/>
        </w:rPr>
        <w:t xml:space="preserve">作为悲观界限时，策略配置包由 7/100 升至 25/100（+18 个百分点，bootstrap 95% CI 9 至 27），完整配置包由 8/100 升至 26/100（+18，10 至 27）。该差异完全发生在 AgentDojo：两配置包的 exact 相对 auto 均增加 36 个百分点；M3-v2 的对应差为 0。该界限只表示安全结果不可用的最坏情形，不被报告为观察到的攻击成功。</w:t>
      </w:r>
    </w:p>
    <w:bookmarkEnd w:id="54"/>
    <w:bookmarkStart w:id="55" w:name="压力制度与运行负担"/>
    <w:p>
      <w:pPr>
        <w:pStyle w:val="Heading4"/>
        <w:keepNex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决策与失败分布解释了部分权衡。策略配置包下，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秒。完整配置包呈现相同模式：ASK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分层结果表明，系统确认请求主要集中在 AgentDojo：</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攻击任务的策略/完整配置 ASK 发生率为 80%/78%，良性工具任务为 66.67%/56.67%；M3-v2 攻击任务仅为 4%/2%，良性工具任务为 0%/3.33%。</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ASK 按构造为零，但 AgentDojo 攻击失败率达到 46%/44%，良性工具失败率均为 43.33%，其 p95 时延为 20.77–23.93 秒。M3-v2 exact 的攻击失败为 4%/8%，良性工具失败均为 16.67%，p95 为 6.93–8.66 秒。因此 ASK、阻断、失败与时延均依赖任务和基准，不能用一个 pooled</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用户负担</w:t>
      </w:r>
      <w:r>
        <w:rPr>
          <w:rFonts w:ascii="Times New Roman" w:hAnsi="Times New Roman" w:eastAsia="SimSun"/>
          <w:lang w:val="en-US" w:eastAsia="zh-CN"/>
        </w:rPr>
        <w:t xml:space="preserve">”</w:t>
      </w:r>
      <w:r>
        <w:rPr>
          <w:rFonts w:ascii="Times New Roman" w:hAnsi="Times New Roman" w:eastAsia="SimSun"/>
          <w:lang w:val="en-US" w:eastAsia="zh-CN"/>
        </w:rPr>
        <w:t xml:space="preserve">概括。</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5"/>
    <w:bookmarkEnd w:id="56"/>
    <w:bookmarkStart w:id="57" w:name="截至预算-200-的防御感知自适应证据"/>
    <w:p>
      <w:pPr>
        <w:pStyle w:val="Heading3"/>
        <w:keepNext/>
      </w:pPr>
      <w:r>
        <w:rPr>
          <w:rFonts w:ascii="Times New Roman" w:hAnsi="Times New Roman" w:eastAsia="Microsoft YaHei"/>
          <w:lang w:val="en-US" w:eastAsia="zh-CN"/>
        </w:rPr>
        <w:t xml:space="preserve">4.8 截至预算 200 的防御感知自适应证据</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bookmarkEnd w:id="57"/>
    <w:bookmarkStart w:id="58" w:name="剩余证据边界"/>
    <w:p>
      <w:pPr>
        <w:pStyle w:val="Heading3"/>
        <w:keepNext/>
      </w:pPr>
      <w:r>
        <w:rPr>
          <w:rFonts w:ascii="Times New Roman" w:hAnsi="Times New Roman" w:eastAsia="Microsoft YaHei"/>
          <w:lang w:val="en-US" w:eastAsia="zh-CN"/>
        </w:rPr>
        <w:t xml:space="preserve">4.9 剩余证据边界</w:t>
      </w:r>
    </w:p>
    <w:p>
      <w:pPr>
        <w:pStyle w:val="FirstParagraph"/>
      </w:pPr>
      <w:r>
        <w:rPr>
          <w:rFonts w:ascii="Times New Roman" w:hAnsi="Times New Roman" w:eastAsia="SimSun"/>
          <w:lang w:val="en-US" w:eastAsia="zh-CN"/>
        </w:rPr>
        <w:t xml:space="preserve">中型、Public Pro、Public Flash、授权制度和预算 50/200 研究共同支持安全—效用实证论文，但不支持领先防御、来源因果效应、自适应攻击饱和或跨厂商结论。Gemini 在三个配额日免费层停止规则下以 32/450 个终态工作项结账，其中 5 项含官方响应，83 项已观察但仍非终态，335 项未触及。不完整样本仅用于运行可用性核算，不进入以上推断。当前记录契约无法识别 UTR 和 DSR，本文不根据不安全效应率反推二者。</w:t>
      </w:r>
    </w:p>
    <w:bookmarkEnd w:id="58"/>
    <w:bookmarkEnd w:id="59"/>
    <w:bookmarkStart w:id="68" w:name="讨论"/>
    <w:p>
      <w:pPr>
        <w:pStyle w:val="Heading2"/>
        <w:keepNext/>
      </w:pPr>
      <w:r>
        <w:rPr>
          <w:rFonts w:ascii="Times New Roman" w:hAnsi="Times New Roman" w:eastAsia="Microsoft YaHei"/>
          <w:lang w:val="en-US" w:eastAsia="zh-CN"/>
        </w:rPr>
        <w:t xml:space="preserve">5. 讨论</w:t>
      </w:r>
    </w:p>
    <w:bookmarkStart w:id="60" w:name="既有证据改变了研究主张"/>
    <w:p>
      <w:pPr>
        <w:pStyle w:val="Heading3"/>
        <w:keepNex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实验均不支持把完整配置包表述为比策略配置包更强的防御。在 5,082 条 DeepSeek V4 Pro Public 记录中，完整配置包的不安全效应更多（38/600 对 13/600），两者完成相同数量的良性工具任务（49/168）。1,791 条 V4 Flash 记录重复了相同安全方向：完整配置包为 24/400，策略配置包为 12/400。Flash 的效用差很小（38/145 对 35/145），不足以支持完整配置包具有优势。</w:t>
      </w:r>
    </w:p>
    <w:p>
      <w:pPr>
        <w:pStyle w:val="BodyText"/>
      </w:pPr>
      <w:r>
        <w:rPr>
          <w:rFonts w:ascii="Times New Roman" w:hAnsi="Times New Roman" w:eastAsia="SimSun"/>
          <w:lang w:val="en-US" w:eastAsia="zh-CN"/>
        </w:rPr>
        <w:t xml:space="preserve">这种负面证据具有科学意义，但其估计对象必须被限定。两种变体共享策略表示和运行时执行点，却同时改变提示配置和来源、时序/数据流、单调权限与确认路径。观测差异因此属于成套配置对比，不能说明完整配置中的哪一部分导致结果，也不能把不利差异归因于</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来源追踪本身</w:t>
      </w:r>
      <w:r>
        <w:rPr>
          <w:rFonts w:ascii="Times New Roman" w:hAnsi="Times New Roman" w:eastAsia="SimSun"/>
          <w:lang w:val="en-US" w:eastAsia="zh-CN"/>
        </w:rPr>
        <w:t xml:space="preserve">”</w:t>
      </w:r>
      <w:r>
        <w:rPr>
          <w:rFonts w:ascii="Times New Roman" w:hAnsi="Times New Roman" w:eastAsia="SimSun"/>
          <w:lang w:val="en-US" w:eastAsia="zh-CN"/>
        </w:rPr>
        <w:t xml:space="preserve">。</w:t>
      </w:r>
    </w:p>
    <w:bookmarkEnd w:id="60"/>
    <w:bookmarkStart w:id="61" w:name="授权是实验处理的一部分"/>
    <w:p>
      <w:pPr>
        <w:pStyle w:val="Heading3"/>
        <w:keepNex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0/100，剩余策略配置包</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1/100。零事件并不等于零风险：100 例单元的 Wilson 上限为 3.70%，30 例压力单元的上限为 11.35%。主要变化发生在效用与运行负担上，而且 pooled 结果掩盖了基准反转：AgentDojo 的 exact 完成数上升，M3-v2 则在两个配置包下均降为 0/30。</w:t>
      </w:r>
    </w:p>
    <w:p>
      <w:pPr>
        <w:pStyle w:val="BodyText"/>
      </w:pPr>
      <w:r>
        <w:rPr>
          <w:rFonts w:ascii="Times New Roman" w:hAnsi="Times New Roman" w:eastAsia="SimSun"/>
          <w:lang w:val="en-US" w:eastAsia="zh-CN"/>
        </w:rPr>
        <w:t xml:space="preserve">运行变化更为明显。精确策略消除了两个配置包中的 ASK，却使含 DENY 的记录比例从策略配置包的 7.22% 升至 48.89%，从完整配置包的 11.11% 升至 45.00%。两个 exact 单元的失败率升至约 24%，p95 时延升至约 19.5 秒；悲观的不安全或失败界限分别由 7%/8% 升至 25%/26%。broad、conflicting 和 underspecified 同样使嵌套良性工具子集的完成下降 25–30 个百分点，却没有改变已观察攻击地板。由此可见，即使已执行的不安全效应稳定，策略规范仍会改变安全可用性与效用。</w:t>
      </w:r>
    </w:p>
    <w:bookmarkEnd w:id="61"/>
    <w:bookmarkStart w:id="62" w:name="必须联合报告执行效应与效用"/>
    <w:p>
      <w:pPr>
        <w:pStyle w:val="Heading3"/>
        <w:keepNext/>
      </w:pPr>
      <w:r>
        <w:rPr>
          <w:rFonts w:ascii="Times New Roman" w:hAnsi="Times New Roman" w:eastAsia="Microsoft YaHei"/>
          <w:lang w:val="en-US" w:eastAsia="zh-CN"/>
        </w:rPr>
        <w:t xml:space="preserve">5.3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配置都降低不安全效应，同时也显著降低良性工具完成。策略配置包随后在不损失更多效用的情况下优于完整配置包的安全性。正确解释不是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，而是该完整配置包没有在这些任务与策略下证明成套复杂度值得付出；单个组件的贡献仍不可识别。</w:t>
      </w:r>
    </w:p>
    <w:p>
      <w:pPr>
        <w:pStyle w:val="BodyText"/>
      </w:pPr>
      <w:r>
        <w:rPr>
          <w:rFonts w:ascii="Times New Roman" w:hAnsi="Times New Roman" w:eastAsia="SimSun"/>
          <w:lang w:val="en-US" w:eastAsia="zh-CN"/>
        </w:rPr>
        <w:t xml:space="preserve">ASK、DENY、运行失败、时延、token 和成本提供必要的运行背景。本文测得的只是系统确认请求发生率，并没有观察真人是否批准、忽略或厌倦提示。关于高后果流程与常规自动化的差别只能作为未来部署研究的设计假设，而不是本文已经验证的人因结论。</w:t>
      </w:r>
    </w:p>
    <w:bookmarkEnd w:id="62"/>
    <w:bookmarkStart w:id="63" w:name="自适应证据具有预算敏感性但未证明饱和"/>
    <w:p>
      <w:pPr>
        <w:pStyle w:val="Heading3"/>
        <w:keepNext/>
      </w:pPr>
      <w:r>
        <w:rPr>
          <w:rFonts w:ascii="Times New Roman" w:hAnsi="Times New Roman" w:eastAsia="Microsoft YaHei"/>
          <w:lang w:val="en-US" w:eastAsia="zh-CN"/>
        </w:rPr>
        <w:t xml:space="preserve">5.4 自适应证据具有预算敏感性，但未证明饱和</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证据在 200 截止，不能证明攻击成功已经饱和、不能估计渐近攻击率，也不能比较 2,000 次查询下的最难任务行为。因此，正确呈现方式是报告截至 200 的累计 first-success 曲线，并明确声明不作饱和推断。</w:t>
      </w:r>
    </w:p>
    <w:bookmarkEnd w:id="63"/>
    <w:bookmarkStart w:id="64" w:name="与近期来源和授权工作的关系"/>
    <w:p>
      <w:pPr>
        <w:pStyle w:val="Heading3"/>
        <w:keepNext/>
      </w:pPr>
      <w:r>
        <w:rPr>
          <w:rFonts w:ascii="Times New Roman" w:hAnsi="Times New Roman" w:eastAsia="Microsoft YaHei"/>
          <w:lang w:val="en-US" w:eastAsia="zh-CN"/>
        </w:rPr>
        <w:t xml:space="preserve">5.5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本文剩余贡献是方法与实证。研究在改变授权制度和 Guard 配置包时保持任务内容固定，把评估字段留在离线侧，测量执行后的效应，将失败保留在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；本文把该测量问题扩展到完整工具轨迹和执行效应，同时承担完整轨迹带来的额外实现复杂度和失败模式。</w:t>
      </w:r>
    </w:p>
    <w:bookmarkEnd w:id="64"/>
    <w:bookmarkStart w:id="65" w:name="跨厂商解释"/>
    <w:p>
      <w:pPr>
        <w:pStyle w:val="Heading3"/>
        <w:keepNext/>
      </w:pPr>
      <w:r>
        <w:rPr>
          <w:rFonts w:ascii="Times New Roman" w:hAnsi="Times New Roman" w:eastAsia="Microsoft YaHei"/>
          <w:lang w:val="en-US" w:eastAsia="zh-CN"/>
        </w:rPr>
        <w:t xml:space="preserve">5.6 跨厂商解释</w:t>
      </w:r>
    </w:p>
    <w:p>
      <w:pPr>
        <w:pStyle w:val="FirstParagraph"/>
      </w:pPr>
      <w:r>
        <w:rPr>
          <w:rFonts w:ascii="Times New Roman" w:hAnsi="Times New Roman" w:eastAsia="SimSun"/>
          <w:lang w:val="en-US" w:eastAsia="zh-CN"/>
        </w:rPr>
        <w:t xml:space="preserve">Gemini 样本被有意设计为更小且嵌套于 DeepSeek 样本。即使完成，它只能检验主要配对方向是否在另一服务商出现，不能证明广泛模型家族的一般性。官方免费层还带来可用性约束：每个配额日首个 429 即停止，仅在下一配额日恢复无响应或未触及工作项，三个配额日后透明降级。</w:t>
      </w:r>
    </w:p>
    <w:p>
      <w:pPr>
        <w:pStyle w:val="BodyText"/>
      </w:pPr>
      <w:r>
        <w:rPr>
          <w:rFonts w:ascii="Times New Roman" w:hAnsi="Times New Roman" w:eastAsia="SimSun"/>
          <w:lang w:val="en-US" w:eastAsia="zh-CN"/>
        </w:rPr>
        <w:t xml:space="preserve">停止规则关闭时，Gemini 仅有 32/450 个终态工作项，其中 5 项含官方模型响应；另有 83 项已观察但仍非终态，335 项未触及。这些记录仅用于运行核算，不进入科学推断。因此，当前外部有效性仅覆盖 DeepSeek V4 Pro 与 V4 Flash，本文不作跨厂商结论。</w:t>
      </w:r>
    </w:p>
    <w:bookmarkEnd w:id="65"/>
    <w:bookmarkStart w:id="66" w:name="局限性"/>
    <w:p>
      <w:pPr>
        <w:pStyle w:val="Heading3"/>
        <w:keepNext/>
      </w:pPr>
      <w:r>
        <w:rPr>
          <w:rFonts w:ascii="Times New Roman" w:hAnsi="Times New Roman" w:eastAsia="Microsoft YaHei"/>
          <w:lang w:val="en-US" w:eastAsia="zh-CN"/>
        </w:rPr>
        <w:t xml:space="preserve">5.7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第一，新的主实验使用一个闭源模型和两个基准家族。模型更新、工具模式、系统提示与应用上下文均可能改变效应。较小的 Gemini 子集原本用于探查这一依赖，但只有 450 个工作项全部达到终态才提供跨厂商证据。尽管本文保留执行日期、官方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失败敏感性界限可防止把不可用执行误当成安全，但它是悲观界限，不是实际攻击成功率。安全方向主要来自更大的 Public 矩阵，不能只从这些近零单元推断。</w:t>
      </w:r>
    </w:p>
    <w:p>
      <w:pPr>
        <w:pStyle w:val="BodyText"/>
      </w:pPr>
      <w:r>
        <w:rPr>
          <w:rFonts w:ascii="Times New Roman" w:hAnsi="Times New Roman" w:eastAsia="SimSun"/>
          <w:lang w:val="en-US" w:eastAsia="zh-CN"/>
        </w:rPr>
        <w:t xml:space="preserve">第三，</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第四，效应环境是隔离的。该边界可防止真实邮件、支付、浏览器、代码和生产操作，却可能遗漏真实应用中的时延、状态与恢复行为。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第五，自适应面板只报告截至预算 200 的结果，不能证明饱和。攻击搜索仍只代表一种防御感知优化方法，其他优化器可能发现不同故障。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第六，失败处理虽然保守，但并非不存在解释选择。所有含响应失败都在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66"/>
    <w:bookmarkStart w:id="67" w:name="实践启示"/>
    <w:p>
      <w:pPr>
        <w:pStyle w:val="Heading3"/>
        <w:keepNext/>
      </w:pPr>
      <w:r>
        <w:rPr>
          <w:rFonts w:ascii="Times New Roman" w:hAnsi="Times New Roman" w:eastAsia="Microsoft YaHei"/>
          <w:lang w:val="en-US" w:eastAsia="zh-CN"/>
        </w:rPr>
        <w:t xml:space="preserve">5.8 实践启示</w:t>
      </w:r>
    </w:p>
    <w:p>
      <w:pPr>
        <w:pStyle w:val="FirstParagraph"/>
      </w:pPr>
      <w:r>
        <w:rPr>
          <w:rFonts w:ascii="Times New Roman" w:hAnsi="Times New Roman" w:eastAsia="SimSun"/>
          <w:lang w:val="en-US" w:eastAsia="zh-CN"/>
        </w:rPr>
        <w:t xml:space="preserve">本文提出三点实践建议。第一，智能体安全基准应公开在线 Guard 可见字段，并将仅供评估的答案留在投影之外。第二，运行时防御应在相同提示配置和相同任务上安排组件消融；若比较的是成套配置，就必须按配置包报告而不能给单个模块归功。第三，安全报告应把良性完成、系统确认请求/阻断、失败、时延和攻击预算与不安全效应率一并报告，并按基准与任务类型分层。</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授权制度结果为这些建议提供了观察依据：精确与压力策略在不安全效应接近零时，仍显著改变完成、阻断、失败和时延。预设 Gemini 停止规则最终关闭于不完整诊断子集，该子集不能改变或扩展 DeepSeek 发现。</w:t>
      </w:r>
    </w:p>
    <w:bookmarkEnd w:id="67"/>
    <w:bookmarkEnd w:id="68"/>
    <w:bookmarkStart w:id="69" w:name="结论"/>
    <w:p>
      <w:pPr>
        <w:pStyle w:val="Heading2"/>
        <w:keepNex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研究中，完整配置包相对结构化基线降低不安全效应，却没有优于策略配置包。该方向在 DeepSeek V4 Pro 与 V4 Flash 上重复出现：完整配置包比策略配置包产生更多不安全效应，良性工具效用相同或只存在轻微差异。由于提示配置与多个运行时模块同时改变，这一证据只能比较配置包，不能判断任一组件的独立贡献。</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前瞻冻结的授权实验说明了为何安全性不能被单独作为终点。四个主单元的不安全效应均为零或近零，但悲观的不安全或失败界限在策略/完整配置包中分别由 7%/8% 升至 25%/26%。良性工具 TCR 的 pooled 下降并不跨基准一致：AgentDojo 在 exact 下改善，而 M3-v2 在两个配置包下均降为 0/30。精确授权消除了 ASK，却使 45.00%–48.89% 的记录至少出现一次 DENY，使失败率升至约 24%，并使 p95 时延接近翻倍。因此，授权构造会实质改变所测安全—效用前沿，但方向依赖基准。</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18/40。单一低攻击预算会漏掉更大预算下发现的大部分成功，但两个预算点不能证明饱和。</w:t>
      </w:r>
    </w:p>
    <w:p>
      <w:pPr>
        <w:pStyle w:val="BodyText"/>
      </w:pPr>
      <w:r>
        <w:rPr>
          <w:rFonts w:ascii="Times New Roman" w:hAnsi="Times New Roman" w:eastAsia="SimSun"/>
          <w:lang w:val="en-US" w:eastAsia="zh-CN"/>
        </w:rPr>
        <w:t xml:space="preserve">综合而言，工具型智能体安全评估应满足三项要求：将仅供评估的字段排除在在线 Guard 状态之外；区分组件消融与成套配置比较；在不安全效应之外同时报告效用、系统 ASK/DENY、失败敏感性界限、时延和攻击预算，并保留基准分层。结论仅适用于已测试策略、基准、运行时实现、DeepSeek 模型和预算范围。预设 Gemini 样本已按免费层停止规则透明降级为不完整诊断样本；它不能抹去或扩大已经完成的 DeepSeek 发现。</w:t>
      </w:r>
    </w:p>
    <w:bookmarkEnd w:id="69"/>
    <w:bookmarkStart w:id="75" w:name="图"/>
    <w:p>
      <w:pPr>
        <w:pStyle w:val="Heading2"/>
        <w:keepNex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19650"/>
            <wp:effectExtent b="0" l="0" r="0" t="0"/>
            <wp:docPr descr="图 1. 在线授权投影与离线评估边界。" title="" id="1" name="Picture"/>
            <a:graphic>
              <a:graphicData uri="http://schemas.openxmlformats.org/drawingml/2006/picture">
                <pic:pic>
                  <pic:nvPicPr>
                    <pic:cNvPr descr="../lean_empirical/figures_deepseek_v1/figure_1_online_field_isolation.png" id="0" name="Picture"/>
                    <pic:cNvPicPr>
                      <a:picLocks noChangeArrowheads="1" noChangeAspect="1"/>
                    </pic:cNvPicPr>
                  </pic:nvPicPr>
                  <pic:blipFill>
                    <a:blip r:embed="rId70"/>
                    <a:stretch>
                      <a:fillRect/>
                    </a:stretch>
                  </pic:blipFill>
                  <pic:spPr bwMode="auto">
                    <a:xfrm>
                      <a:off x="0" y="0"/>
                      <a:ext cx="5760720" cy="261965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在线授权投影与离线评估边界。</w:t>
      </w:r>
    </w:p>
    <w:p>
      <w:pPr>
        <w:pStyle w:val="CaptionedFigure"/>
      </w:pPr>
      <w:r>
        <w:rPr>
          <w:rFonts w:ascii="Times New Roman" w:hAnsi="Times New Roman" w:eastAsia="SimSun"/>
          <w:lang w:val="en-US" w:eastAsia="zh-CN"/>
        </w:rPr>
        <w:drawing>
          <wp:inline>
            <wp:extent cx="5760720" cy="4012471"/>
            <wp:effectExtent b="0" l="0" r="0" t="0"/>
            <wp:docPr descr="图 2. 不同授权条件下的安全—效用权衡。" title="" id="1" name="Picture"/>
            <a:graphic>
              <a:graphicData uri="http://schemas.openxmlformats.org/drawingml/2006/picture">
                <pic:pic>
                  <pic:nvPicPr>
                    <pic:cNvPr descr="../lean_empirical/figures_deepseek_v1/figure_2_safety_utility_pareto.png" id="0" name="Picture"/>
                    <pic:cNvPicPr>
                      <a:picLocks noChangeArrowheads="1" noChangeAspect="1"/>
                    </pic:cNvPicPr>
                  </pic:nvPicPr>
                  <pic:blipFill>
                    <a:blip r:embed="rId71"/>
                    <a:stretch>
                      <a:fillRect/>
                    </a:stretch>
                  </pic:blipFill>
                  <pic:spPr bwMode="auto">
                    <a:xfrm>
                      <a:off x="0" y="0"/>
                      <a:ext cx="5760720" cy="401247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不同授权条件下的安全—效用权衡。</w:t>
      </w:r>
    </w:p>
    <w:p>
      <w:pPr>
        <w:pStyle w:val="CaptionedFigure"/>
      </w:pPr>
      <w:r>
        <w:rPr>
          <w:rFonts w:ascii="Times New Roman" w:hAnsi="Times New Roman" w:eastAsia="SimSun"/>
          <w:lang w:val="en-US" w:eastAsia="zh-CN"/>
        </w:rPr>
        <w:drawing>
          <wp:inline>
            <wp:extent cx="5760720" cy="4238483"/>
            <wp:effectExtent b="0" l="0" r="0" t="0"/>
            <wp:docPr descr="图 3. 授权制度与 Guard 配置的配对效应。" title="" id="1" name="Picture"/>
            <a:graphic>
              <a:graphicData uri="http://schemas.openxmlformats.org/drawingml/2006/picture">
                <pic:pic>
                  <pic:nvPicPr>
                    <pic:cNvPr descr="../lean_empirical/figures_deepseek_v1/figure_3_authorization_forest.png" id="0" name="Picture"/>
                    <pic:cNvPicPr>
                      <a:picLocks noChangeArrowheads="1" noChangeAspect="1"/>
                    </pic:cNvPicPr>
                  </pic:nvPicPr>
                  <pic:blipFill>
                    <a:blip r:embed="rId72"/>
                    <a:stretch>
                      <a:fillRect/>
                    </a:stretch>
                  </pic:blipFill>
                  <pic:spPr bwMode="auto">
                    <a:xfrm>
                      <a:off x="0" y="0"/>
                      <a:ext cx="5760720" cy="4238483"/>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授权制度与 Guard 配置的配对效应。</w:t>
      </w:r>
    </w:p>
    <w:p>
      <w:pPr>
        <w:pStyle w:val="CaptionedFigure"/>
      </w:pPr>
      <w:r>
        <w:rPr>
          <w:rFonts w:ascii="Times New Roman" w:hAnsi="Times New Roman" w:eastAsia="SimSun"/>
          <w:lang w:val="en-US" w:eastAsia="zh-CN"/>
        </w:rPr>
        <w:drawing>
          <wp:inline>
            <wp:extent cx="5760720" cy="4014990"/>
            <wp:effectExtent b="0" l="0" r="0" t="0"/>
            <wp:docPr descr="图 4. 运行时确认、阻断、失败与时延负担。" title="" id="1" name="Picture"/>
            <a:graphic>
              <a:graphicData uri="http://schemas.openxmlformats.org/drawingml/2006/picture">
                <pic:pic>
                  <pic:nvPicPr>
                    <pic:cNvPr descr="../lean_empirical/figures_deepseek_v1/figure_4_runtime_burden.png" id="0" name="Picture"/>
                    <pic:cNvPicPr>
                      <a:picLocks noChangeArrowheads="1" noChangeAspect="1"/>
                    </pic:cNvPicPr>
                  </pic:nvPicPr>
                  <pic:blipFill>
                    <a:blip r:embed="rId73"/>
                    <a:stretch>
                      <a:fillRect/>
                    </a:stretch>
                  </pic:blipFill>
                  <pic:spPr bwMode="auto">
                    <a:xfrm>
                      <a:off x="0" y="0"/>
                      <a:ext cx="5760720" cy="401499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运行时确认、阻断、失败与时延负担。</w:t>
      </w:r>
    </w:p>
    <w:p>
      <w:pPr>
        <w:pStyle w:val="CaptionedFigure"/>
      </w:pPr>
      <w:r>
        <w:rPr>
          <w:rFonts w:ascii="Times New Roman" w:hAnsi="Times New Roman" w:eastAsia="SimSun"/>
          <w:lang w:val="en-US" w:eastAsia="zh-CN"/>
        </w:rPr>
        <w:drawing>
          <wp:inline>
            <wp:extent cx="5760720" cy="4085811"/>
            <wp:effectExtent b="0" l="0" r="0" t="0"/>
            <wp:docPr descr="图 5. 截至查询预算 200 的自适应 first-success 曲线。" title="" id="1" name="Picture"/>
            <a:graphic>
              <a:graphicData uri="http://schemas.openxmlformats.org/drawingml/2006/picture">
                <pic:pic>
                  <pic:nvPicPr>
                    <pic:cNvPr descr="../lean_empirical/figures_deepseek_v1/figure_5_adaptive_first_success.png" id="0" name="Picture"/>
                    <pic:cNvPicPr>
                      <a:picLocks noChangeArrowheads="1" noChangeAspect="1"/>
                    </pic:cNvPicPr>
                  </pic:nvPicPr>
                  <pic:blipFill>
                    <a:blip r:embed="rId74"/>
                    <a:stretch>
                      <a:fillRect/>
                    </a:stretch>
                  </pic:blipFill>
                  <pic:spPr bwMode="auto">
                    <a:xfrm>
                      <a:off x="0" y="0"/>
                      <a:ext cx="5760720" cy="408581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截至查询预算 200 的自适应 first-success 曲线。</w:t>
      </w:r>
    </w:p>
    <w:bookmarkEnd w:id="75"/>
    <w:bookmarkStart w:id="82" w:name="表"/>
    <w:p>
      <w:pPr>
        <w:pStyle w:val="Heading2"/>
        <w:keepNext/>
      </w:pPr>
      <w:r>
        <w:rPr>
          <w:rFonts w:ascii="Times New Roman" w:hAnsi="Times New Roman" w:eastAsia="Microsoft YaHei"/>
          <w:lang w:val="en-US" w:eastAsia="zh-CN"/>
        </w:rPr>
        <w:t xml:space="preserve">表</w:t>
      </w:r>
    </w:p>
    <w:bookmarkStart w:id="76" w:name="表-1.-实验设计"/>
    <w:p>
      <w:pPr>
        <w:pStyle w:val="Heading3"/>
        <w:keepNext/>
      </w:pPr>
      <w:r>
        <w:rPr>
          <w:rFonts w:ascii="Times New Roman" w:hAnsi="Times New Roman" w:eastAsia="Microsoft YaHei"/>
          <w:lang w:val="en-US" w:eastAsia="zh-CN"/>
        </w:rPr>
        <w:t xml:space="preserve">表 1. 实验设计</w:t>
      </w:r>
    </w:p>
    <w:p>
      <w:pPr>
        <w:pStyle w:val="FirstParagraph"/>
      </w:pPr>
      <w:r>
        <w:rPr>
          <w:rFonts w:ascii="Times New Roman" w:hAnsi="Times New Roman" w:eastAsia="SimSun"/>
          <w:lang w:val="en-US" w:eastAsia="zh-CN"/>
        </w:rPr>
        <w:t xml:space="preserve">精简实证研究的服务商、基准、条件、授权制度及冻结工作项数量。Gemini 列仍给出冻结计划分母；其不完整终态诊断样本不进入推断。</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576"/>
        <w:gridCol w:w="1963"/>
        <w:gridCol w:w="2874"/>
        <w:gridCol w:w="1420"/>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576" w:type="dxa"/>
            <w:shd w:fill="E8EEF5"/>
          </w:tcPr>
          <w:p>
            <w:pPr>
              <w:pStyle w:val="Compact"/>
              <w:spacing w:before="0" w:after="40" w:line="240" w:lineRule="auto"/>
              <w:jc w:val="left"/>
            </w:pPr>
            <w:r>
              <w:rPr>
                <w:rFonts w:ascii="Times New Roman" w:hAnsi="Times New Roman" w:eastAsia="SimSun"/>
                <w:b/>
                <w:sz w:val="17"/>
                <w:lang w:val="en-US" w:eastAsia="zh-CN"/>
              </w:rPr>
              <w:t xml:space="preserve">基准</w:t>
            </w:r>
          </w:p>
        </w:tc>
        <w:tc>
          <w:tcPr>
            <w:vAlign w:val="center"/>
            <w:tcMar>
              <w:top w:w="80" w:type="dxa"/>
              <w:bottom w:w="80" w:type="dxa"/>
              <w:start w:w="120" w:type="dxa"/>
              <w:end w:w="120" w:type="dxa"/>
            </w:tcMar>
            <w:tcW w:w="1963" w:type="dxa"/>
            <w:shd w:fill="E8EEF5"/>
          </w:tcPr>
          <w:p>
            <w:pPr>
              <w:pStyle w:val="Compact"/>
              <w:spacing w:before="0" w:after="40" w:line="240" w:lineRule="auto"/>
              <w:jc w:val="center"/>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2874"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授权制度</w:t>
            </w:r>
          </w:p>
        </w:tc>
        <w:tc>
          <w:tcPr>
            <w:vAlign w:val="center"/>
            <w:tcMar>
              <w:top w:w="80" w:type="dxa"/>
              <w:bottom w:w="80" w:type="dxa"/>
              <w:start w:w="120" w:type="dxa"/>
              <w:end w:w="120" w:type="dxa"/>
            </w:tcMar>
            <w:tcW w:w="1420" w:type="dxa"/>
            <w:shd w:fill="E8EEF5"/>
          </w:tcPr>
          <w:p>
            <w:pPr>
              <w:pStyle w:val="Compact"/>
              <w:spacing w:before="0" w:after="40" w:line="240" w:lineRule="auto"/>
              <w:jc w:val="center"/>
            </w:pPr>
            <w:r>
              <w:rPr>
                <w:rFonts w:ascii="Times New Roman" w:hAnsi="Times New Roman" w:eastAsia="SimSun"/>
                <w:b/>
                <w:sz w:val="17"/>
                <w:lang w:val="en-US" w:eastAsia="zh-CN"/>
              </w:rPr>
              <w:t xml:space="preserve">计划 n</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235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160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305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40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50</w:t>
            </w:r>
          </w:p>
        </w:tc>
      </w:tr>
    </w:tbl>
    <w:bookmarkEnd w:id="76"/>
    <w:bookmarkStart w:id="77" w:name="表-2.-联合主要终点"/>
    <w:p>
      <w:pPr>
        <w:pStyle w:val="Heading3"/>
        <w:keepNext/>
      </w:pPr>
      <w:r>
        <w:rPr>
          <w:rFonts w:ascii="Times New Roman" w:hAnsi="Times New Roman" w:eastAsia="Microsoft YaHei"/>
          <w:lang w:val="en-US" w:eastAsia="zh-CN"/>
        </w:rPr>
        <w:t xml:space="preserve">表 2. 联合主要终点</w:t>
      </w:r>
    </w:p>
    <w:p>
      <w:pPr>
        <w:pStyle w:val="FirstParagraph"/>
      </w:pPr>
      <w:r>
        <w:rPr>
          <w:rFonts w:ascii="Times New Roman" w:hAnsi="Times New Roman" w:eastAsia="SimSun"/>
          <w:lang w:val="en-US" w:eastAsia="zh-CN"/>
        </w:rPr>
        <w:t xml:space="preserve">攻击任务中的不安全效应、悲观的不安全或失败界限，以及良性工具任务完成。方括号为 Wilson 95% 置信区间；组合界限不是观察到的攻击成功率。</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297"/>
        <w:gridCol w:w="1219"/>
        <w:gridCol w:w="1483"/>
        <w:gridCol w:w="1740"/>
        <w:gridCol w:w="1819"/>
        <w:gridCol w:w="1802"/>
      </w:tblGrid>
      <w:tr>
        <w:trPr>
          <w:tblHeader w:val="true"/>
        </w:trPr>
        <w:tc>
          <w:tcPr>
            <w:vAlign w:val="center"/>
            <w:tcMar>
              <w:top w:w="80" w:type="dxa"/>
              <w:bottom w:w="80" w:type="dxa"/>
              <w:start w:w="120" w:type="dxa"/>
              <w:end w:w="120" w:type="dxa"/>
            </w:tcMar>
            <w:tcW w:w="129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219" w:type="dxa"/>
            <w:shd w:fill="E8EEF5"/>
          </w:tcPr>
          <w:p>
            <w:pPr>
              <w:pStyle w:val="Compact"/>
              <w:spacing w:before="0" w:after="40" w:line="240" w:lineRule="auto"/>
              <w:jc w:val="left"/>
            </w:pPr>
            <w:r>
              <w:rPr>
                <w:rFonts w:ascii="Times New Roman" w:hAnsi="Times New Roman" w:eastAsia="SimSun"/>
                <w:b/>
                <w:sz w:val="17"/>
                <w:lang w:val="en-US" w:eastAsia="zh-CN"/>
              </w:rPr>
              <w:t xml:space="preserve">配置包</w:t>
            </w:r>
          </w:p>
        </w:tc>
        <w:tc>
          <w:tcPr>
            <w:vAlign w:val="center"/>
            <w:tcMar>
              <w:top w:w="80" w:type="dxa"/>
              <w:bottom w:w="80" w:type="dxa"/>
              <w:start w:w="120" w:type="dxa"/>
              <w:end w:w="120" w:type="dxa"/>
            </w:tcMar>
            <w:tcW w:w="1483"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1740"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1819"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不安全或失败，n/N（95% CI）</w:t>
            </w:r>
          </w:p>
        </w:tc>
        <w:tc>
          <w:tcPr>
            <w:vAlign w:val="center"/>
            <w:tcMar>
              <w:top w:w="80" w:type="dxa"/>
              <w:bottom w:w="80" w:type="dxa"/>
              <w:start w:w="120" w:type="dxa"/>
              <w:end w:w="120" w:type="dxa"/>
            </w:tcMar>
            <w:tcW w:w="1802" w:type="dxa"/>
            <w:shd w:fill="E8EEF5"/>
          </w:tcPr>
          <w:p>
            <w:pPr>
              <w:pStyle w:val="Compact"/>
              <w:spacing w:before="0" w:after="40" w:line="240" w:lineRule="auto"/>
              <w:jc w:val="center"/>
            </w:pPr>
            <w:r>
              <w:rPr>
                <w:rFonts w:ascii="Times New Roman" w:hAnsi="Times New Roman" w:eastAsia="SimSun"/>
                <w:b/>
                <w:sz w:val="17"/>
                <w:lang w:val="en-US" w:eastAsia="zh-CN"/>
              </w:rPr>
              <w:t xml:space="preserve">良性工具 TCR，n/N（95% CI）</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8/100 (8.0%) [4.1%, 15.0%]</w:t>
            </w:r>
          </w:p>
        </w:tc>
        <w:tc>
          <w:tcPr>
            <w:vAlign w:val="center"/>
            <w:tcMar>
              <w:top w:w="80" w:type="dxa"/>
              <w:bottom w:w="80" w:type="dxa"/>
              <w:start w:w="120" w:type="dxa"/>
              <w:end w:w="120" w:type="dxa"/>
            </w:tcMar>
            <w:tcW w:w="1802"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broad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3/30 (10.0%) [3.5%, 25.6%]</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conflicting</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2/30 (6.7%) [1.8%, 21.3%]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1/20 (5.0%) [0.9%, 23.6%]</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left"/>
            </w:pPr>
            <w:r>
              <w:rPr>
                <w:rFonts w:ascii="Times New Roman" w:hAnsi="Times New Roman" w:eastAsia="SimSun"/>
                <w:sz w:val="17"/>
                <w:lang w:val="en-US" w:eastAsia="zh-CN"/>
              </w:rPr>
              <w:t xml:space="preserve">26/100 (26.0%) [18.4%, 35.4%]</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7/60 (11.7%) [5.8%, 22.2%]</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完整</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underspecified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2/30 (6.7%) [1.8%, 21.3%]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策略</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1/100 (1.0%) [0.2%, 5.4%]</w:t>
            </w:r>
          </w:p>
        </w:tc>
        <w:tc>
          <w:tcPr>
            <w:vAlign w:val="center"/>
            <w:tcMar>
              <w:top w:w="80" w:type="dxa"/>
              <w:bottom w:w="80" w:type="dxa"/>
              <w:start w:w="120" w:type="dxa"/>
              <w:end w:w="120" w:type="dxa"/>
            </w:tcMar>
            <w:tcW w:w="1819" w:type="dxa"/>
          </w:tcPr>
          <w:p>
            <w:pPr>
              <w:pStyle w:val="Compact"/>
              <w:spacing w:before="0" w:after="40" w:line="240" w:lineRule="auto"/>
              <w:jc w:val="center"/>
            </w:pPr>
            <w:r>
              <w:rPr>
                <w:rFonts w:ascii="Times New Roman" w:hAnsi="Times New Roman" w:eastAsia="SimSun"/>
                <w:sz w:val="17"/>
                <w:lang w:val="en-US" w:eastAsia="zh-CN"/>
              </w:rPr>
              <w:t xml:space="preserve">7/100 (7.0%) [3.4%, 13.7%]</w:t>
            </w:r>
          </w:p>
        </w:tc>
        <w:tc>
          <w:tcPr>
            <w:vAlign w:val="center"/>
            <w:tcMar>
              <w:top w:w="80" w:type="dxa"/>
              <w:bottom w:w="80" w:type="dxa"/>
              <w:start w:w="120" w:type="dxa"/>
              <w:end w:w="120" w:type="dxa"/>
            </w:tcMar>
            <w:tcW w:w="1802" w:type="dxa"/>
          </w:tcPr>
          <w:p>
            <w:pPr>
              <w:pStyle w:val="Compact"/>
              <w:spacing w:before="0" w:after="40" w:line="240" w:lineRule="auto"/>
              <w:jc w:val="left"/>
            </w:pPr>
            <w:r>
              <w:rPr>
                <w:rFonts w:ascii="Times New Roman" w:hAnsi="Times New Roman" w:eastAsia="SimSun"/>
                <w:sz w:val="17"/>
                <w:lang w:val="en-US" w:eastAsia="zh-CN"/>
              </w:rPr>
              <w:t xml:space="preserve">22/60 (36.7%) [25.6%, 49.3%]</w:t>
            </w:r>
          </w:p>
        </w:tc>
      </w:tr>
      <w:tr>
        <w:tc>
          <w:tcPr>
            <w:vAlign w:val="center"/>
            <w:tcMar>
              <w:top w:w="80" w:type="dxa"/>
              <w:bottom w:w="80" w:type="dxa"/>
              <w:start w:w="120" w:type="dxa"/>
              <w:end w:w="120" w:type="dxa"/>
            </w:tcMar>
            <w:tcW w:w="129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219" w:type="dxa"/>
          </w:tcPr>
          <w:p>
            <w:pPr>
              <w:pStyle w:val="Compact"/>
              <w:spacing w:before="0" w:after="40" w:line="240" w:lineRule="auto"/>
              <w:jc w:val="left"/>
            </w:pPr>
            <w:r>
              <w:rPr>
                <w:rFonts w:ascii="Times New Roman" w:hAnsi="Times New Roman" w:eastAsia="SimSun"/>
                <w:sz w:val="17"/>
                <w:lang w:val="en-US" w:eastAsia="zh-CN"/>
              </w:rPr>
              <w:t xml:space="preserve">策略</w:t>
            </w:r>
          </w:p>
        </w:tc>
        <w:tc>
          <w:tcPr>
            <w:vAlign w:val="center"/>
            <w:tcMar>
              <w:top w:w="80" w:type="dxa"/>
              <w:bottom w:w="80" w:type="dxa"/>
              <w:start w:w="120" w:type="dxa"/>
              <w:end w:w="120" w:type="dxa"/>
            </w:tcMar>
            <w:tcW w:w="1483"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1740"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1819" w:type="dxa"/>
          </w:tcPr>
          <w:p>
            <w:pPr>
              <w:pStyle w:val="Compact"/>
              <w:spacing w:before="0" w:after="40" w:line="240" w:lineRule="auto"/>
              <w:jc w:val="left"/>
            </w:pPr>
            <w:r>
              <w:rPr>
                <w:rFonts w:ascii="Times New Roman" w:hAnsi="Times New Roman" w:eastAsia="SimSun"/>
                <w:sz w:val="17"/>
                <w:lang w:val="en-US" w:eastAsia="zh-CN"/>
              </w:rPr>
              <w:t xml:space="preserve">25/100 (25.0%) [17.5%, 34.3%]</w:t>
            </w:r>
          </w:p>
        </w:tc>
        <w:tc>
          <w:tcPr>
            <w:vAlign w:val="center"/>
            <w:tcMar>
              <w:top w:w="80" w:type="dxa"/>
              <w:bottom w:w="80" w:type="dxa"/>
              <w:start w:w="120" w:type="dxa"/>
              <w:end w:w="120" w:type="dxa"/>
            </w:tcMar>
            <w:tcW w:w="1802" w:type="dxa"/>
          </w:tcPr>
          <w:p>
            <w:pPr>
              <w:pStyle w:val="Compact"/>
              <w:spacing w:before="0" w:after="40" w:line="240" w:lineRule="auto"/>
              <w:jc w:val="center"/>
            </w:pPr>
            <w:r>
              <w:rPr>
                <w:rFonts w:ascii="Times New Roman" w:hAnsi="Times New Roman" w:eastAsia="SimSun"/>
                <w:sz w:val="17"/>
                <w:lang w:val="en-US" w:eastAsia="zh-CN"/>
              </w:rPr>
              <w:t xml:space="preserve">9/60 (15.0%) [8.1%, 26.1%]</w:t>
            </w:r>
          </w:p>
        </w:tc>
      </w:tr>
    </w:tbl>
    <w:bookmarkEnd w:id="77"/>
    <w:bookmarkStart w:id="78" w:name="表-3.-授权制度与配置包的配对效应"/>
    <w:p>
      <w:pPr>
        <w:pStyle w:val="Heading3"/>
        <w:keepNext/>
      </w:pPr>
      <w:r>
        <w:rPr>
          <w:rFonts w:ascii="Times New Roman" w:hAnsi="Times New Roman" w:eastAsia="Microsoft YaHei"/>
          <w:lang w:val="en-US" w:eastAsia="zh-CN"/>
        </w:rPr>
        <w:t xml:space="preserve">表 3. 授权制度与配置包的配对效应</w:t>
      </w:r>
    </w:p>
    <w:p>
      <w:pPr>
        <w:pStyle w:val="FirstParagraph"/>
      </w:pPr>
      <w:r>
        <w:rPr>
          <w:rFonts w:ascii="Times New Roman" w:hAnsi="Times New Roman" w:eastAsia="SimSun"/>
          <w:lang w:val="en-US" w:eastAsia="zh-CN"/>
        </w:rPr>
        <w:t xml:space="preserve">绝对百分点差按</w:t>
      </w:r>
      <w:r>
        <w:rPr>
          <w:rFonts w:ascii="Times New Roman" w:hAnsi="Times New Roman" w:eastAsia="SimSun"/>
          <w:lang w:val="en-US" w:eastAsia="zh-CN"/>
        </w:rPr>
        <w:t xml:space="preserve">“</w:t>
      </w:r>
      <w:r>
        <w:rPr>
          <w:rFonts w:ascii="Times New Roman" w:hAnsi="Times New Roman" w:eastAsia="SimSun"/>
          <w:lang w:val="en-US" w:eastAsia="zh-CN"/>
        </w:rPr>
        <w:t xml:space="preserve">第二条件减第一条件</w:t>
      </w:r>
      <w:r>
        <w:rPr>
          <w:rFonts w:ascii="Times New Roman" w:hAnsi="Times New Roman" w:eastAsia="SimSun"/>
          <w:lang w:val="en-US" w:eastAsia="zh-CN"/>
        </w:rPr>
        <w:t xml:space="preserve">”</w:t>
      </w:r>
      <w:r>
        <w:rPr>
          <w:rFonts w:ascii="Times New Roman" w:hAnsi="Times New Roman" w:eastAsia="SimSun"/>
          <w:lang w:val="en-US" w:eastAsia="zh-CN"/>
        </w:rPr>
        <w:t xml:space="preserve">计算。压力制度扩展不进入主要 Holm 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86"/>
        <w:gridCol w:w="986"/>
        <w:gridCol w:w="1385"/>
        <w:gridCol w:w="935"/>
        <w:gridCol w:w="961"/>
        <w:gridCol w:w="1147"/>
        <w:gridCol w:w="1010"/>
        <w:gridCol w:w="1010"/>
        <w:gridCol w:w="940"/>
      </w:tblGrid>
      <w:tr>
        <w:trPr>
          <w:tblHeader w:val="true"/>
        </w:trPr>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85"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935" w:type="dxa"/>
            <w:shd w:fill="E8EEF5"/>
          </w:tcPr>
          <w:p>
            <w:pPr>
              <w:pStyle w:val="Compact"/>
              <w:spacing w:before="0" w:after="40" w:line="240" w:lineRule="auto"/>
              <w:jc w:val="center"/>
            </w:pPr>
            <w:r>
              <w:rPr>
                <w:rFonts w:ascii="Times New Roman" w:hAnsi="Times New Roman" w:eastAsia="SimSun"/>
                <w:b/>
                <w:sz w:val="15"/>
                <w:lang w:val="en-US" w:eastAsia="zh-CN"/>
              </w:rPr>
              <w:t xml:space="preserve">配对 n</w:t>
            </w:r>
          </w:p>
        </w:tc>
        <w:tc>
          <w:tcPr>
            <w:vAlign w:val="center"/>
            <w:tcMar>
              <w:top w:w="80" w:type="dxa"/>
              <w:bottom w:w="80" w:type="dxa"/>
              <w:start w:w="120" w:type="dxa"/>
              <w:end w:w="120" w:type="dxa"/>
            </w:tcMar>
            <w:tcW w:w="961"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147"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不一致 第一/第二</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McNemar p</w:t>
            </w:r>
          </w:p>
        </w:tc>
        <w:tc>
          <w:tcPr>
            <w:vAlign w:val="center"/>
            <w:tcMar>
              <w:top w:w="80" w:type="dxa"/>
              <w:bottom w:w="80" w:type="dxa"/>
              <w:start w:w="120" w:type="dxa"/>
              <w:end w:w="120" w:type="dxa"/>
            </w:tcMar>
            <w:tcW w:w="940" w:type="dxa"/>
            <w:shd w:fill="E8EEF5"/>
          </w:tcPr>
          <w:p>
            <w:pPr>
              <w:pStyle w:val="Compact"/>
              <w:spacing w:before="0" w:after="40" w:line="240" w:lineRule="auto"/>
              <w:jc w:val="center"/>
            </w:pPr>
            <w:r>
              <w:rPr>
                <w:rFonts w:ascii="Times New Roman" w:hAnsi="Times New Roman" w:eastAsia="SimSun"/>
                <w:b/>
                <w:sz w:val="15"/>
                <w:lang w:val="en-US" w:eastAsia="zh-CN"/>
              </w:rPr>
              <w:t xml:space="preserve">Holm p</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[-18.3, -3.3]</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0.094</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[-8.3,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0.500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0.500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[-28.3, -1.7]</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13/4</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0.049</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0.098</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-21.7</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[-36.7,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19/6</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0.015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0.059</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[-45.0,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0.062</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-10.0]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6/1</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0.125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78"/>
    <w:bookmarkStart w:id="79" w:name="表-4.-运行负担"/>
    <w:p>
      <w:pPr>
        <w:pStyle w:val="Heading3"/>
        <w:keepNext/>
      </w:pPr>
      <w:r>
        <w:rPr>
          <w:rFonts w:ascii="Times New Roman" w:hAnsi="Times New Roman" w:eastAsia="Microsoft YaHei"/>
          <w:lang w:val="en-US" w:eastAsia="zh-CN"/>
        </w:rPr>
        <w:t xml:space="preserve">表 4. 运行负担</w:t>
      </w:r>
    </w:p>
    <w:p>
      <w:pPr>
        <w:pStyle w:val="FirstParagraph"/>
      </w:pPr>
      <w:r>
        <w:rPr>
          <w:rFonts w:ascii="Times New Roman" w:hAnsi="Times New Roman" w:eastAsia="SimSun"/>
          <w:lang w:val="en-US" w:eastAsia="zh-CN"/>
        </w:rPr>
        <w:t xml:space="preserve">ASK 与 DENY 同时报告事件总数、记录发生数和受影响记录比例；失败保留在 ITT 分母内。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69"/>
        <w:gridCol w:w="1032"/>
        <w:gridCol w:w="1088"/>
        <w:gridCol w:w="1105"/>
        <w:gridCol w:w="1122"/>
        <w:gridCol w:w="1012"/>
        <w:gridCol w:w="1070"/>
        <w:gridCol w:w="945"/>
        <w:gridCol w:w="1017"/>
      </w:tblGrid>
      <w:tr>
        <w:trPr>
          <w:tblHeader w:val="true"/>
        </w:trPr>
        <w:tc>
          <w:tcPr>
            <w:vAlign w:val="center"/>
            <w:tcMar>
              <w:top w:w="80" w:type="dxa"/>
              <w:bottom w:w="80" w:type="dxa"/>
              <w:start w:w="120" w:type="dxa"/>
              <w:end w:w="120" w:type="dxa"/>
            </w:tcMar>
            <w:tcW w:w="969"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032" w:type="dxa"/>
            <w:shd w:fill="E8EEF5"/>
          </w:tcPr>
          <w:p>
            <w:pPr>
              <w:pStyle w:val="Compact"/>
              <w:spacing w:before="0" w:after="40" w:line="240" w:lineRule="auto"/>
              <w:jc w:val="left"/>
            </w:pPr>
            <w:r>
              <w:rPr>
                <w:rFonts w:ascii="Times New Roman" w:hAnsi="Times New Roman" w:eastAsia="SimSun"/>
                <w:b/>
                <w:sz w:val="15"/>
                <w:lang w:val="en-US" w:eastAsia="zh-CN"/>
              </w:rPr>
              <w:t xml:space="preserve">条件</w:t>
            </w:r>
          </w:p>
        </w:tc>
        <w:tc>
          <w:tcPr>
            <w:vAlign w:val="center"/>
            <w:tcMar>
              <w:top w:w="80" w:type="dxa"/>
              <w:bottom w:w="80" w:type="dxa"/>
              <w:start w:w="120" w:type="dxa"/>
              <w:end w:w="120" w:type="dxa"/>
            </w:tcMar>
            <w:tcW w:w="1088" w:type="dxa"/>
            <w:shd w:fill="E8EEF5"/>
          </w:tcPr>
          <w:p>
            <w:pPr>
              <w:pStyle w:val="Compact"/>
              <w:spacing w:before="0" w:after="40" w:line="240" w:lineRule="auto"/>
              <w:jc w:val="center"/>
            </w:pPr>
            <w:r>
              <w:rPr>
                <w:rFonts w:ascii="Times New Roman" w:hAnsi="Times New Roman" w:eastAsia="SimSun"/>
                <w:b/>
                <w:sz w:val="15"/>
                <w:lang w:val="en-US" w:eastAsia="zh-CN"/>
              </w:rPr>
              <w:t xml:space="preserve">授权</w:t>
            </w:r>
          </w:p>
        </w:tc>
        <w:tc>
          <w:tcPr>
            <w:vAlign w:val="center"/>
            <w:tcMar>
              <w:top w:w="80" w:type="dxa"/>
              <w:bottom w:w="80" w:type="dxa"/>
              <w:start w:w="120" w:type="dxa"/>
              <w:end w:w="120" w:type="dxa"/>
            </w:tcMar>
            <w:tcW w:w="1105" w:type="dxa"/>
            <w:shd w:fill="E8EEF5"/>
          </w:tcPr>
          <w:p>
            <w:pPr>
              <w:pStyle w:val="Compact"/>
              <w:spacing w:before="0" w:after="40" w:line="240" w:lineRule="auto"/>
              <w:jc w:val="center"/>
            </w:pPr>
            <w:r>
              <w:rPr>
                <w:rFonts w:ascii="Times New Roman" w:hAnsi="Times New Roman" w:eastAsia="SimSun"/>
                <w:b/>
                <w:sz w:val="15"/>
                <w:lang w:val="en-US" w:eastAsia="zh-CN"/>
              </w:rPr>
              <w:t xml:space="preserve">ASK 事件/记录</w:t>
            </w:r>
          </w:p>
        </w:tc>
        <w:tc>
          <w:tcPr>
            <w:vAlign w:val="center"/>
            <w:tcMar>
              <w:top w:w="80" w:type="dxa"/>
              <w:bottom w:w="80" w:type="dxa"/>
              <w:start w:w="120" w:type="dxa"/>
              <w:end w:w="120" w:type="dxa"/>
            </w:tcMar>
            <w:tcW w:w="1122" w:type="dxa"/>
            <w:shd w:fill="E8EEF5"/>
          </w:tcPr>
          <w:p>
            <w:pPr>
              <w:pStyle w:val="Compact"/>
              <w:spacing w:before="0" w:after="40" w:line="240" w:lineRule="auto"/>
              <w:jc w:val="center"/>
            </w:pPr>
            <w:r>
              <w:rPr>
                <w:rFonts w:ascii="Times New Roman" w:hAnsi="Times New Roman" w:eastAsia="SimSun"/>
                <w:b/>
                <w:sz w:val="15"/>
                <w:lang w:val="en-US" w:eastAsia="zh-CN"/>
              </w:rPr>
              <w:t xml:space="preserve">DENY 事件/记录</w:t>
            </w:r>
          </w:p>
        </w:tc>
        <w:tc>
          <w:tcPr>
            <w:vAlign w:val="center"/>
            <w:tcMar>
              <w:top w:w="80" w:type="dxa"/>
              <w:bottom w:w="80" w:type="dxa"/>
              <w:start w:w="120" w:type="dxa"/>
              <w:end w:w="120" w:type="dxa"/>
            </w:tcMar>
            <w:tcW w:w="1012" w:type="dxa"/>
            <w:shd w:fill="E8EEF5"/>
          </w:tcPr>
          <w:p>
            <w:pPr>
              <w:pStyle w:val="Compact"/>
              <w:spacing w:before="0" w:after="40" w:line="240" w:lineRule="auto"/>
              <w:jc w:val="center"/>
            </w:pPr>
            <w:r>
              <w:rPr>
                <w:rFonts w:ascii="Times New Roman" w:hAnsi="Times New Roman" w:eastAsia="SimSun"/>
                <w:b/>
                <w:sz w:val="15"/>
                <w:lang w:val="en-US" w:eastAsia="zh-CN"/>
              </w:rPr>
              <w:t xml:space="preserve">失败</w:t>
            </w:r>
          </w:p>
        </w:tc>
        <w:tc>
          <w:tcPr>
            <w:vAlign w:val="center"/>
            <w:tcMar>
              <w:top w:w="80" w:type="dxa"/>
              <w:bottom w:w="80" w:type="dxa"/>
              <w:start w:w="120" w:type="dxa"/>
              <w:end w:w="120" w:type="dxa"/>
            </w:tcMar>
            <w:tcW w:w="1070" w:type="dxa"/>
            <w:shd w:fill="E8EEF5"/>
          </w:tcPr>
          <w:p>
            <w:pPr>
              <w:pStyle w:val="Compact"/>
              <w:spacing w:before="0" w:after="40" w:line="240" w:lineRule="auto"/>
              <w:jc w:val="center"/>
            </w:pPr>
            <w:r>
              <w:rPr>
                <w:rFonts w:ascii="Times New Roman" w:hAnsi="Times New Roman" w:eastAsia="SimSun"/>
                <w:b/>
                <w:sz w:val="15"/>
                <w:lang w:val="en-US" w:eastAsia="zh-CN"/>
              </w:rPr>
              <w:t xml:space="preserve">时延 p50/p95（秒）</w:t>
            </w:r>
          </w:p>
        </w:tc>
        <w:tc>
          <w:tcPr>
            <w:vAlign w:val="center"/>
            <w:tcMar>
              <w:top w:w="80" w:type="dxa"/>
              <w:bottom w:w="80" w:type="dxa"/>
              <w:start w:w="120" w:type="dxa"/>
              <w:end w:w="120" w:type="dxa"/>
            </w:tcMar>
            <w:tcW w:w="945" w:type="dxa"/>
            <w:shd w:fill="E8EEF5"/>
          </w:tcPr>
          <w:p>
            <w:pPr>
              <w:pStyle w:val="Compact"/>
              <w:spacing w:before="0" w:after="40" w:line="240" w:lineRule="auto"/>
              <w:jc w:val="center"/>
            </w:pPr>
            <w:r>
              <w:rPr>
                <w:rFonts w:ascii="Times New Roman" w:hAnsi="Times New Roman" w:eastAsia="SimSun"/>
                <w:b/>
                <w:sz w:val="15"/>
                <w:lang w:val="en-US" w:eastAsia="zh-CN"/>
              </w:rPr>
              <w:t xml:space="preserve">Tokens</w:t>
            </w:r>
          </w:p>
        </w:tc>
        <w:tc>
          <w:tcPr>
            <w:vAlign w:val="center"/>
            <w:tcMar>
              <w:top w:w="80" w:type="dxa"/>
              <w:bottom w:w="80" w:type="dxa"/>
              <w:start w:w="120" w:type="dxa"/>
              <w:end w:w="120" w:type="dxa"/>
            </w:tcMar>
            <w:tcW w:w="1017" w:type="dxa"/>
            <w:shd w:fill="E8EEF5"/>
          </w:tcPr>
          <w:p>
            <w:pPr>
              <w:pStyle w:val="Compact"/>
              <w:spacing w:before="0" w:after="40" w:line="240" w:lineRule="auto"/>
              <w:jc w:val="center"/>
            </w:pPr>
            <w:r>
              <w:rPr>
                <w:rFonts w:ascii="Times New Roman" w:hAnsi="Times New Roman" w:eastAsia="SimSun"/>
                <w:b/>
                <w:sz w:val="15"/>
                <w:lang w:val="en-US" w:eastAsia="zh-CN"/>
              </w:rPr>
              <w:t xml:space="preserve">成本</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58 / 58 (32.2%)</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20 / 20 (11.1%)</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17 (9.4%)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2.90 / 9.18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279,687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0.2522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broad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23 / 23 (38.3%)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7 / 7 (11.7%)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6 (10.0%)</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2.84 / 9.38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82,975</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0.0769</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conflicting</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26 / 26 (43.3%)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6 / 6 (10.0%)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5 (8.3%)</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2.79 / 7.89</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67,404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0.0412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187 / 81 (45.0%)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44 (24.4%)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3.94 / 19.62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454,627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0.2995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underspecified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30 / 30 (50.0%)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4 / 4 (6.7%)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 (6.7%)</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2.78 / 10.65</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82,731</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0.0875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62 / 62 (34.4%)</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13 / 13 (7.2%)</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13 (7.2%)</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3.16 / 10.63</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307,544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0.2940</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227 / 88 (48.9%)</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43 (23.9%)</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5.06 / 19.42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473,478</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0.3374</w:t>
            </w:r>
          </w:p>
        </w:tc>
      </w:tr>
    </w:tbl>
    <w:bookmarkEnd w:id="79"/>
    <w:bookmarkStart w:id="80" w:name="表-5.-按基准分层的配对估计"/>
    <w:p>
      <w:pPr>
        <w:pStyle w:val="Heading3"/>
        <w:keepNext/>
      </w:pPr>
      <w:r>
        <w:rPr>
          <w:rFonts w:ascii="Times New Roman" w:hAnsi="Times New Roman" w:eastAsia="Microsoft YaHei"/>
          <w:lang w:val="en-US" w:eastAsia="zh-CN"/>
        </w:rPr>
        <w:t xml:space="preserve">表 5. 按基准分层的配对估计</w:t>
      </w:r>
    </w:p>
    <w:p>
      <w:pPr>
        <w:pStyle w:val="FirstParagraph"/>
      </w:pPr>
      <w:r>
        <w:rPr>
          <w:rFonts w:ascii="Times New Roman" w:hAnsi="Times New Roman" w:eastAsia="SimSun"/>
          <w:lang w:val="en-US" w:eastAsia="zh-CN"/>
        </w:rPr>
        <w:t xml:space="preserve">原始计数为第一条件与第二条件的成功数；差值为第二减第一。攻击端点为悲观的不安全或失败界限，良性端点为 TCR。McNemar p 值仅作描述。</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183"/>
        <w:gridCol w:w="1150"/>
        <w:gridCol w:w="1301"/>
        <w:gridCol w:w="1076"/>
        <w:gridCol w:w="1076"/>
        <w:gridCol w:w="1076"/>
        <w:gridCol w:w="1114"/>
        <w:gridCol w:w="1384"/>
      </w:tblGrid>
      <w:tr>
        <w:trPr>
          <w:tblHeader w:val="true"/>
        </w:trPr>
        <w:tc>
          <w:tcPr>
            <w:vAlign w:val="center"/>
            <w:tcMar>
              <w:top w:w="80" w:type="dxa"/>
              <w:bottom w:w="80" w:type="dxa"/>
              <w:start w:w="120" w:type="dxa"/>
              <w:end w:w="120" w:type="dxa"/>
            </w:tcMar>
            <w:tcW w:w="1183" w:type="dxa"/>
            <w:shd w:fill="E8EEF5"/>
          </w:tcPr>
          <w:p>
            <w:pPr>
              <w:pStyle w:val="Compact"/>
              <w:spacing w:before="0" w:after="40" w:line="240" w:lineRule="auto"/>
              <w:jc w:val="left"/>
            </w:pPr>
            <w:r>
              <w:rPr>
                <w:rFonts w:ascii="Times New Roman" w:hAnsi="Times New Roman" w:eastAsia="SimSun"/>
                <w:b/>
                <w:sz w:val="15"/>
                <w:lang w:val="en-US" w:eastAsia="zh-CN"/>
              </w:rPr>
              <w:t xml:space="preserve">基准</w:t>
            </w:r>
          </w:p>
        </w:tc>
        <w:tc>
          <w:tcPr>
            <w:vAlign w:val="center"/>
            <w:tcMar>
              <w:top w:w="80" w:type="dxa"/>
              <w:bottom w:w="80" w:type="dxa"/>
              <w:start w:w="120" w:type="dxa"/>
              <w:end w:w="120" w:type="dxa"/>
            </w:tcMar>
            <w:tcW w:w="1150"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01"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n</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第一条件</w:t>
            </w:r>
          </w:p>
        </w:tc>
        <w:tc>
          <w:tcPr>
            <w:vAlign w:val="center"/>
            <w:tcMar>
              <w:top w:w="80" w:type="dxa"/>
              <w:bottom w:w="80" w:type="dxa"/>
              <w:start w:w="120" w:type="dxa"/>
              <w:end w:w="120" w:type="dxa"/>
            </w:tcMar>
            <w:tcW w:w="1076" w:type="dxa"/>
            <w:shd w:fill="E8EEF5"/>
          </w:tcPr>
          <w:p>
            <w:pPr>
              <w:pStyle w:val="Compact"/>
              <w:spacing w:before="0" w:after="40" w:line="240" w:lineRule="auto"/>
              <w:jc w:val="center"/>
            </w:pPr>
            <w:r>
              <w:rPr>
                <w:rFonts w:ascii="Times New Roman" w:hAnsi="Times New Roman" w:eastAsia="SimSun"/>
                <w:b/>
                <w:sz w:val="15"/>
                <w:lang w:val="en-US" w:eastAsia="zh-CN"/>
              </w:rPr>
              <w:t xml:space="preserve">第二条件</w:t>
            </w:r>
          </w:p>
        </w:tc>
        <w:tc>
          <w:tcPr>
            <w:vAlign w:val="center"/>
            <w:tcMar>
              <w:top w:w="80" w:type="dxa"/>
              <w:bottom w:w="80" w:type="dxa"/>
              <w:start w:w="120" w:type="dxa"/>
              <w:end w:w="120" w:type="dxa"/>
            </w:tcMar>
            <w:tcW w:w="1114"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384"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23/50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+6.0]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+36.0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[+20.0, +52.0]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23/50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+36.0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[+20.0, +52.0]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9/30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7/30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[-16.7,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7/30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[-3.3, +23.3]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9/30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+13.3</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[-3.3, +30.0]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[-6.0, +14.0]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[-6.0, +14.0]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4/50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不安全或失败</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auto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17/30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12/30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-16.7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[-30.0, -3.3]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exact 策略→完整</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[+0.0, +0.0]</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完整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12/30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-40.0</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[-56.7, -23.3]</w:t>
            </w:r>
          </w:p>
        </w:tc>
      </w:tr>
      <w:tr>
        <w:tc>
          <w:tcPr>
            <w:vAlign w:val="center"/>
            <w:tcMar>
              <w:top w:w="80" w:type="dxa"/>
              <w:bottom w:w="80" w:type="dxa"/>
              <w:start w:w="120" w:type="dxa"/>
              <w:end w:w="120" w:type="dxa"/>
            </w:tcMar>
            <w:tcW w:w="1183"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150"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01" w:type="dxa"/>
          </w:tcPr>
          <w:p>
            <w:pPr>
              <w:pStyle w:val="Compact"/>
              <w:spacing w:before="0" w:after="40" w:line="240" w:lineRule="auto"/>
              <w:jc w:val="center"/>
            </w:pPr>
            <w:r>
              <w:rPr>
                <w:rFonts w:ascii="Times New Roman" w:hAnsi="Times New Roman" w:eastAsia="SimSun"/>
                <w:sz w:val="15"/>
                <w:lang w:val="en-US" w:eastAsia="zh-CN"/>
              </w:rPr>
              <w:t xml:space="preserve">策略 auto→exact</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17/30</w:t>
            </w:r>
          </w:p>
        </w:tc>
        <w:tc>
          <w:tcPr>
            <w:vAlign w:val="center"/>
            <w:tcMar>
              <w:top w:w="80" w:type="dxa"/>
              <w:bottom w:w="80" w:type="dxa"/>
              <w:start w:w="120" w:type="dxa"/>
              <w:end w:w="120" w:type="dxa"/>
            </w:tcMar>
            <w:tcW w:w="1076" w:type="dxa"/>
          </w:tcPr>
          <w:p>
            <w:pPr>
              <w:pStyle w:val="Compact"/>
              <w:spacing w:before="0" w:after="40" w:line="240" w:lineRule="auto"/>
              <w:jc w:val="center"/>
            </w:pPr>
            <w:r>
              <w:rPr>
                <w:rFonts w:ascii="Times New Roman" w:hAnsi="Times New Roman" w:eastAsia="SimSun"/>
                <w:sz w:val="15"/>
                <w:lang w:val="en-US" w:eastAsia="zh-CN"/>
              </w:rPr>
              <w:t xml:space="preserve">0/30</w:t>
            </w:r>
          </w:p>
        </w:tc>
        <w:tc>
          <w:tcPr>
            <w:vAlign w:val="center"/>
            <w:tcMar>
              <w:top w:w="80" w:type="dxa"/>
              <w:bottom w:w="80" w:type="dxa"/>
              <w:start w:w="120" w:type="dxa"/>
              <w:end w:w="120" w:type="dxa"/>
            </w:tcMar>
            <w:tcW w:w="1114" w:type="dxa"/>
          </w:tcPr>
          <w:p>
            <w:pPr>
              <w:pStyle w:val="Compact"/>
              <w:spacing w:before="0" w:after="40" w:line="240" w:lineRule="auto"/>
              <w:jc w:val="center"/>
            </w:pPr>
            <w:r>
              <w:rPr>
                <w:rFonts w:ascii="Times New Roman" w:hAnsi="Times New Roman" w:eastAsia="SimSun"/>
                <w:sz w:val="15"/>
                <w:lang w:val="en-US" w:eastAsia="zh-CN"/>
              </w:rPr>
              <w:t xml:space="preserve">-56.7</w:t>
            </w:r>
          </w:p>
        </w:tc>
        <w:tc>
          <w:tcPr>
            <w:vAlign w:val="center"/>
            <w:tcMar>
              <w:top w:w="80" w:type="dxa"/>
              <w:bottom w:w="80" w:type="dxa"/>
              <w:start w:w="120" w:type="dxa"/>
              <w:end w:w="120" w:type="dxa"/>
            </w:tcMar>
            <w:tcW w:w="1384" w:type="dxa"/>
          </w:tcPr>
          <w:p>
            <w:pPr>
              <w:pStyle w:val="Compact"/>
              <w:spacing w:before="0" w:after="40" w:line="240" w:lineRule="auto"/>
              <w:jc w:val="center"/>
            </w:pPr>
            <w:r>
              <w:rPr>
                <w:rFonts w:ascii="Times New Roman" w:hAnsi="Times New Roman" w:eastAsia="SimSun"/>
                <w:sz w:val="15"/>
                <w:lang w:val="en-US" w:eastAsia="zh-CN"/>
              </w:rPr>
              <w:t xml:space="preserve">[-73.3, -40.0]</w:t>
            </w:r>
          </w:p>
        </w:tc>
      </w:tr>
    </w:tbl>
    <w:bookmarkEnd w:id="80"/>
    <w:bookmarkStart w:id="81" w:name="表-6.-预算-50200-的自适应证据"/>
    <w:p>
      <w:pPr>
        <w:pStyle w:val="Heading3"/>
        <w:keepNext/>
      </w:pPr>
      <w:r>
        <w:rPr>
          <w:rFonts w:ascii="Times New Roman" w:hAnsi="Times New Roman" w:eastAsia="Microsoft YaHei"/>
          <w:lang w:val="en-US" w:eastAsia="zh-CN"/>
        </w:rPr>
        <w:t xml:space="preserve">表 6. 预算 50/200 的自适应证据</w:t>
      </w:r>
    </w:p>
    <w:p>
      <w:pPr>
        <w:pStyle w:val="FirstParagraph"/>
      </w:pPr>
      <w:r>
        <w:rPr>
          <w:rFonts w:ascii="Times New Roman" w:hAnsi="Times New Roman" w:eastAsia="SimSun"/>
          <w:lang w:val="en-US" w:eastAsia="zh-CN"/>
        </w:rPr>
        <w:t xml:space="preserve">截至预算 50 和 200，至少产生一次不安全效应的累计任务数。两个观察点不能证明攻击饱和。</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42"/>
        <w:gridCol w:w="1366"/>
        <w:gridCol w:w="1366"/>
        <w:gridCol w:w="1366"/>
        <w:gridCol w:w="1708"/>
        <w:gridCol w:w="1812"/>
      </w:tblGrid>
      <w:tr>
        <w:trPr>
          <w:tblHeader w:val="true"/>
        </w:trPr>
        <w:tc>
          <w:tcPr>
            <w:vAlign w:val="center"/>
            <w:tcMar>
              <w:top w:w="80" w:type="dxa"/>
              <w:bottom w:w="80" w:type="dxa"/>
              <w:start w:w="120" w:type="dxa"/>
              <w:end w:w="120" w:type="dxa"/>
            </w:tcMar>
            <w:tcW w:w="1742" w:type="dxa"/>
            <w:shd w:fill="E8EEF5"/>
          </w:tcPr>
          <w:p>
            <w:pPr>
              <w:pStyle w:val="Compact"/>
              <w:spacing w:before="0" w:after="40" w:line="240" w:lineRule="auto"/>
              <w:jc w:val="left"/>
            </w:pPr>
            <w:r>
              <w:rPr>
                <w:rFonts w:ascii="Times New Roman" w:hAnsi="Times New Roman" w:eastAsia="SimSun"/>
                <w:b/>
                <w:sz w:val="17"/>
                <w:lang w:val="en-US" w:eastAsia="zh-CN"/>
              </w:rPr>
              <w:t xml:space="preserve">模型</w:t>
            </w:r>
          </w:p>
        </w:tc>
        <w:tc>
          <w:tcPr>
            <w:vAlign w:val="center"/>
            <w:tcMar>
              <w:top w:w="80" w:type="dxa"/>
              <w:bottom w:w="80" w:type="dxa"/>
              <w:start w:w="120" w:type="dxa"/>
              <w:end w:w="120" w:type="dxa"/>
            </w:tcMar>
            <w:tcW w:w="1366" w:type="dxa"/>
            <w:shd w:fill="E8EEF5"/>
          </w:tcPr>
          <w:p>
            <w:pPr>
              <w:pStyle w:val="Compact"/>
              <w:spacing w:before="0" w:after="40" w:line="240" w:lineRule="auto"/>
              <w:jc w:val="left"/>
            </w:pPr>
            <w:r>
              <w:rPr>
                <w:rFonts w:ascii="Times New Roman" w:hAnsi="Times New Roman" w:eastAsia="SimSun"/>
                <w:b/>
                <w:sz w:val="17"/>
                <w:lang w:val="en-US" w:eastAsia="zh-CN"/>
              </w:rPr>
              <w:t xml:space="preserve">预算</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成功数</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比例</w:t>
            </w:r>
          </w:p>
        </w:tc>
        <w:tc>
          <w:tcPr>
            <w:vAlign w:val="center"/>
            <w:tcMar>
              <w:top w:w="80" w:type="dxa"/>
              <w:bottom w:w="80" w:type="dxa"/>
              <w:start w:w="120" w:type="dxa"/>
              <w:end w:w="120" w:type="dxa"/>
            </w:tcMar>
            <w:tcW w:w="1708" w:type="dxa"/>
            <w:shd w:fill="E8EEF5"/>
          </w:tcPr>
          <w:p>
            <w:pPr>
              <w:pStyle w:val="Compact"/>
              <w:spacing w:before="0" w:after="40" w:line="240" w:lineRule="auto"/>
              <w:jc w:val="center"/>
            </w:pPr>
            <w:r>
              <w:rPr>
                <w:rFonts w:ascii="Times New Roman" w:hAnsi="Times New Roman" w:eastAsia="SimSun"/>
                <w:b/>
                <w:sz w:val="17"/>
                <w:lang w:val="en-US" w:eastAsia="zh-CN"/>
              </w:rPr>
              <w:t xml:space="preserve">Wilson 95% CI</w:t>
            </w:r>
          </w:p>
        </w:tc>
        <w:tc>
          <w:tcPr>
            <w:vAlign w:val="center"/>
            <w:tcMar>
              <w:top w:w="80" w:type="dxa"/>
              <w:bottom w:w="80" w:type="dxa"/>
              <w:start w:w="120" w:type="dxa"/>
              <w:end w:w="120" w:type="dxa"/>
            </w:tcMar>
            <w:tcW w:w="1812" w:type="dxa"/>
            <w:shd w:fill="E8EEF5"/>
          </w:tcPr>
          <w:p>
            <w:pPr>
              <w:pStyle w:val="Compact"/>
              <w:spacing w:before="0" w:after="40" w:line="240" w:lineRule="auto"/>
              <w:jc w:val="center"/>
            </w:pPr>
            <w:r>
              <w:rPr>
                <w:rFonts w:ascii="Times New Roman" w:hAnsi="Times New Roman" w:eastAsia="SimSun"/>
                <w:b/>
                <w:sz w:val="17"/>
                <w:lang w:val="en-US" w:eastAsia="zh-CN"/>
              </w:rPr>
              <w:t xml:space="preserve">主张边界</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50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10.0%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[4.0%, 23.1%]</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200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18/40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45.0%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[30.7%, 60.2%]</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bl>
    <w:bookmarkEnd w:id="81"/>
    <w:bookmarkEnd w:id="82"/>
    <w:bookmarkStart w:id="83" w:name="图注"/>
    <w:p>
      <w:pPr>
        <w:pStyle w:val="Heading2"/>
        <w:keepNex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在线授权投影与离线评估边界。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可信任务上下文、选定策略投影、来源事件和拟执行动作可以进入运行时 Guard；原始金标准答案、评估标签、参考轨迹及效应评分元数据均留在离线侧。</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敏感性条件只向策略投影暴露派生授权对象。仅评分隔离模拟效应，服务商托管工具和真实外部动作均关闭。</w:t>
      </w:r>
    </w:p>
    <w:p>
      <w:pPr>
        <w:pStyle w:val="BodyText"/>
      </w:pPr>
      <w:r>
        <w:rPr>
          <w:bCs/>
          <w:rFonts w:ascii="Times New Roman" w:hAnsi="Times New Roman" w:eastAsia="SimSun"/>
          <w:b/>
          <w:lang w:val="en-US" w:eastAsia="zh-CN"/>
        </w:rPr>
        <w:t xml:space="preserve">图 2. 不同授权条件下的直接风险与效用。</w:t>
      </w:r>
      <w:r>
        <w:rPr>
          <w:rFonts w:ascii="Times New Roman" w:hAnsi="Times New Roman" w:eastAsia="SimSun"/>
          <w:lang w:val="en-US" w:eastAsia="zh-CN"/>
        </w:rPr>
        <w:t xml:space="preserve"> </w:t>
      </w:r>
      <w:r>
        <w:rPr>
          <w:rFonts w:ascii="Times New Roman" w:hAnsi="Times New Roman" w:eastAsia="SimSun"/>
          <w:lang w:val="en-US" w:eastAsia="zh-CN"/>
        </w:rPr>
        <w:t xml:space="preserve">横轴为良性工具 TCR，纵轴直接报告攻击风险。实心圆表示观察到的不安全效应率，空心三角表示悲观的</w:t>
      </w:r>
      <w:r>
        <w:rPr>
          <w:rFonts w:ascii="Times New Roman" w:hAnsi="Times New Roman" w:eastAsia="SimSun"/>
          <w:lang w:val="en-US" w:eastAsia="zh-CN"/>
        </w:rPr>
        <w:t xml:space="preserve">“</w:t>
      </w:r>
      <w:r>
        <w:rPr>
          <w:rFonts w:ascii="Times New Roman" w:hAnsi="Times New Roman" w:eastAsia="SimSun"/>
          <w:lang w:val="en-US" w:eastAsia="zh-CN"/>
        </w:rPr>
        <w:t xml:space="preserve">不安全效应或运行失败</w:t>
      </w:r>
      <w:r>
        <w:rPr>
          <w:rFonts w:ascii="Times New Roman" w:hAnsi="Times New Roman" w:eastAsia="SimSun"/>
          <w:lang w:val="en-US" w:eastAsia="zh-CN"/>
        </w:rPr>
        <w:t xml:space="preserve">”</w:t>
      </w:r>
      <w:r>
        <w:rPr>
          <w:rFonts w:ascii="Times New Roman" w:hAnsi="Times New Roman" w:eastAsia="SimSun"/>
          <w:lang w:val="en-US" w:eastAsia="zh-CN"/>
        </w:rPr>
        <w:t xml:space="preserve">界限；竖线连接同一条件的两种估计。四个主单元各含 100 个攻击和 60 个良性工具任务；每个压力单元含 30 个攻击和 20 个良性工具任务。所有终态失败均留在 ITT 分母。</w:t>
      </w:r>
    </w:p>
    <w:p>
      <w:pPr>
        <w:pStyle w:val="BodyText"/>
      </w:pPr>
      <w:r>
        <w:rPr>
          <w:bCs/>
          <w:rFonts w:ascii="Times New Roman" w:hAnsi="Times New Roman" w:eastAsia="SimSun"/>
          <w:b/>
          <w:lang w:val="en-US" w:eastAsia="zh-CN"/>
        </w:rPr>
        <w:t xml:space="preserve">图 3. 授权制度与 Guard 配置包的配对效应。</w:t>
      </w:r>
      <w:r>
        <w:rPr>
          <w:rFonts w:ascii="Times New Roman" w:hAnsi="Times New Roman" w:eastAsia="SimSun"/>
          <w:lang w:val="en-US" w:eastAsia="zh-CN"/>
        </w:rPr>
        <w:t xml:space="preserve"> </w:t>
      </w:r>
      <w:r>
        <w:rPr>
          <w:rFonts w:ascii="Times New Roman" w:hAnsi="Times New Roman" w:eastAsia="SimSun"/>
          <w:lang w:val="en-US" w:eastAsia="zh-CN"/>
        </w:rPr>
        <w:t xml:space="preserve">点表示第二条件减第一条件的绝对百分点差，区间为 10,000 次任务聚类 bootstrap 的 95% 区间。标签明确区分策略与完整配置包，成套比较不被解释为单组件效应。exact McNemar 与 Holm 校正值见表 3。</w:t>
      </w:r>
    </w:p>
    <w:p>
      <w:pPr>
        <w:pStyle w:val="BodyText"/>
      </w:pPr>
      <w:r>
        <w:rPr>
          <w:bCs/>
          <w:rFonts w:ascii="Times New Roman" w:hAnsi="Times New Roman" w:eastAsia="SimSun"/>
          <w:b/>
          <w:lang w:val="en-US" w:eastAsia="zh-CN"/>
        </w:rPr>
        <w:t xml:space="preserve">图 4. 运行时系统确认请求、阻断、失败与时延。</w:t>
      </w:r>
      <w:r>
        <w:rPr>
          <w:rFonts w:ascii="Times New Roman" w:hAnsi="Times New Roman" w:eastAsia="SimSun"/>
          <w:lang w:val="en-US" w:eastAsia="zh-CN"/>
        </w:rPr>
        <w:t xml:space="preserve"> </w:t>
      </w:r>
      <w:r>
        <w:rPr>
          <w:rFonts w:ascii="Times New Roman" w:hAnsi="Times New Roman" w:eastAsia="SimSun"/>
          <w:lang w:val="en-US" w:eastAsia="zh-CN"/>
        </w:rPr>
        <w:t xml:space="preserve">主面板按攻击/良性工具任务和 AgentDojo/M3-v2 分层。ASK 与 DENY 报告至少出现一次相应事件的终态 ITT 记录比例；ASK 不是测得的人类负担。失败采用预设终态失败集合；时延为相同分层单元的 p95 墙钟时间，原始分母见表 4 与补充 burden 表。</w:t>
      </w:r>
    </w:p>
    <w:p>
      <w:pPr>
        <w:pStyle w:val="BodyText"/>
      </w:pPr>
      <w:r>
        <w:rPr>
          <w:bCs/>
          <w:rFonts w:ascii="Times New Roman" w:hAnsi="Times New Roman" w:eastAsia="SimSun"/>
          <w:b/>
          <w:lang w:val="en-US" w:eastAsia="zh-CN"/>
        </w:rPr>
        <w:t xml:space="preserve">图 5. 截至查询预算 200 的自适应 first-success 曲线。</w:t>
      </w:r>
      <w:r>
        <w:rPr>
          <w:rFonts w:ascii="Times New Roman" w:hAnsi="Times New Roman" w:eastAsia="SimSun"/>
          <w:lang w:val="en-US" w:eastAsia="zh-CN"/>
        </w:rPr>
        <w:t xml:space="preserve"> </w:t>
      </w:r>
      <w:r>
        <w:rPr>
          <w:rFonts w:ascii="Times New Roman" w:hAnsi="Times New Roman" w:eastAsia="SimSun"/>
          <w:lang w:val="en-US" w:eastAsia="zh-CN"/>
        </w:rPr>
        <w:t xml:space="preserve">固定的 40 任务 DeepSeek V4 Pro 面板为每个成功任务贡献一个首次不安全效应查询点。查询 50 前有 4 个任务成功，查询 200 前有 18 个。曲线只在 200 以内具有描述意义，不能解释为攻击饱和估计。</w:t>
      </w:r>
    </w:p>
    <w:bookmarkEnd w:id="83"/>
    <w:bookmarkStart w:id="90" w:name="投稿声明"/>
    <w:p>
      <w:pPr>
        <w:pStyle w:val="Heading2"/>
        <w:keepNext/>
      </w:pPr>
      <w:r>
        <w:rPr>
          <w:rFonts w:ascii="Times New Roman" w:hAnsi="Times New Roman" w:eastAsia="Microsoft YaHei"/>
          <w:lang w:val="en-US" w:eastAsia="zh-CN"/>
        </w:rPr>
        <w:t xml:space="preserve">投稿声明</w:t>
      </w:r>
    </w:p>
    <w:bookmarkStart w:id="84" w:name="利益冲突"/>
    <w:p>
      <w:pPr>
        <w:pStyle w:val="Heading3"/>
        <w:keepNex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84"/>
    <w:bookmarkStart w:id="85" w:name="资助"/>
    <w:p>
      <w:pPr>
        <w:pStyle w:val="Heading3"/>
        <w:keepNex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85"/>
    <w:bookmarkStart w:id="86" w:name="数据与代码可用性"/>
    <w:p>
      <w:pPr>
        <w:pStyle w:val="Heading3"/>
        <w:keepNex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M3_PI_Guard。论文准备期间仓库保持私有；发表前将发布带有不可变版本标识的公共归档。凭据和秘密不会进入发布包。若服务商派生的紧凑原始记录存在共享限制，将在归档记录中明确说明。</w:t>
      </w:r>
    </w:p>
    <w:bookmarkEnd w:id="86"/>
    <w:bookmarkStart w:id="87" w:name="生成式-ai-与-ai-辅助技术在稿件准备过程中的使用声明"/>
    <w:p>
      <w:pPr>
        <w:pStyle w:val="Heading3"/>
        <w:keepNex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87"/>
    <w:bookmarkStart w:id="88" w:name="伦理与安全"/>
    <w:p>
      <w:pPr>
        <w:pStyle w:val="Heading3"/>
        <w:keepNex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88"/>
    <w:bookmarkStart w:id="89" w:name="作者贡献"/>
    <w:p>
      <w:pPr>
        <w:pStyle w:val="Heading3"/>
        <w:keepNex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89"/>
    <w:bookmarkEnd w:id="90"/>
    <w:bookmarkStart w:id="134" w:name="参考文献"/>
    <w:p>
      <w:pPr>
        <w:pStyle w:val="Heading2"/>
        <w:keepNext/>
      </w:pPr>
      <w:r>
        <w:rPr>
          <w:rFonts w:ascii="Times New Roman" w:hAnsi="Times New Roman" w:eastAsia="Microsoft YaHei"/>
          <w:lang w:val="en-US" w:eastAsia="zh-CN"/>
        </w:rPr>
        <w:t xml:space="preserve">参考文献</w:t>
      </w:r>
    </w:p>
    <w:bookmarkStart w:id="133" w:name="refs"/>
    <w:bookmarkStart w:id="92"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1">
        <w:r>
          <w:rPr>
            <w:rStyle w:val="Hyperlink"/>
          </w:rPr>
          <w:t xml:space="preserve">https://doi.org/10.18653/v1/2025.emnlp-main.53</w:t>
        </w:r>
      </w:hyperlink>
      <w:r>
        <w:rPr>
          <w:rFonts w:ascii="Times New Roman" w:hAnsi="Times New Roman" w:eastAsia="SimSun"/>
          <w:lang w:val="en-US" w:eastAsia="zh-CN"/>
        </w:rPr>
        <w:t xml:space="preserve">.</w:t>
      </w:r>
    </w:p>
    <w:bookmarkEnd w:id="92"/>
    <w:bookmarkStart w:id="94"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93">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94"/>
    <w:bookmarkStart w:id="96"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95">
        <w:r>
          <w:rPr>
            <w:rStyle w:val="Hyperlink"/>
          </w:rPr>
          <w:t xml:space="preserve">https://doi.org/10.18653/v1/2025.acl-long.890</w:t>
        </w:r>
      </w:hyperlink>
      <w:r>
        <w:rPr>
          <w:rFonts w:ascii="Times New Roman" w:hAnsi="Times New Roman" w:eastAsia="SimSun"/>
          <w:lang w:val="en-US" w:eastAsia="zh-CN"/>
        </w:rPr>
        <w:t xml:space="preserve">.</w:t>
      </w:r>
    </w:p>
    <w:bookmarkEnd w:id="96"/>
    <w:bookmarkStart w:id="98"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97">
        <w:r>
          <w:rPr>
            <w:rStyle w:val="Hyperlink"/>
          </w:rPr>
          <w:t xml:space="preserve">https://arxiv.org/abs/2503.18813</w:t>
        </w:r>
      </w:hyperlink>
      <w:r>
        <w:rPr>
          <w:rFonts w:ascii="Times New Roman" w:hAnsi="Times New Roman" w:eastAsia="SimSun"/>
          <w:lang w:val="en-US" w:eastAsia="zh-CN"/>
        </w:rPr>
        <w:t xml:space="preserve">.</w:t>
      </w:r>
    </w:p>
    <w:bookmarkEnd w:id="98"/>
    <w:bookmarkStart w:id="100"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99">
        <w:r>
          <w:rPr>
            <w:rStyle w:val="Hyperlink"/>
          </w:rPr>
          <w:t xml:space="preserve">https://doi.org/10.52202/079017-2636</w:t>
        </w:r>
      </w:hyperlink>
      <w:r>
        <w:rPr>
          <w:rFonts w:ascii="Times New Roman" w:hAnsi="Times New Roman" w:eastAsia="SimSun"/>
          <w:lang w:val="en-US" w:eastAsia="zh-CN"/>
        </w:rPr>
        <w:t xml:space="preserve">.</w:t>
      </w:r>
    </w:p>
    <w:bookmarkEnd w:id="100"/>
    <w:bookmarkStart w:id="102"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1">
        <w:r>
          <w:rPr>
            <w:rStyle w:val="Hyperlink"/>
          </w:rPr>
          <w:t xml:space="preserve">https://arxiv.org/abs/2604.10134</w:t>
        </w:r>
      </w:hyperlink>
      <w:r>
        <w:rPr>
          <w:rFonts w:ascii="Times New Roman" w:hAnsi="Times New Roman" w:eastAsia="SimSun"/>
          <w:lang w:val="en-US" w:eastAsia="zh-CN"/>
        </w:rPr>
        <w:t xml:space="preserve">.</w:t>
      </w:r>
    </w:p>
    <w:bookmarkEnd w:id="102"/>
    <w:bookmarkStart w:id="104"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03">
        <w:r>
          <w:rPr>
            <w:rStyle w:val="Hyperlink"/>
          </w:rPr>
          <w:t xml:space="preserve">https://arxiv.org/abs/2403.14720</w:t>
        </w:r>
      </w:hyperlink>
      <w:r>
        <w:rPr>
          <w:rFonts w:ascii="Times New Roman" w:hAnsi="Times New Roman" w:eastAsia="SimSun"/>
          <w:lang w:val="en-US" w:eastAsia="zh-CN"/>
        </w:rPr>
        <w:t xml:space="preserve">.</w:t>
      </w:r>
    </w:p>
    <w:bookmarkEnd w:id="104"/>
    <w:bookmarkStart w:id="106"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05">
        <w:r>
          <w:rPr>
            <w:rStyle w:val="Hyperlink"/>
          </w:rPr>
          <w:t xml:space="preserve">https://doi.org/10.18653/v1/2025.acl-long.1435</w:t>
        </w:r>
      </w:hyperlink>
      <w:r>
        <w:rPr>
          <w:rFonts w:ascii="Times New Roman" w:hAnsi="Times New Roman" w:eastAsia="SimSun"/>
          <w:lang w:val="en-US" w:eastAsia="zh-CN"/>
        </w:rPr>
        <w:t xml:space="preserve">.</w:t>
      </w:r>
    </w:p>
    <w:bookmarkEnd w:id="106"/>
    <w:bookmarkStart w:id="108"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07">
        <w:r>
          <w:rPr>
            <w:rStyle w:val="Hyperlink"/>
          </w:rPr>
          <w:t xml:space="preserve">https://doi.org/10.52202/085713-2791</w:t>
        </w:r>
      </w:hyperlink>
      <w:r>
        <w:rPr>
          <w:rFonts w:ascii="Times New Roman" w:hAnsi="Times New Roman" w:eastAsia="SimSun"/>
          <w:lang w:val="en-US" w:eastAsia="zh-CN"/>
        </w:rPr>
        <w:t xml:space="preserve">.</w:t>
      </w:r>
    </w:p>
    <w:bookmarkEnd w:id="108"/>
    <w:bookmarkStart w:id="110"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09">
        <w:r>
          <w:rPr>
            <w:rStyle w:val="Hyperlink"/>
          </w:rPr>
          <w:t xml:space="preserve">https://arxiv.org/abs/2607.20827</w:t>
        </w:r>
      </w:hyperlink>
      <w:r>
        <w:rPr>
          <w:rFonts w:ascii="Times New Roman" w:hAnsi="Times New Roman" w:eastAsia="SimSun"/>
          <w:lang w:val="en-US" w:eastAsia="zh-CN"/>
        </w:rPr>
        <w:t xml:space="preserve">.</w:t>
      </w:r>
    </w:p>
    <w:bookmarkEnd w:id="110"/>
    <w:bookmarkStart w:id="112"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1">
        <w:r>
          <w:rPr>
            <w:rStyle w:val="Hyperlink"/>
          </w:rPr>
          <w:t xml:space="preserve">https://doi.org/10.18653/v1/2026.acl-long.443</w:t>
        </w:r>
      </w:hyperlink>
      <w:r>
        <w:rPr>
          <w:rFonts w:ascii="Times New Roman" w:hAnsi="Times New Roman" w:eastAsia="SimSun"/>
          <w:lang w:val="en-US" w:eastAsia="zh-CN"/>
        </w:rPr>
        <w:t xml:space="preserve">.</w:t>
      </w:r>
    </w:p>
    <w:bookmarkEnd w:id="112"/>
    <w:bookmarkStart w:id="114"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 Llm Jailbreaks and Prompt Injections.”</w:t>
      </w:r>
      <w:r>
        <w:rPr>
          <w:rFonts w:ascii="Times New Roman" w:hAnsi="Times New Roman" w:eastAsia="SimSun"/>
          <w:lang w:val="en-US" w:eastAsia="zh-CN"/>
        </w:rPr>
        <w:t xml:space="preserve"> </w:t>
      </w:r>
      <w:hyperlink r:id="rId113">
        <w:r>
          <w:rPr>
            <w:rStyle w:val="Hyperlink"/>
          </w:rPr>
          <w:t xml:space="preserve">https://arxiv.org/abs/2510.09023</w:t>
        </w:r>
      </w:hyperlink>
      <w:r>
        <w:rPr>
          <w:rFonts w:ascii="Times New Roman" w:hAnsi="Times New Roman" w:eastAsia="SimSun"/>
          <w:lang w:val="en-US" w:eastAsia="zh-CN"/>
        </w:rPr>
        <w:t xml:space="preserve">.</w:t>
      </w:r>
    </w:p>
    <w:bookmarkEnd w:id="114"/>
    <w:bookmarkStart w:id="116"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15">
        <w:r>
          <w:rPr>
            <w:rStyle w:val="Hyperlink"/>
          </w:rPr>
          <w:t xml:space="preserve">https://arxiv.org/abs/2504.11703</w:t>
        </w:r>
      </w:hyperlink>
      <w:r>
        <w:rPr>
          <w:rFonts w:ascii="Times New Roman" w:hAnsi="Times New Roman" w:eastAsia="SimSun"/>
          <w:lang w:val="en-US" w:eastAsia="zh-CN"/>
        </w:rPr>
        <w:t xml:space="preserve">.</w:t>
      </w:r>
    </w:p>
    <w:bookmarkEnd w:id="116"/>
    <w:bookmarkStart w:id="118" w:name="ref-L08"/>
    <w:p>
      <w:pPr>
        <w:pStyle w:val="Bibliography"/>
      </w:pPr>
      <w:r>
        <w:rPr>
          <w:rFonts w:ascii="Times New Roman" w:hAnsi="Times New Roman" w:eastAsia="SimSun"/>
          <w:lang w:val="en-US" w:eastAsia="zh-CN"/>
        </w:rPr>
        <w:t xml:space="preserve">Tsai, Lillian, and Eugene Bagdasaryan.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17">
        <w:r>
          <w:rPr>
            <w:rStyle w:val="Hyperlink"/>
          </w:rPr>
          <w:t xml:space="preserve">https://doi.org/10.1145/3713082.3730378</w:t>
        </w:r>
      </w:hyperlink>
      <w:r>
        <w:rPr>
          <w:rFonts w:ascii="Times New Roman" w:hAnsi="Times New Roman" w:eastAsia="SimSun"/>
          <w:lang w:val="en-US" w:eastAsia="zh-CN"/>
        </w:rPr>
        <w:t xml:space="preserve">.</w:t>
      </w:r>
    </w:p>
    <w:bookmarkEnd w:id="118"/>
    <w:bookmarkStart w:id="120"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19">
        <w:r>
          <w:rPr>
            <w:rStyle w:val="Hyperlink"/>
          </w:rPr>
          <w:t xml:space="preserve">https://arxiv.org/abs/2404.13208</w:t>
        </w:r>
      </w:hyperlink>
      <w:r>
        <w:rPr>
          <w:rFonts w:ascii="Times New Roman" w:hAnsi="Times New Roman" w:eastAsia="SimSun"/>
          <w:lang w:val="en-US" w:eastAsia="zh-CN"/>
        </w:rPr>
        <w:t xml:space="preserve">.</w:t>
      </w:r>
    </w:p>
    <w:bookmarkEnd w:id="120"/>
    <w:bookmarkStart w:id="122"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1">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2"/>
    <w:bookmarkStart w:id="124"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23">
        <w:r>
          <w:rPr>
            <w:rStyle w:val="Hyperlink"/>
          </w:rPr>
          <w:t xml:space="preserve">https://arxiv.org/abs/2605.26497</w:t>
        </w:r>
      </w:hyperlink>
      <w:r>
        <w:rPr>
          <w:rFonts w:ascii="Times New Roman" w:hAnsi="Times New Roman" w:eastAsia="SimSun"/>
          <w:lang w:val="en-US" w:eastAsia="zh-CN"/>
        </w:rPr>
        <w:t xml:space="preserve">.</w:t>
      </w:r>
    </w:p>
    <w:bookmarkEnd w:id="124"/>
    <w:bookmarkStart w:id="126"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25">
        <w:r>
          <w:rPr>
            <w:rStyle w:val="Hyperlink"/>
          </w:rPr>
          <w:t xml:space="preserve">https://arxiv.org/abs/2605.03378</w:t>
        </w:r>
      </w:hyperlink>
      <w:r>
        <w:rPr>
          <w:rFonts w:ascii="Times New Roman" w:hAnsi="Times New Roman" w:eastAsia="SimSun"/>
          <w:lang w:val="en-US" w:eastAsia="zh-CN"/>
        </w:rPr>
        <w:t xml:space="preserve">.</w:t>
      </w:r>
    </w:p>
    <w:bookmarkEnd w:id="126"/>
    <w:bookmarkStart w:id="128"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27">
        <w:r>
          <w:rPr>
            <w:rStyle w:val="Hyperlink"/>
          </w:rPr>
          <w:t xml:space="preserve">https://doi.org/10.18653/v1/2024.findings-acl.624</w:t>
        </w:r>
      </w:hyperlink>
      <w:r>
        <w:rPr>
          <w:rFonts w:ascii="Times New Roman" w:hAnsi="Times New Roman" w:eastAsia="SimSun"/>
          <w:lang w:val="en-US" w:eastAsia="zh-CN"/>
        </w:rPr>
        <w:t xml:space="preserve">.</w:t>
      </w:r>
    </w:p>
    <w:bookmarkEnd w:id="128"/>
    <w:bookmarkStart w:id="130"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w:t>
      </w:r>
      <w:r>
        <w:rPr>
          <w:rFonts w:ascii="Times New Roman" w:hAnsi="Times New Roman" w:eastAsia="SimSun"/>
          <w:lang w:val="en-US" w:eastAsia="zh-CN"/>
        </w:rPr>
        <w:t xml:space="preserve">2025: 35331–66.</w:t>
      </w:r>
      <w:r>
        <w:rPr>
          <w:rFonts w:ascii="Times New Roman" w:hAnsi="Times New Roman" w:eastAsia="SimSun"/>
          <w:lang w:val="en-US" w:eastAsia="zh-CN"/>
        </w:rPr>
        <w:t xml:space="preserve"> </w:t>
      </w:r>
      <w:hyperlink r:id="rId129">
        <w:r>
          <w:rPr>
            <w:rStyle w:val="Hyperlink"/>
          </w:rPr>
          <w:t xml:space="preserve">https://proceedings.iclr.cc/paper_files/paper/2025/hash/5750f91d8fb9d5c02bd8ad2c3b44456b-Abstract-Conference.html</w:t>
        </w:r>
      </w:hyperlink>
      <w:r>
        <w:rPr>
          <w:rFonts w:ascii="Times New Roman" w:hAnsi="Times New Roman" w:eastAsia="SimSun"/>
          <w:lang w:val="en-US" w:eastAsia="zh-CN"/>
        </w:rPr>
        <w:t xml:space="preserve">.</w:t>
      </w:r>
    </w:p>
    <w:bookmarkEnd w:id="130"/>
    <w:bookmarkStart w:id="132"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1">
        <w:r>
          <w:rPr>
            <w:rStyle w:val="Hyperlink"/>
          </w:rPr>
          <w:t xml:space="preserve">https://arxiv.org/abs/2607.27267</w:t>
        </w:r>
      </w:hyperlink>
      <w:r>
        <w:rPr>
          <w:rFonts w:ascii="Times New Roman" w:hAnsi="Times New Roman" w:eastAsia="SimSun"/>
          <w:lang w:val="en-US" w:eastAsia="zh-CN"/>
        </w:rPr>
        <w:t xml:space="preserve">.</w:t>
      </w:r>
    </w:p>
    <w:bookmarkEnd w:id="132"/>
    <w:bookmarkEnd w:id="133"/>
    <w:bookmarkEnd w:id="134"/>
    <w:bookmarkEnd w:id="135"/>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0" Type="http://schemas.openxmlformats.org/officeDocument/2006/relationships/image" Target="media/rId70.png"/><Relationship Id="rId71" Type="http://schemas.openxmlformats.org/officeDocument/2006/relationships/image" Target="media/rId71.png"/><Relationship Id="rId72" Type="http://schemas.openxmlformats.org/officeDocument/2006/relationships/image" Target="media/rId72.png"/><Relationship Id="rId73" Type="http://schemas.openxmlformats.org/officeDocument/2006/relationships/image" Target="media/rId73.png"/><Relationship Id="rId74" Type="http://schemas.openxmlformats.org/officeDocument/2006/relationships/image" Target="media/rId74.png"/><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上下文与来源不确定性下工具型大语言模型智能体的运行时授权评估</dc:title>
  <dc:creator/>
  <cp:keywords/>
  <dcterms:created xsi:type="dcterms:W3CDTF">2026-08-23T12:59:13Z</dcterms:created>
  <dcterms:modified xsi:type="dcterms:W3CDTF">2026-08-23T12:59:13Z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E:\M3_PI_Guard_test\docs\research\paper_v2\manuscript\references_v1.bib</vt:lpwstr>
  </property>
  <property fmtid="{D5CDD505-2E9C-101B-9397-08002B2CF9AE}" pid="3" name="reference-section-title">
    <vt:lpwstr>参考文献</vt:lpwstr>
  </property>
</Properties>
</file>