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7" w:name="Xaf7b2990af7502950b37f78be34bbd3bd6ef0c0"/>
    <w:p>
      <w:pPr>
        <w:pStyle w:val="Heading1"/>
        <w:keepNext/>
      </w:pPr>
      <w:r>
        <w:t xml:space="preserve">Evaluating Authorization Regimes and Runtime Guardrail Configurations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the runtime authorization supplied to the Guard.</w:t>
      </w:r>
      <w:r>
        <w:t xml:space="preserve"> </w:t>
      </w:r>
      <w:r>
        <w:t xml:space="preserve">We keep evaluator fields offline, vary five controlled authorization</w:t>
      </w:r>
      <w:r>
        <w:t xml:space="preserve"> </w:t>
      </w:r>
      <w:r>
        <w:t xml:space="preserve">transformations, and jointly report unsafe effects, benign completion, system</w:t>
      </w:r>
      <w:r>
        <w:t xml:space="preserve"> </w:t>
      </w:r>
      <w:r>
        <w:t xml:space="preserve">decision incidence, failure, and latency.</w:t>
      </w:r>
    </w:p>
    <w:p>
      <w:pPr>
        <w:pStyle w:val="BodyText"/>
      </w:pPr>
      <w:r>
        <w:t xml:space="preserve">We reanalyze 7,353 condition-level DeepSeek records covering 902 distinct cases</w:t>
      </w:r>
      <w:r>
        <w:t xml:space="preserve"> </w:t>
      </w:r>
      <w:r>
        <w:t xml:space="preserve">across overlapping cohorts, plus a 40-task defense-aware panel. In Public</w:t>
      </w:r>
      <w:r>
        <w:t xml:space="preserve"> </w:t>
      </w:r>
      <w:r>
        <w:t xml:space="preserve">matrices, the full package produced more unsafe effects than the policy package</w:t>
      </w:r>
      <w:r>
        <w:t xml:space="preserve"> </w:t>
      </w:r>
      <w:r>
        <w:t xml:space="preserve">on V4 Pro (38/600 versus 13/600) and V4 Flash (24/400 versus 12/400). Adaptive</w:t>
      </w:r>
      <w:r>
        <w:t xml:space="preserve"> </w:t>
      </w:r>
      <w:r>
        <w:t xml:space="preserve">search found first unsafe effects for 4/40 tasks by query 50 and 18/40 by 200.</w:t>
      </w:r>
    </w:p>
    <w:p>
      <w:pPr>
        <w:pStyle w:val="BodyText"/>
      </w:pPr>
      <w:r>
        <w:t xml:space="preserve">A frozen 900-work-item V4 Pro experiment crossed both packages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 180 paired</w:t>
      </w:r>
      <w:r>
        <w:t xml:space="preserve"> </w:t>
      </w:r>
      <w:r>
        <w:t xml:space="preserve">AgentDojo and M3-v2 cases. Three attack cells had 0/100 unsafe effects and one</w:t>
      </w:r>
      <w:r>
        <w:t xml:space="preserve"> </w:t>
      </w:r>
      <w:r>
        <w:t xml:space="preserve">had 1/100. Exact-minus-auto benign completion reversed by benchmark: AgentDojo</w:t>
      </w:r>
      <w:r>
        <w:t xml:space="preserve"> </w:t>
      </w:r>
      <w:r>
        <w:t xml:space="preserve">changed by +13.33/+10.00 points for policy/full packages, whereas M3-v2 changed</w:t>
      </w:r>
      <w:r>
        <w:t xml:space="preserve"> </w:t>
      </w:r>
      <w:r>
        <w:t xml:space="preserve">by −56.67/−40.00. A pessimistic unsafe-or-operational-failure endpoint increased</w:t>
      </w:r>
      <w:r>
        <w:t xml:space="preserve"> </w:t>
      </w:r>
      <w:r>
        <w:t xml:space="preserve">by 18 points for both packages, driven by +36-point AgentDojo differences.</w:t>
      </w:r>
    </w:p>
    <w:p>
      <w:pPr>
        <w:pStyle w:val="BodyText"/>
      </w:pPr>
      <w:r>
        <w:t xml:space="preserve">Authorization construction and benchmark semantics can change measured</w:t>
      </w:r>
      <w:r>
        <w:t xml:space="preserve"> </w:t>
      </w:r>
      <w:r>
        <w:t xml:space="preserve">security–utility conclusions even near the observed attack floor. Because</w:t>
      </w:r>
      <w:r>
        <w:t xml:space="preserve"> </w:t>
      </w:r>
      <w:r>
        <w:t xml:space="preserve">prompt profile and runtime modules differ together, the package contrast is not</w:t>
      </w:r>
      <w:r>
        <w:t xml:space="preserve"> </w:t>
      </w:r>
      <w:r>
        <w:t xml:space="preserve">a component ablation. Incomplete Gemini execution supports no cross-provider</w:t>
      </w:r>
      <w:r>
        <w:t xml:space="preserve"> </w:t>
      </w:r>
      <w:r>
        <w:t xml:space="preserve">inference.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Bagdasaryan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system confirmation-request incidence,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Configuration comparison.</w:t>
      </w:r>
      <w:r>
        <w:t xml:space="preserve"> </w:t>
      </w:r>
      <w:r>
        <w:t xml:space="preserve">How does the complete M3 configuration</w:t>
      </w:r>
      <w:r>
        <w:t xml:space="preserve"> </w:t>
      </w:r>
      <w:r>
        <w:t xml:space="preserve">package compare with the policy package on safety, utility, and operational</w:t>
      </w:r>
      <w:r>
        <w:t xml:space="preserve"> </w:t>
      </w:r>
      <w:r>
        <w:t xml:space="preserve">outcomes, without attributing the contrast to an individual component?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Replication and adaptive budget.</w:t>
      </w:r>
      <w:r>
        <w:t xml:space="preserve"> </w:t>
      </w:r>
      <w:r>
        <w:t xml:space="preserve">Are these directions consistent</w:t>
      </w:r>
      <w:r>
        <w:t xml:space="preserve"> </w:t>
      </w:r>
      <w:r>
        <w:t xml:space="preserve">across AgentDojo and M3-v2, across completed DeepSeek V4 Pro and V4 Flash</w:t>
      </w:r>
      <w:r>
        <w:t xml:space="preserve"> </w:t>
      </w:r>
      <w:r>
        <w:t xml:space="preserve">evidence, and at completed 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a policy</w:t>
      </w:r>
      <w:r>
        <w:t xml:space="preserve"> </w:t>
      </w:r>
      <w:r>
        <w:t xml:space="preserve">package and a full package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 full</w:t>
      </w:r>
      <w:r>
        <w:t xml:space="preserve"> </w:t>
      </w:r>
      <w:r>
        <w:t xml:space="preserve">package also changes the prompt profile from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, so the</w:t>
      </w:r>
      <w:r>
        <w:t xml:space="preserve"> </w:t>
      </w:r>
      <w:r>
        <w:t xml:space="preserve">package contrast is not a component ablation. The planned cross-provider subset</w:t>
      </w:r>
      <w:r>
        <w:t xml:space="preserve"> </w:t>
      </w:r>
      <w:r>
        <w:t xml:space="preserve">adds a source-pinned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full-package</w:t>
      </w:r>
      <w:r>
        <w:t xml:space="preserve"> </w:t>
      </w:r>
      <w:r>
        <w:t xml:space="preserve">superiority. The full package reduced unsafe effects from 8/36 under the</w:t>
      </w:r>
      <w:r>
        <w:t xml:space="preserve"> </w:t>
      </w:r>
      <w:r>
        <w:t xml:space="preserve">structural condition to 0/36, but the policy package also produced 0/36.</w:t>
      </w:r>
      <w:r>
        <w:t xml:space="preserve"> </w:t>
      </w:r>
      <w:r>
        <w:t xml:space="preserve">Benign tool completion fell from 12/24 under the structural condition to 6/24</w:t>
      </w:r>
      <w:r>
        <w:t xml:space="preserve"> </w:t>
      </w:r>
      <w:r>
        <w:t xml:space="preserve">under the full package,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the full package is a new or state-of-the-art defense.</w:t>
      </w:r>
    </w:p>
    <w:p>
      <w:pPr>
        <w:pStyle w:val="BodyText"/>
      </w:pPr>
      <w:r>
        <w:t xml:space="preserve">The larger Public primary matrix reinforced this</w:t>
      </w:r>
      <w:r>
        <w:t xml:space="preserve"> </w:t>
      </w:r>
      <w:r>
        <w:t xml:space="preserve">finding. Across 600 attacks, the full package reduced unsafe effects from 133</w:t>
      </w:r>
      <w:r>
        <w:t xml:space="preserve"> </w:t>
      </w:r>
      <w:r>
        <w:t xml:space="preserve">under the structural condition to 38, but the policy package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package therefore shows neither incremental</w:t>
      </w:r>
      <w:r>
        <w:t xml:space="preserve"> </w:t>
      </w:r>
      <w:r>
        <w:t xml:space="preserve">security nor utility value beyond the policy package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configuration-quality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produced opposite benign-tool directions across the</w:t>
      </w:r>
      <w:r>
        <w:t xml:space="preserve"> </w:t>
      </w:r>
      <w:r>
        <w:t xml:space="preserve">two benchmarks and increased failure-sensitive attack risk on AgentDojo. It</w:t>
      </w:r>
      <w:r>
        <w:t xml:space="preserve"> </w:t>
      </w:r>
      <w:r>
        <w:t xml:space="preserve">also replaced ASK with more frequent DENY and increased latency. The full</w:t>
      </w:r>
      <w:r>
        <w:t xml:space="preserve"> </w:t>
      </w:r>
      <w:r>
        <w:t xml:space="preserve">package showed no stable advantage over the policy package. These unfavorable</w:t>
      </w:r>
      <w:r>
        <w:t xml:space="preserve"> </w:t>
      </w:r>
      <w:r>
        <w:t xml:space="preserve">results are retained. Gemini free-tier execution closed incomplete at 32/450</w:t>
      </w:r>
      <w:r>
        <w:t xml:space="preserve"> </w:t>
      </w:r>
      <w:r>
        <w:t xml:space="preserve">terminal work items and therefore supports no 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of policy and full configuration</w:t>
      </w:r>
      <w:r>
        <w:t xml:space="preserve"> </w:t>
      </w:r>
      <w:r>
        <w:t xml:space="preserve">packages, with their prompt-profile difference disclosed and no component-</w:t>
      </w:r>
      <w:r>
        <w:t xml:space="preserve"> </w:t>
      </w:r>
      <w:r>
        <w:t xml:space="preserve">level causal claim;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system confirmation incidence,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deployed Guard configuration package while</w:t>
      </w:r>
      <w:r>
        <w:t xml:space="preserve"> </w:t>
      </w:r>
      <w:r>
        <w:t xml:space="preserve">holding the task, attack, provider, model, tool environment, and evaluator</w:t>
      </w:r>
      <w:r>
        <w:t xml:space="preserve"> </w:t>
      </w:r>
      <w:r>
        <w:t xml:space="preserve">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Configuration comparison.</w:t>
      </w:r>
      <w:r>
        <w:t xml:space="preserve"> </w:t>
      </w:r>
      <w:r>
        <w:t xml:space="preserve">How does the complete M3 configuration</w:t>
      </w:r>
      <w:r>
        <w:t xml:space="preserve"> </w:t>
      </w:r>
      <w:r>
        <w:t xml:space="preserve">package compare with the policy package on safety, utility, and operational</w:t>
      </w:r>
      <w:r>
        <w:t xml:space="preserve"> </w:t>
      </w:r>
      <w:r>
        <w:t xml:space="preserve">outcomes? This comparison does not identify the effect of any individual</w:t>
      </w:r>
      <w:r>
        <w:t xml:space="preserve"> </w:t>
      </w:r>
      <w:r>
        <w:t xml:space="preserve">provenance, data-flow, confirmation, or prompt component.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Replication and adaptive budget.</w:t>
      </w:r>
      <w:r>
        <w:t xml:space="preserve"> </w:t>
      </w:r>
      <w:r>
        <w:t xml:space="preserve">Are the observed directions</w:t>
      </w:r>
      <w:r>
        <w:t xml:space="preserve"> </w:t>
      </w:r>
      <w:r>
        <w:t xml:space="preserve">consistent across AgentDojo and M3-v2, across completed DeepSeek V4 Pro and</w:t>
      </w:r>
      <w:r>
        <w:t xml:space="preserve"> </w:t>
      </w:r>
      <w:r>
        <w:t xml:space="preserve">V4 Flash evidence, and under the already completed defense-aware budgets 50</w:t>
      </w:r>
      <w:r>
        <w:t xml:space="preserve"> </w:t>
      </w:r>
      <w:r>
        <w:t xml:space="preserve">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the full package underperforms the policy</w:t>
      </w:r>
      <w:r>
        <w:t xml:space="preserve"> </w:t>
      </w:r>
      <w:r>
        <w:t xml:space="preserve">package, or the available replication evidence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task-policy representation, but</w:t>
      </w:r>
      <w:r>
        <w:t xml:space="preserve"> </w:t>
      </w:r>
      <w:r>
        <w:t xml:space="preserve">they are not a single-module ablation: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Policy package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 with the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 profile. Provenance propagation,</w:t>
      </w:r>
      <w:r>
        <w:t xml:space="preserve"> </w:t>
      </w:r>
      <w:r>
        <w:t xml:space="preserve">temporal/data-flow checks, and 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package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profile and enables policy enforcement</w:t>
      </w:r>
      <w:r>
        <w:t xml:space="preserve"> </w:t>
      </w:r>
      <w:r>
        <w:t xml:space="preserve">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t xml:space="preserve">Because prompt profile and runtime modules change together, their contrast is a</w:t>
      </w:r>
      <w:r>
        <w:t xml:space="preserve"> </w:t>
      </w:r>
      <w:r>
        <w:t xml:space="preserve">bundled configuration comparison. We therefore do not attribute a difference</w:t>
      </w:r>
      <w:r>
        <w:t xml:space="preserve"> </w:t>
      </w:r>
      <w:r>
        <w:t xml:space="preserve">between these cells to provenance, data flow, confirmation, or prompting alone.</w:t>
      </w:r>
    </w:p>
    <w:p>
      <w:pPr>
        <w:pStyle w:val="BodyText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planned Gemini subset adds a source-pinned VIGIL 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adapter uses official VIGIL commit</w:t>
      </w:r>
      <w:r>
        <w:t xml:space="preserve"> </w:t>
      </w:r>
      <w:r>
        <w:rPr>
          <w:rStyle w:val="VerbatimChar"/>
        </w:rPr>
        <w:t xml:space="preserve">af8eb9c70d32f8a3cc07b308e823c813b2285772</w:t>
      </w:r>
      <w:r>
        <w:t xml:space="preserve">: the official constraint generator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RuntimeAuditor</w:t>
      </w:r>
      <w:r>
        <w:t xml:space="preserve"> </w:t>
      </w:r>
      <w:r>
        <w:t xml:space="preserve">are retained, while only OpenAI-client construction is</w:t>
      </w:r>
      <w:r>
        <w:t xml:space="preserve"> </w:t>
      </w:r>
      <w:r>
        <w:t xml:space="preserve">dependency-injected into the study’s frozen provider client. Generation uses</w:t>
      </w:r>
      <w:r>
        <w:t xml:space="preserve"> </w:t>
      </w:r>
      <w:r>
        <w:t xml:space="preserve">temperature zero, one controlled provider call, the served study model, and</w:t>
      </w:r>
      <w:r>
        <w:t xml:space="preserve"> </w:t>
      </w:r>
      <w:r>
        <w:t xml:space="preserve">JSON output; silent fallback to default constraints is rejected. The eventual</w:t>
      </w:r>
      <w:r>
        <w:t xml:space="preserve"> </w:t>
      </w:r>
      <w:r>
        <w:t xml:space="preserve">incomplete Gemini sample is diagnostic and is not used to rank defenses.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controlled code transformations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the task policy is compiled from the trusted user request,</w:t>
      </w:r>
      <w:r>
        <w:t xml:space="preserve"> </w:t>
      </w:r>
      <w:r>
        <w:t xml:space="preserve">trusted application context, and tool schemas before untrusted evidence is</w:t>
      </w:r>
      <w:r>
        <w:t xml:space="preserve"> </w:t>
      </w:r>
      <w:r>
        <w:t xml:space="preserve">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expected tool calls are derived offline from the evaluator and</w:t>
      </w:r>
      <w:r>
        <w:t xml:space="preserve"> </w:t>
      </w:r>
      <w:r>
        <w:t xml:space="preserve">converted into required exact argument rules, with confirmation disabled;</w:t>
      </w:r>
      <w:r>
        <w:t xml:space="preserve"> </w:t>
      </w:r>
      <w:r>
        <w:t xml:space="preserve">only the derived authorization object enters online state;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each exact argument constraint is replaced by a type constraint;</w:t>
      </w:r>
      <w:r>
        <w:t xml:space="preserve"> </w:t>
      </w:r>
      <w:r>
        <w:t xml:space="preserve">when this widens a side-effecting rule, confirmation is required;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the last compiled tool rule is removed; and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each exact value is replaced by a deterministic controlled</w:t>
      </w:r>
      <w:r>
        <w:t xml:space="preserve"> </w:t>
      </w:r>
      <w:r>
        <w:t xml:space="preserve">conflicting value (for example, a recipient becomes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or a path becomes a public-sandbox conflict</w:t>
      </w:r>
      <w:r>
        <w:t xml:space="preserve"> </w:t>
      </w:r>
      <w:r>
        <w:t xml:space="preserve">path).</w:t>
      </w:r>
    </w:p>
    <w:p>
      <w:pPr>
        <w:pStyle w:val="FirstParagraph"/>
      </w:pPr>
      <w:r>
        <w:t xml:space="preserve">As a sanitized example, an auto-compiled rule allowing</w:t>
      </w:r>
      <w:r>
        <w:t xml:space="preserve"> </w:t>
      </w:r>
      <w:r>
        <w:rPr>
          <w:rStyle w:val="VerbatimChar"/>
        </w:rPr>
        <w:t xml:space="preserve">send_email(to="analyst [at] example.test")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send_email(to: string, confirmation required)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 is removed if it</w:t>
      </w:r>
      <w:r>
        <w:t xml:space="preserve"> </w:t>
      </w:r>
      <w:r>
        <w:t xml:space="preserve">is the final rule under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 targets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</w:t>
      </w:r>
      <w:r>
        <w:t xml:space="preserve"> </w:t>
      </w:r>
      <w:r>
        <w:t xml:space="preserve">offline expected call becomes a required exact-value rule. These definitions</w:t>
      </w:r>
      <w:r>
        <w:t xml:space="preserve"> </w:t>
      </w:r>
      <w:r>
        <w:t xml:space="preserve">describe this implementation; they are not prevalence estimates for deployed</w:t>
      </w:r>
      <w:r>
        <w:t xml:space="preserve"> </w:t>
      </w:r>
      <w:r>
        <w:t xml:space="preserve">authorization systems.</w:t>
      </w:r>
    </w:p>
    <w:p>
      <w:pPr>
        <w:pStyle w:val="BodyText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three record matrices contain 847, 597, and 72 unique cases,</w:t>
      </w:r>
      <w:r>
        <w:t xml:space="preserve"> </w:t>
      </w:r>
      <w:r>
        <w:t xml:space="preserve">respectively. The Flash cohort is a 597-case subset of the Pro Public cohort;</w:t>
      </w:r>
      <w:r>
        <w:t xml:space="preserve"> </w:t>
      </w:r>
      <w:r>
        <w:t xml:space="preserve">17 medium cases overlap Pro and 16 overlap Flash. Their union is 902 distinct</w:t>
      </w:r>
      <w:r>
        <w:t xml:space="preserve"> </w:t>
      </w:r>
      <w:r>
        <w:t xml:space="preserve">cases, so the 7,353 condition-level records are not treated as 7,353</w:t>
      </w:r>
      <w:r>
        <w:t xml:space="preserve"> </w:t>
      </w:r>
      <w:r>
        <w:t xml:space="preserve">independent cases.</w:t>
      </w:r>
    </w:p>
    <w:p>
      <w:pPr>
        <w:pStyle w:val="BodyText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The lean study was designed after the larger Public matrices had been</w:t>
      </w:r>
      <w:r>
        <w:t xml:space="preserve"> </w:t>
      </w:r>
      <w:r>
        <w:t xml:space="preserve">completed, but its deterministic selector reads only frozen Public execution-</w:t>
      </w:r>
      <w:r>
        <w:t xml:space="preserve"> </w:t>
      </w:r>
      <w:r>
        <w:t xml:space="preserve">plan identifiers, pre-outcome strata, and call budgets. It does not read any</w:t>
      </w:r>
      <w:r>
        <w:t xml:space="preserve"> </w:t>
      </w:r>
      <w:r>
        <w:t xml:space="preserve">Public result or outcome file. Selection is stratified by benchmark, task type,</w:t>
      </w:r>
      <w:r>
        <w:t xml:space="preserve"> </w:t>
      </w:r>
      <w:r>
        <w:t xml:space="preserve">and attack family. Every main case is assigned to four cells: policy package/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rPr>
          <w:rStyle w:val="VerbatimChar"/>
        </w:rPr>
        <w:t xml:space="preserve">exact_gold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and</w:t>
      </w:r>
      <w:r>
        <w:t xml:space="preserve"> </w:t>
      </w:r>
      <w:r>
        <w:t xml:space="preserve">full package/</w:t>
      </w:r>
      <w:r>
        <w:rPr>
          <w:rStyle w:val="VerbatimChar"/>
        </w:rPr>
        <w:t xml:space="preserve">exact_gold</w:t>
      </w:r>
      <w:r>
        <w:t xml:space="preserve">. This produces 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 package/</w:t>
      </w:r>
      <w:r>
        <w:rPr>
          <w:rStyle w:val="VerbatimChar"/>
        </w:rPr>
        <w:t xml:space="preserve">auto_compiled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full package/</w:t>
      </w:r>
      <w:r>
        <w:rPr>
          <w:rStyle w:val="VerbatimChar"/>
        </w:rPr>
        <w:t xml:space="preserve">exact_gold</w:t>
      </w:r>
      <w:r>
        <w:t xml:space="preserve">. The plan contains 450 work items,</w:t>
      </w:r>
      <w:r>
        <w:t xml:space="preserve"> </w:t>
      </w:r>
      <w:r>
        <w:t xml:space="preserve">including a six-item 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 system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event counts and record incidence, operational failure, p50/p95</w:t>
      </w:r>
      <w:r>
        <w:t xml:space="preserve"> </w:t>
      </w:r>
      <w:r>
        <w:t xml:space="preserve">latency, total tokens, API cost, and predefined heterogeneity by benchmark and</w:t>
      </w:r>
      <w:r>
        <w:t xml:space="preserve"> </w:t>
      </w:r>
      <w:r>
        <w:t xml:space="preserve">attack family.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a runtime confirmation request; without a human study it</w:t>
      </w:r>
      <w:r>
        <w:t xml:space="preserve"> </w:t>
      </w:r>
      <w:r>
        <w:t xml:space="preserve">is not interpreted as measured human burden.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p>
      <w:pPr>
        <w:pStyle w:val="BodyText"/>
      </w:pPr>
      <w:r>
        <w:t xml:space="preserve">Because observed unsafe effects are rare, we also report a pessimistic</w:t>
      </w:r>
      <w:r>
        <w:t xml:space="preserve"> </w:t>
      </w:r>
      <w:r>
        <w:t xml:space="preserve">sensitivity endpoint on attack tasks: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.</w:t>
      </w:r>
      <w:r>
        <w:t xml:space="preserve"> </w:t>
      </w:r>
      <w:r>
        <w:t xml:space="preserve">This composite is a robustness bound, not an attack-success label. It asks how</w:t>
      </w:r>
      <w:r>
        <w:t xml:space="preserve"> </w:t>
      </w:r>
      <w:r>
        <w:t xml:space="preserve">conclusions change if a non-operational run is not credited as secure while</w:t>
      </w:r>
      <w:r>
        <w:t xml:space="preserve"> </w:t>
      </w:r>
      <w:r>
        <w:t xml:space="preserve">preserving unsafe effects and failures as separate reported counts.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authorization/configuration comparisons are:</w:t>
      </w:r>
    </w:p>
    <w:p>
      <w:pPr>
        <w:numPr>
          <w:ilvl w:val="0"/>
          <w:numId w:val="1011"/>
        </w:numPr>
        <w:pStyle w:val="Compact"/>
      </w:pPr>
      <w:r>
        <w:t xml:space="preserve">policy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full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full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 package versus full package;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 package versus full package.</w:t>
      </w:r>
    </w:p>
    <w:p>
      <w:pPr>
        <w:pStyle w:val="FirstParagraph"/>
      </w:pPr>
      <w:r>
        <w:t xml:space="preserve">McNemar p-values are Holm-adjusted separately within the four-comparison attack</w:t>
      </w:r>
      <w:r>
        <w:t xml:space="preserve"> </w:t>
      </w:r>
      <w:r>
        <w:t xml:space="preserve">unsafe-effect family and the four-comparison benign-tool TCR family. Bootstrap</w:t>
      </w:r>
      <w:r>
        <w:t xml:space="preserve"> </w:t>
      </w:r>
      <w:r>
        <w:t xml:space="preserve">confidence intervals are unadjusted estimation intervals.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comparisons, the unsafe-or-failure bound,</w:t>
      </w:r>
      <w:r>
        <w:t xml:space="preserve"> </w:t>
      </w:r>
      <w:r>
        <w:t xml:space="preserve">and benchmark panels are descriptive sensitivity or heterogeneity analyses,</w:t>
      </w:r>
      <w:r>
        <w:t xml:space="preserve"> </w:t>
      </w:r>
      <w:r>
        <w:t xml:space="preserve">not additional confirmatory families.</w:t>
      </w:r>
    </w:p>
    <w:p>
      <w:pPr>
        <w:pStyle w:val="BodyText"/>
      </w:pPr>
      <w:r>
        <w:t xml:space="preserve">The fixed design provides 100 paired attacks and 60 paired benign-tool tasks per</w:t>
      </w:r>
      <w:r>
        <w:t xml:space="preserve"> </w:t>
      </w:r>
      <w:r>
        <w:t xml:space="preserve">main contrast, split evenly by benchmark for the latter. With 0/100 observed</w:t>
      </w:r>
      <w:r>
        <w:t xml:space="preserve"> </w:t>
      </w:r>
      <w:r>
        <w:t xml:space="preserve">unsafe effects, the Wilson upper limit is 3.70%; within a 30-task benign-tool</w:t>
      </w:r>
      <w:r>
        <w:t xml:space="preserve"> </w:t>
      </w:r>
      <w:r>
        <w:t xml:space="preserve">benchmark stratum, intervals are necessarily much wider (for example, 0/30 has</w:t>
      </w:r>
      <w:r>
        <w:t xml:space="preserve"> </w:t>
      </w:r>
      <w:r>
        <w:t xml:space="preserve">an 11.35% upper limit). We report these design-precision limits instead of a</w:t>
      </w:r>
      <w:r>
        <w:t xml:space="preserve"> </w:t>
      </w:r>
      <w:r>
        <w:t xml:space="preserve">post hoc achieved-power calculation.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46"/>
    <w:bookmarkEnd w:id="47"/>
    <w:bookmarkStart w:id="61" w:name="results"/>
    <w:p>
      <w:pPr>
        <w:pStyle w:val="Heading2"/>
        <w:keepNext/>
      </w:pPr>
      <w:r>
        <w:t xml:space="preserve">4. Results</w:t>
      </w:r>
    </w:p>
    <w:bookmarkStart w:id="48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 superiority claim</w:t>
      </w:r>
      <w:r>
        <w:t xml:space="preserve"> </w:t>
      </w:r>
      <w:r>
        <w:t xml:space="preserve">for the full configuration package. It met the security-effect and deny-all</w:t>
      </w:r>
      <w:r>
        <w:t xml:space="preserve"> </w:t>
      </w:r>
      <w:r>
        <w:t xml:space="preserve">criteria, but missed the utility point non-inferiority criterion and showed no</w:t>
      </w:r>
      <w:r>
        <w:t xml:space="preserve"> </w:t>
      </w:r>
      <w:r>
        <w:t xml:space="preserve">security gain over the policy package. Both the favorable security comparison</w:t>
      </w:r>
      <w:r>
        <w:t xml:space="preserve"> </w:t>
      </w:r>
      <w:r>
        <w:t xml:space="preserve">and the unfavorable utility and package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package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package did not outperform the policy package.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the full package,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system confirmation-request incidence and cannot be</w:t>
      </w:r>
      <w:r>
        <w:t xml:space="preserve"> </w:t>
      </w:r>
      <w:r>
        <w:t xml:space="preserve">interpreted as successful approval or measured human burden.</w:t>
      </w:r>
    </w:p>
    <w:bookmarkEnd w:id="48"/>
    <w:bookmarkStart w:id="49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the policy and full packages.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169"/>
        <w:gridCol w:w="2761"/>
        <w:gridCol w:w="343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policy-package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Full-package superiority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configuration-quality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the full package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establish full-</w:t>
      </w:r>
      <w:r>
        <w:t xml:space="preserve"> </w:t>
      </w:r>
      <w:r>
        <w:t xml:space="preserve">package superiority: the policy package produced only 13 unsafe effects</w:t>
      </w:r>
      <w:r>
        <w:t xml:space="preserve"> </w:t>
      </w:r>
      <w:r>
        <w:t xml:space="preserve">(2.17%, 1.27–3.67), so the full package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the full package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The full and policy packages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the full package is</w:t>
      </w:r>
      <w:r>
        <w:t xml:space="preserve"> </w:t>
      </w:r>
      <w:r>
        <w:t xml:space="preserve">safer than the structural condition but less safe than the policy package.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 policy,</w:t>
      </w:r>
      <w:r>
        <w:t xml:space="preserve"> </w:t>
      </w:r>
      <w:r>
        <w:t xml:space="preserve">and full packages. The full package produced 24/400 unsafe effects (6.00%,</w:t>
      </w:r>
      <w:r>
        <w:t xml:space="preserve"> </w:t>
      </w:r>
      <w:r>
        <w:t xml:space="preserve">Wilson 95% CI 4.06–8.77), compared with 12/400 under the policy package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the full package (26.21%, 19.73–33.91),</w:t>
      </w:r>
      <w:r>
        <w:t xml:space="preserve"> </w:t>
      </w:r>
      <w:r>
        <w:t xml:space="preserve">35/145 for the policy package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component-specific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configuration-quality or cross-provider claim.</w:t>
      </w:r>
    </w:p>
    <w:bookmarkEnd w:id="52"/>
    <w:bookmarkStart w:id="53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full-package, two no-defense, one PromptGuard,</w:t>
      </w:r>
      <w:r>
        <w:t xml:space="preserve"> </w:t>
      </w:r>
      <w:r>
        <w:t xml:space="preserve">and zero policy-package.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the full package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 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the policy package. On the 168</w:t>
      </w:r>
      <w:r>
        <w:t xml:space="preserve"> </w:t>
      </w:r>
      <w:r>
        <w:t xml:space="preserve">benign tool tasks, the full package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the policy</w:t>
      </w:r>
      <w:r>
        <w:t xml:space="preserve"> </w:t>
      </w:r>
      <w:r>
        <w:t xml:space="preserve">package issued 69. The package comparison therefore met its structural</w:t>
      </w:r>
      <w:r>
        <w:t xml:space="preserve"> </w:t>
      </w:r>
      <w:r>
        <w:t xml:space="preserve">security-effect criterion but missed utility non-inferiority and superiority</w:t>
      </w:r>
      <w:r>
        <w:t xml:space="preserve"> </w:t>
      </w:r>
      <w:r>
        <w:t xml:space="preserve">criteria. This pattern is consistent with a security–utility trade-off rather</w:t>
      </w:r>
      <w:r>
        <w:t xml:space="preserve"> </w:t>
      </w:r>
      <w:r>
        <w:t xml:space="preserve">than incremental benefit from the full package.</w:t>
      </w:r>
    </w:p>
    <w:bookmarkEnd w:id="53"/>
    <w:bookmarkStart w:id="58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the full package.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the full</w:t>
      </w:r>
      <w:r>
        <w:t xml:space="preserve"> </w:t>
      </w:r>
      <w:r>
        <w:t xml:space="preserve">package 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the policy</w:t>
      </w:r>
      <w:r>
        <w:t xml:space="preserve"> </w:t>
      </w:r>
      <w:r>
        <w:t xml:space="preserve">package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the policy package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package adds a reproducible security benefit over the policy package. This</w:t>
      </w:r>
      <w:r>
        <w:t xml:space="preserve"> </w:t>
      </w:r>
      <w:r>
        <w:t xml:space="preserve">is a package-level result because the prompt profile also differs.</w:t>
      </w:r>
      <w:r>
        <w:t xml:space="preserve"> </w:t>
      </w:r>
      <w:r>
        <w:t xml:space="preserve">For a 0/100 cell, however, the Wilson 95% upper limit is 3.70%; rare harms below</w:t>
      </w:r>
      <w:r>
        <w:t xml:space="preserve"> </w:t>
      </w:r>
      <w:r>
        <w:t xml:space="preserve">that resolution cannot be ruled out.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the policy package completed 22/60 tasks (36.67%, Wilson 95%</w:t>
      </w:r>
      <w:r>
        <w:t xml:space="preserve"> </w:t>
      </w:r>
      <w:r>
        <w:t xml:space="preserve">CI 25.62–49.32) and the full package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the policy package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the policy package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the full package,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X0a99c4ca2fd9cd03cffd56fc41c4bc7dff50ac1"/>
    <w:p>
      <w:pPr>
        <w:pStyle w:val="Heading4"/>
        <w:keepNext/>
      </w:pPr>
      <w:r>
        <w:t xml:space="preserve">4.7.2 Benchmark-stratified authorization effects</w:t>
      </w:r>
    </w:p>
    <w:p>
      <w:pPr>
        <w:pStyle w:val="FirstParagraph"/>
      </w:pPr>
      <w:r>
        <w:t xml:space="preserve">The pooled utility estimate hides a qualitative benchmark reversal. On</w:t>
      </w:r>
      <w:r>
        <w:t xml:space="preserve"> </w:t>
      </w:r>
      <w:r>
        <w:t xml:space="preserve">AgentDojo benign tool tasks,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increased completion from 5/30 to 9/30 for the policy package (+13.33 points;</w:t>
      </w:r>
      <w:r>
        <w:t xml:space="preserve"> </w:t>
      </w:r>
      <w:r>
        <w:t xml:space="preserve">bootstrap 95% CI −3.33 to +30.00) and from 4/30 to 7/30 for the full package</w:t>
      </w:r>
      <w:r>
        <w:t xml:space="preserve"> </w:t>
      </w:r>
      <w:r>
        <w:t xml:space="preserve">(+10.00 points; −3.33 to +23.33). On M3-v2, the same change reduced completion</w:t>
      </w:r>
      <w:r>
        <w:t xml:space="preserve"> </w:t>
      </w:r>
      <w:r>
        <w:t xml:space="preserve">from 17/30 to 0/30 for the policy package (−56.67 points; −73.33 to −40.00) and</w:t>
      </w:r>
      <w:r>
        <w:t xml:space="preserve"> </w:t>
      </w:r>
      <w:r>
        <w:t xml:space="preserve">from 12/30 to 0/30 for the full package (−40.00 points; −56.67 to −23.33).</w:t>
      </w:r>
      <w:r>
        <w:t xml:space="preserve"> </w:t>
      </w:r>
      <w:r>
        <w:t xml:space="preserve">These paired strata are descriptive, but they show that the pooled −21.67 and</w:t>
      </w:r>
      <w:r>
        <w:t xml:space="preserve"> </w:t>
      </w:r>
      <w:r>
        <w:t xml:space="preserve">−15.00 point estimates are not transportable across the two benchmark task</w:t>
      </w:r>
      <w:r>
        <w:t xml:space="preserve"> </w:t>
      </w:r>
      <w:r>
        <w:t xml:space="preserve">semantics.</w:t>
      </w:r>
    </w:p>
    <w:bookmarkEnd w:id="55"/>
    <w:bookmarkStart w:id="56" w:name="failure-sensitive-attack-bound"/>
    <w:p>
      <w:pPr>
        <w:pStyle w:val="Heading4"/>
        <w:keepNext/>
      </w:pPr>
      <w:r>
        <w:t xml:space="preserve">4.7.3 Failure-sensitive attack bound</w:t>
      </w:r>
    </w:p>
    <w:p>
      <w:pPr>
        <w:pStyle w:val="FirstParagraph"/>
      </w:pPr>
      <w:r>
        <w:t xml:space="preserve">Counting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as a pessimistic sensitivity</w:t>
      </w:r>
      <w:r>
        <w:t xml:space="preserve"> </w:t>
      </w:r>
      <w:r>
        <w:t xml:space="preserve">endpoint changes the interpretation of the exact regime. The policy package</w:t>
      </w:r>
      <w:r>
        <w:t xml:space="preserve"> </w:t>
      </w:r>
      <w:r>
        <w:t xml:space="preserve">moved from 7/100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25/100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(+18.00</w:t>
      </w:r>
      <w:r>
        <w:t xml:space="preserve"> </w:t>
      </w:r>
      <w:r>
        <w:t xml:space="preserve">points; bootstrap 95% CI +9.00 to +27.00); the full package moved from 8/100 to</w:t>
      </w:r>
      <w:r>
        <w:t xml:space="preserve"> </w:t>
      </w:r>
      <w:r>
        <w:t xml:space="preserve">26/100 (+18.00 points; +10.00 to +27.00). Package contrasts within the same</w:t>
      </w:r>
      <w:r>
        <w:t xml:space="preserve"> </w:t>
      </w:r>
      <w:r>
        <w:t xml:space="preserve">regime were only +1.00 point and had intervals spanning zero.</w:t>
      </w:r>
    </w:p>
    <w:p>
      <w:pPr>
        <w:pStyle w:val="BodyText"/>
      </w:pPr>
      <w:r>
        <w:t xml:space="preserve">This sensitivity effect was entirely benchmark dependent. On AgentDojo,</w:t>
      </w:r>
      <w:r>
        <w:t xml:space="preserve"> </w:t>
      </w:r>
      <w:r>
        <w:t xml:space="preserve">policy and full package differences from auto to exact were both +36.00 points</w:t>
      </w:r>
      <w:r>
        <w:t xml:space="preserve"> </w:t>
      </w:r>
      <w:r>
        <w:t xml:space="preserve">(5/50 to 23/50 and 4/50 to 22/50; both bootstrap intervals +20.00 to +52.00).</w:t>
      </w:r>
      <w:r>
        <w:t xml:space="preserve"> </w:t>
      </w:r>
      <w:r>
        <w:t xml:space="preserve">On M3-v2, the corresponding differences were 0.00 points (2/50 to 2/50 and</w:t>
      </w:r>
      <w:r>
        <w:t xml:space="preserve"> </w:t>
      </w:r>
      <w:r>
        <w:t xml:space="preserve">4/50 to 4/50). Operational failures remain separately labeled; the composite</w:t>
      </w:r>
      <w:r>
        <w:t xml:space="preserve"> </w:t>
      </w:r>
      <w:r>
        <w:t xml:space="preserve">is a robustness bound and is not reported as observed attack success.</w:t>
      </w:r>
    </w:p>
    <w:bookmarkEnd w:id="56"/>
    <w:bookmarkStart w:id="57" w:name="stress-regimes-and-operational-burden"/>
    <w:p>
      <w:pPr>
        <w:pStyle w:val="Heading4"/>
        <w:keepNext/>
      </w:pPr>
      <w:r>
        <w:t xml:space="preserve">4.7.4 Stress regimes and operational burden</w:t>
      </w:r>
    </w:p>
    <w:p>
      <w:pPr>
        <w:pStyle w:val="FirstParagraph"/>
      </w:pPr>
      <w:r>
        <w:t xml:space="preserve">On the nested benign-tool subset, moving from matched full-package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the policy package,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The full package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Pooling again obscures where the system burden occurred.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system ASK incidence on AgentDojo was 80.00%/78.00% for policy/full attacks and</w:t>
      </w:r>
      <w:r>
        <w:t xml:space="preserve"> </w:t>
      </w:r>
      <w:r>
        <w:t xml:space="preserve">66.67%/56.67% for policy/full benign-tool tasks; the corresponding M3-v2 rates</w:t>
      </w:r>
      <w:r>
        <w:t xml:space="preserve"> </w:t>
      </w:r>
      <w:r>
        <w:t xml:space="preserve">were 4.00%/2.00% and 0.00%/3.33%.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ASK was zero by</w:t>
      </w:r>
      <w:r>
        <w:t xml:space="preserve"> </w:t>
      </w:r>
      <w:r>
        <w:t xml:space="preserve">construction. Exact-regime AgentDojo failure was 46.00%/44.00% on attacks and</w:t>
      </w:r>
      <w:r>
        <w:t xml:space="preserve"> </w:t>
      </w:r>
      <w:r>
        <w:t xml:space="preserve">43.33%/43.33% on benign-tool tasks, compared with 4.00%/8.00% and</w:t>
      </w:r>
      <w:r>
        <w:t xml:space="preserve"> </w:t>
      </w:r>
      <w:r>
        <w:t xml:space="preserve">16.67%/16.67% on M3-v2. AgentDojo exact p95 latency ranged from 20.77 to 23.93</w:t>
      </w:r>
      <w:r>
        <w:t xml:space="preserve"> </w:t>
      </w:r>
      <w:r>
        <w:t xml:space="preserve">seconds across these four package/task cells, whereas M3-v2 exact p95 ranged</w:t>
      </w:r>
      <w:r>
        <w:t xml:space="preserve"> </w:t>
      </w:r>
      <w:r>
        <w:t xml:space="preserve">from 6.93 to 8.66 seconds. Thus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blocking, failure, and latency are</w:t>
      </w:r>
      <w:r>
        <w:t xml:space="preserve"> </w:t>
      </w:r>
      <w:r>
        <w:t xml:space="preserve">properties of the package–regime–benchmark combination, not a single pooled</w:t>
      </w:r>
      <w:r>
        <w:t xml:space="preserve"> </w:t>
      </w:r>
      <w:r>
        <w:t xml:space="preserve">human-burden quantity.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7"/>
    <w:bookmarkEnd w:id="58"/>
    <w:bookmarkStart w:id="59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the full package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bookmarkEnd w:id="59"/>
    <w:bookmarkStart w:id="60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reached the three-quota-day free-tier stopping</w:t>
      </w:r>
      <w:r>
        <w:t xml:space="preserve"> </w:t>
      </w:r>
      <w:r>
        <w:t xml:space="preserve">rule with 32/450 terminal work items: five response-bearing items, 83 observed</w:t>
      </w:r>
      <w:r>
        <w:t xml:space="preserve"> </w:t>
      </w:r>
      <w:r>
        <w:t xml:space="preserve">but nonterminal items, and 335 unstarted items. The incomplete cohort is</w:t>
      </w:r>
      <w:r>
        <w:t xml:space="preserve"> </w:t>
      </w:r>
      <w:r>
        <w:t xml:space="preserve">retained only for operational accounting and is excluded from the comparisons</w:t>
      </w:r>
      <w:r>
        <w:t xml:space="preserve"> </w:t>
      </w:r>
      <w:r>
        <w:t xml:space="preserve">above. UTR and DSR are not identifiable from the current record contract and</w:t>
      </w:r>
      <w:r>
        <w:t xml:space="preserve"> </w:t>
      </w:r>
      <w:r>
        <w:t xml:space="preserve">are not reconstructed from unsafe-effect rate.</w:t>
      </w:r>
    </w:p>
    <w:bookmarkEnd w:id="60"/>
    <w:bookmarkEnd w:id="61"/>
    <w:bookmarkStart w:id="70" w:name="discussion"/>
    <w:p>
      <w:pPr>
        <w:pStyle w:val="Heading2"/>
        <w:keepNext/>
      </w:pPr>
      <w:r>
        <w:t xml:space="preserve">5. Discussion</w:t>
      </w:r>
    </w:p>
    <w:bookmarkStart w:id="62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the full</w:t>
      </w:r>
      <w:r>
        <w:t xml:space="preserve"> </w:t>
      </w:r>
      <w:r>
        <w:t xml:space="preserve">configuration package as stronger than the policy package. In the 5,082-record</w:t>
      </w:r>
      <w:r>
        <w:t xml:space="preserve"> </w:t>
      </w:r>
      <w:r>
        <w:t xml:space="preserve">DeepSeek V4 Pro Public matrix, the full package produced more unsafe effects</w:t>
      </w:r>
      <w:r>
        <w:t xml:space="preserve"> </w:t>
      </w:r>
      <w:r>
        <w:t xml:space="preserve">(38/600 versus 13/600), while both packages completed 49/168 benign tool tasks.</w:t>
      </w:r>
      <w:r>
        <w:t xml:space="preserve"> </w:t>
      </w:r>
      <w:r>
        <w:t xml:space="preserve">The 1,791-record V4 Flash matrix showed the same security direction: 24/400</w:t>
      </w:r>
      <w:r>
        <w:t xml:space="preserve"> </w:t>
      </w:r>
      <w:r>
        <w:t xml:space="preserve">unsafe effects for the full package versus 12/400 for the policy package. The</w:t>
      </w:r>
      <w:r>
        <w:t xml:space="preserve"> </w:t>
      </w:r>
      <w:r>
        <w:t xml:space="preserve">Flash utility difference was small (38/145 versus 35/145).</w:t>
      </w:r>
    </w:p>
    <w:p>
      <w:pPr>
        <w:pStyle w:val="BodyText"/>
      </w:pPr>
      <w:r>
        <w:t xml:space="preserve">This is scientifically useful negative evidence, but it is package-level</w:t>
      </w:r>
      <w:r>
        <w:t xml:space="preserve"> </w:t>
      </w:r>
      <w:r>
        <w:t xml:space="preserve">evidence. The full configuration combines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with provenance,</w:t>
      </w:r>
      <w:r>
        <w:t xml:space="preserve"> </w:t>
      </w:r>
      <w:r>
        <w:t xml:space="preserve">temporal/data-flow, monotonicity, and confirmation logic; the policy package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prompting and policy enforcement alone. The experiment therefore</w:t>
      </w:r>
      <w:r>
        <w:t xml:space="preserve"> </w:t>
      </w:r>
      <w:r>
        <w:t xml:space="preserve">cannot assign the difference to any individual module or to prompting. It shows</w:t>
      </w:r>
      <w:r>
        <w:t xml:space="preserve"> </w:t>
      </w:r>
      <w:r>
        <w:t xml:space="preserve">that the evaluated bundle did not earn a security advantage under these tasks,</w:t>
      </w:r>
      <w:r>
        <w:t xml:space="preserve"> </w:t>
      </w:r>
      <w:r>
        <w:t xml:space="preserve">not that provenance or confirmation is intrinsically ineffective.</w:t>
      </w:r>
    </w:p>
    <w:bookmarkEnd w:id="62"/>
    <w:bookmarkStart w:id="63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pooled benign-tool completion by 21.67 points for the</w:t>
      </w:r>
      <w:r>
        <w:t xml:space="preserve"> </w:t>
      </w:r>
      <w:r>
        <w:t xml:space="preserve">policy package and 15.00 points for the full package.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pooled direction is incomplete. AgentDojo completion increased by 13.33</w:t>
      </w:r>
      <w:r>
        <w:t xml:space="preserve"> </w:t>
      </w:r>
      <w:r>
        <w:t xml:space="preserve">points for the policy package and 10.00 points for the full package, whereas</w:t>
      </w:r>
      <w:r>
        <w:t xml:space="preserve"> </w:t>
      </w:r>
      <w:r>
        <w:t xml:space="preserve">M3-v2 completion fell by 56.67 and 40.00 points. Authorization semantics and</w:t>
      </w:r>
      <w:r>
        <w:t xml:space="preserve"> </w:t>
      </w:r>
      <w:r>
        <w:t xml:space="preserve">benchmark task structure therefore interact strongly enough that a single</w:t>
      </w:r>
      <w:r>
        <w:t xml:space="preserve"> </w:t>
      </w:r>
      <w:r>
        <w:t xml:space="preserve">pooled oracle-versus-compiled estimate should not be transported to either</w:t>
      </w:r>
      <w:r>
        <w:t xml:space="preserve"> </w:t>
      </w:r>
      <w:r>
        <w:t xml:space="preserve">benchmark in isolation.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packages but increased the share of records with DENY from 7.22% to 48.89% for</w:t>
      </w:r>
      <w:r>
        <w:t xml:space="preserve"> </w:t>
      </w:r>
      <w:r>
        <w:t xml:space="preserve">the policy package and from 11.11% to 45.00% for the full package.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p>
      <w:pPr>
        <w:pStyle w:val="BodyText"/>
      </w:pPr>
      <w:r>
        <w:t xml:space="preserve">The pessimistic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bound makes that point</w:t>
      </w:r>
      <w:r>
        <w:t xml:space="preserve"> </w:t>
      </w:r>
      <w:r>
        <w:t xml:space="preserve">more explicit. Exact authorization increased this attack endpoint by 18 points</w:t>
      </w:r>
      <w:r>
        <w:t xml:space="preserve"> </w:t>
      </w:r>
      <w:r>
        <w:t xml:space="preserve">for both packages overall, driven by +36-point changes on AgentDojo and no</w:t>
      </w:r>
      <w:r>
        <w:t xml:space="preserve"> </w:t>
      </w:r>
      <w:r>
        <w:t xml:space="preserve">change on M3-v2. This does not convert failures into attacks; it demonstrates</w:t>
      </w:r>
      <w:r>
        <w:t xml:space="preserve"> </w:t>
      </w:r>
      <w:r>
        <w:t xml:space="preserve">that a near-zero observed unsafe-effect rate can coexist with poor operational</w:t>
      </w:r>
      <w:r>
        <w:t xml:space="preserve"> </w:t>
      </w:r>
      <w:r>
        <w:t xml:space="preserve">robustness.</w:t>
      </w:r>
    </w:p>
    <w:bookmarkEnd w:id="63"/>
    <w:bookmarkStart w:id="64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The policy package then outperformed the full</w:t>
      </w:r>
      <w:r>
        <w:t xml:space="preserve"> </w:t>
      </w:r>
      <w:r>
        <w:t xml:space="preserve">package on security without losing additional utility. The interpretation is</w:t>
      </w:r>
      <w:r>
        <w:t xml:space="preserve"> </w:t>
      </w:r>
      <w:r>
        <w:t xml:space="preserve">not that provenance is intrinsically harmful. It is that the evaluated bundle</w:t>
      </w:r>
      <w:r>
        <w:t xml:space="preserve"> </w:t>
      </w:r>
      <w:r>
        <w:t xml:space="preserve">did not earn a security advantage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system-facing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outcomes separately. The unsafe-or-failure</w:t>
      </w:r>
      <w:r>
        <w:t xml:space="preserve"> </w:t>
      </w:r>
      <w:r>
        <w:t xml:space="preserve">sensitivity endpoint is shown only as an explicitly pessimistic robustness</w:t>
      </w:r>
      <w:r>
        <w:t xml:space="preserve"> </w:t>
      </w:r>
      <w:r>
        <w:t xml:space="preserve">bound, not as a replacement composite score.</w:t>
      </w:r>
    </w:p>
    <w:bookmarkEnd w:id="64"/>
    <w:bookmarkStart w:id="65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5"/>
    <w:bookmarkStart w:id="66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configuration packages,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6"/>
    <w:bookmarkStart w:id="67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stopping rule closed with 32/450 terminal work items, including five with</w:t>
      </w:r>
      <w:r>
        <w:t xml:space="preserve"> </w:t>
      </w:r>
      <w:r>
        <w:t xml:space="preserve">official model responses; 83 observed items remained nonterminal and 335 were</w:t>
      </w:r>
      <w:r>
        <w:t xml:space="preserve"> </w:t>
      </w:r>
      <w:r>
        <w:t xml:space="preserve">unstarted. These rows are retained for operational accounting but excluded</w:t>
      </w:r>
      <w:r>
        <w:t xml:space="preserve"> </w:t>
      </w:r>
      <w:r>
        <w:t xml:space="preserve">from scientific inference. External validity is therefore limited to DeepSeek</w:t>
      </w:r>
      <w:r>
        <w:t xml:space="preserve"> </w:t>
      </w:r>
      <w:r>
        <w:t xml:space="preserve">V4 Pro and V4 Flash, and no cross-provider conclusion is made.</w:t>
      </w:r>
    </w:p>
    <w:bookmarkEnd w:id="67"/>
    <w:bookmarkStart w:id="68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families; the larger Public evidence adds another model from the same provider,</w:t>
      </w:r>
      <w:r>
        <w:t xml:space="preserve"> </w:t>
      </w:r>
      <w:r>
        <w:t xml:space="preserve">not an independent vendor. Model updates, tool schemas, system prompts, and</w:t>
      </w:r>
      <w:r>
        <w:t xml:space="preserve"> </w:t>
      </w:r>
      <w:r>
        <w:t xml:space="preserve">application context may change the effects. The Gemini subset closed incomplete</w:t>
      </w:r>
      <w:r>
        <w:t xml:space="preserve"> </w:t>
      </w:r>
      <w:r>
        <w:t xml:space="preserve">and contributes no cross-provider inference. Although execution dates, official</w:t>
      </w:r>
      <w:r>
        <w:t xml:space="preserve"> </w:t>
      </w:r>
      <w:r>
        <w:t xml:space="preserve">response identifiers, and returned model names are retained, provider-managed</w:t>
      </w:r>
      <w:r>
        <w:t xml:space="preserve"> </w:t>
      </w:r>
      <w:r>
        <w:t xml:space="preserve">aliases do 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 the policy/full contrast is bundled: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prompting changes together with provenance, data-flow, monotonicity, and</w:t>
      </w:r>
      <w:r>
        <w:t xml:space="preserve"> </w:t>
      </w:r>
      <w:r>
        <w:t xml:space="preserve">confirmation modules. It cannot support component-level causal attribution.</w:t>
      </w:r>
    </w:p>
    <w:p>
      <w:pPr>
        <w:pStyle w:val="BodyText"/>
      </w:pPr>
      <w:r>
        <w:t xml:space="preserve">Fourth,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Fifth,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Sixth,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Seventh,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Eighth,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observed only as system confirmation-request incidence.</w:t>
      </w:r>
      <w:r>
        <w:t xml:space="preserve"> </w:t>
      </w:r>
      <w:r>
        <w:t xml:space="preserve">Confirmation stayed pending in the synthetic environment, so this study does</w:t>
      </w:r>
      <w:r>
        <w:t xml:space="preserve"> </w:t>
      </w:r>
      <w:r>
        <w:t xml:space="preserve">not measure human response quality, workload, or usable-security outcomes.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8"/>
    <w:bookmarkStart w:id="69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simpler policy package on</w:t>
      </w:r>
      <w:r>
        <w:t xml:space="preserve"> </w:t>
      </w:r>
      <w:r>
        <w:t xml:space="preserve">the same tasks, with prompt profiles held fixed when component attribution is</w:t>
      </w:r>
      <w:r>
        <w:t xml:space="preserve"> </w:t>
      </w:r>
      <w:r>
        <w:t xml:space="preserve">the goal; otherwise a complex bundle may receive credit for behavior already</w:t>
      </w:r>
      <w:r>
        <w:t xml:space="preserve"> </w:t>
      </w:r>
      <w:r>
        <w:t xml:space="preserve">supplied by the base policy or prompt. Third, security reports should include</w:t>
      </w:r>
      <w:r>
        <w:t xml:space="preserve"> </w:t>
      </w:r>
      <w:r>
        <w:t xml:space="preserve">benign completion, system confirmation/blocking incidence, failures, latency,</w:t>
      </w:r>
      <w:r>
        <w:t xml:space="preserve"> </w:t>
      </w:r>
      <w:r>
        <w:t xml:space="preserve">and attack 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closed with an incomplete</w:t>
      </w:r>
      <w:r>
        <w:t xml:space="preserve"> </w:t>
      </w:r>
      <w:r>
        <w:t xml:space="preserve">diagnostic subset, which cannot alter or broaden the DeepSeek findings.</w:t>
      </w:r>
    </w:p>
    <w:bookmarkEnd w:id="69"/>
    <w:bookmarkEnd w:id="70"/>
    <w:bookmarkStart w:id="71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the full configuration package reduced unsafe effects relative to a structural</w:t>
      </w:r>
      <w:r>
        <w:t xml:space="preserve"> </w:t>
      </w:r>
      <w:r>
        <w:t xml:space="preserve">baseline but did not improve on the policy package. The direction replicated</w:t>
      </w:r>
      <w:r>
        <w:t xml:space="preserve"> </w:t>
      </w:r>
      <w:r>
        <w:t xml:space="preserve">across DeepSeek V4 Pro and V4 Flash: the full package produced more unsafe</w:t>
      </w:r>
      <w:r>
        <w:t xml:space="preserve"> </w:t>
      </w:r>
      <w:r>
        <w:t xml:space="preserve">effects, while benign-tool utility was equal or only slightly different.</w:t>
      </w:r>
      <w:r>
        <w:t xml:space="preserve"> </w:t>
      </w:r>
      <w:r>
        <w:t xml:space="preserve">Because prompt profile and runtime modules differ together, this is a bundled</w:t>
      </w:r>
      <w:r>
        <w:t xml:space="preserve"> </w:t>
      </w:r>
      <w:r>
        <w:t xml:space="preserve">comparison and does not identify an individual component effect.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cells. The pooled exact-minus-auto benign-tool differences were −21.67</w:t>
      </w:r>
      <w:r>
        <w:t xml:space="preserve"> </w:t>
      </w:r>
      <w:r>
        <w:t xml:space="preserve">points for the policy package and −15.00 for the full package, but AgentDojo</w:t>
      </w:r>
      <w:r>
        <w:t xml:space="preserve"> </w:t>
      </w:r>
      <w:r>
        <w:t xml:space="preserve">improved by 13.33/10.00 points while M3-v2 fell by 56.67/40.00. Under a</w:t>
      </w:r>
      <w:r>
        <w:t xml:space="preserve"> </w:t>
      </w:r>
      <w:r>
        <w:t xml:space="preserve">pessimistic unsafe-or-operational-failure bound, both packages worsened by 18</w:t>
      </w:r>
      <w:r>
        <w:t xml:space="preserve"> </w:t>
      </w:r>
      <w:r>
        <w:t xml:space="preserve">points overall, driven by +36-point changes on AgentDojo and no change on</w:t>
      </w:r>
      <w:r>
        <w:t xml:space="preserve"> </w:t>
      </w:r>
      <w:r>
        <w:t xml:space="preserve">M3-v2. Exact authorization removed system ASK but moved 45.00–48.89% of records</w:t>
      </w:r>
      <w:r>
        <w:t xml:space="preserve"> </w:t>
      </w:r>
      <w:r>
        <w:t xml:space="preserve">into at least one DENY, raised failures to approximately 24%, and increased</w:t>
      </w:r>
      <w:r>
        <w:t xml:space="preserve"> </w:t>
      </w:r>
      <w:r>
        <w:t xml:space="preserve">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configuration packages on identical tasks and hold prompts fixed when seeking</w:t>
      </w:r>
      <w:r>
        <w:t xml:space="preserve"> </w:t>
      </w:r>
      <w:r>
        <w:t xml:space="preserve">component attribution, and report utility, system ASK/DENY incidence, failures,</w:t>
      </w:r>
      <w:r>
        <w:t xml:space="preserve"> </w:t>
      </w:r>
      <w:r>
        <w:t xml:space="preserve">latency, and attack budget alongside unsafe 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closed incomplete under its free-tier stopping rule and remains</w:t>
      </w:r>
      <w:r>
        <w:t xml:space="preserve"> </w:t>
      </w:r>
      <w:r>
        <w:t xml:space="preserve">diagnostic; it cannot erase or broaden the completed DeepSeek findings.</w:t>
      </w:r>
    </w:p>
    <w:bookmarkEnd w:id="71"/>
    <w:bookmarkStart w:id="77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15251"/>
            <wp:effectExtent b="0" l="0" r="0" t="0"/>
            <wp:docPr descr="Figure 2. Direct attack risk and failure-sensitive bound versus benign utilit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5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Direct attack risk and failure-sensitive bound versus benign utility.</w:t>
      </w:r>
    </w:p>
    <w:p>
      <w:pPr>
        <w:pStyle w:val="CaptionedFigure"/>
      </w:pPr>
      <w:r>
        <w:drawing>
          <wp:inline>
            <wp:extent cx="5334000" cy="3924522"/>
            <wp:effectExtent b="0" l="0" r="0" t="0"/>
            <wp:docPr descr="Figure 3. Paired authorization and configuration-package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configuration-package effects.</w:t>
      </w:r>
    </w:p>
    <w:p>
      <w:pPr>
        <w:pStyle w:val="CaptionedFigure"/>
      </w:pPr>
      <w:r>
        <w:drawing>
          <wp:inline>
            <wp:extent cx="5334000" cy="3717583"/>
            <wp:effectExtent b="0" l="0" r="0" t="0"/>
            <wp:docPr descr="Figure 4. Runtime burden by task type and benchmark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burden by task type and benchmark.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7"/>
    <w:bookmarkStart w:id="84" w:name="tables"/>
    <w:p>
      <w:pPr>
        <w:pStyle w:val="Heading2"/>
        <w:keepNext/>
      </w:pPr>
      <w:r>
        <w:t xml:space="preserve">Tables</w:t>
      </w:r>
    </w:p>
    <w:bookmarkStart w:id="78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8"/>
    <w:bookmarkStart w:id="79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and the pessimistic unsafe-or-operational-failure bound among attacks, plus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258"/>
        <w:gridCol w:w="1432"/>
        <w:gridCol w:w="1432"/>
        <w:gridCol w:w="1709"/>
        <w:gridCol w:w="1780"/>
        <w:gridCol w:w="174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Unsafe or failure,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8/100 (8.0%) [4.1%, 15.0%]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3/30 (10.0%) [3.5%, 25.6%]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2/30 (6.7%) [1.8%, 21.3%]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26/100 (26.0%) [18.4%, 35.4%]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2/30 (6.7%) [1.8%, 21.3%]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7/100 (7.0%) [3.4%, 13.7%]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25/100 (25.0%) [17.5%, 34.3%]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9"/>
    <w:bookmarkStart w:id="80" w:name="Xdaa5b376f26e16b8b05d1e75b3773dc02f77c00"/>
    <w:p>
      <w:pPr>
        <w:pStyle w:val="Heading3"/>
        <w:keepNext/>
      </w:pPr>
      <w:r>
        <w:t xml:space="preserve">Table 3. Paired authorization and configuration-package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7"/>
        <w:gridCol w:w="1048"/>
        <w:gridCol w:w="1294"/>
        <w:gridCol w:w="927"/>
        <w:gridCol w:w="1048"/>
        <w:gridCol w:w="1130"/>
        <w:gridCol w:w="1154"/>
        <w:gridCol w:w="947"/>
        <w:gridCol w:w="885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0"/>
    <w:bookmarkStart w:id="81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system-event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47"/>
        <w:gridCol w:w="1059"/>
        <w:gridCol w:w="1059"/>
        <w:gridCol w:w="1121"/>
        <w:gridCol w:w="1135"/>
        <w:gridCol w:w="988"/>
        <w:gridCol w:w="1135"/>
        <w:gridCol w:w="924"/>
        <w:gridCol w:w="99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1"/>
    <w:bookmarkStart w:id="82" w:name="X92aee0949d199e02d306fe84d0f5988bf24ea0c"/>
    <w:p>
      <w:pPr>
        <w:pStyle w:val="Heading3"/>
        <w:keepNext/>
      </w:pPr>
      <w:r>
        <w:t xml:space="preserve">Table 5. Benchmark-stratified paired estimates</w:t>
      </w:r>
    </w:p>
    <w:p>
      <w:pPr>
        <w:pStyle w:val="FirstParagraph"/>
      </w:pPr>
      <w:r>
        <w:t xml:space="preserve">Paired benign-tool completion and attack unsafe-or-failure estimates by benchmark. These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33"/>
        <w:gridCol w:w="954"/>
        <w:gridCol w:w="1178"/>
        <w:gridCol w:w="1235"/>
        <w:gridCol w:w="933"/>
        <w:gridCol w:w="954"/>
        <w:gridCol w:w="973"/>
        <w:gridCol w:w="1057"/>
        <w:gridCol w:w="1143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First n/N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Second n/N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+4.0]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+6.0]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+36.0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[+20.0, +52.0]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+36.0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[+20.0, +52.0]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[-16.7,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[-3.3, +23.3]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[-3.3, +30.0]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[-6.0, +14.0]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[-6.0, +14.0]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12/30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[-30.0, -3.3]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12/30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-40.0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[-56.7, -23.3]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[-73.3, -40.0]</w:t>
            </w:r>
          </w:p>
        </w:tc>
      </w:tr>
    </w:tbl>
    <w:bookmarkEnd w:id="82"/>
    <w:bookmarkStart w:id="83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3"/>
    <w:bookmarkEnd w:id="84"/>
    <w:bookmarkStart w:id="85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Numbered markers map to the condition key; a</w:t>
      </w:r>
      <w:r>
        <w:t xml:space="preserve"> </w:t>
      </w:r>
      <w:r>
        <w:t xml:space="preserve">slash joins conditions with exactly coincident coordinates. Near-identical</w:t>
      </w:r>
      <w:r>
        <w:t xml:space="preserve"> </w:t>
      </w:r>
      <w:r>
        <w:t xml:space="preserve">attack safety can coexist with 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5"/>
    <w:bookmarkStart w:id="92" w:name="submission-statements"/>
    <w:p>
      <w:pPr>
        <w:pStyle w:val="Heading2"/>
        <w:keepNext/>
      </w:pPr>
      <w:r>
        <w:t xml:space="preserve">Submission statements</w:t>
      </w:r>
    </w:p>
    <w:bookmarkStart w:id="86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6"/>
    <w:bookmarkStart w:id="87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7"/>
    <w:bookmarkStart w:id="88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8"/>
    <w:bookmarkStart w:id="89" w:name="X1f74eb43af444059c7518034463b6c89b1cacf4"/>
    <w:p>
      <w:pPr>
        <w:pStyle w:val="Heading3"/>
        <w:keepNext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9"/>
    <w:bookmarkStart w:id="90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0"/>
    <w:bookmarkStart w:id="91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1"/>
    <w:bookmarkEnd w:id="92"/>
    <w:bookmarkStart w:id="136" w:name="references"/>
    <w:p>
      <w:pPr>
        <w:pStyle w:val="Heading2"/>
        <w:keepNext/>
      </w:pPr>
      <w:r>
        <w:t xml:space="preserve">References</w:t>
      </w:r>
    </w:p>
    <w:bookmarkStart w:id="135" w:name="refs"/>
    <w:bookmarkStart w:id="94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3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4"/>
    <w:bookmarkStart w:id="96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5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6"/>
    <w:bookmarkStart w:id="98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8"/>
    <w:bookmarkStart w:id="100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9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0"/>
    <w:bookmarkStart w:id="102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1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2"/>
    <w:bookmarkStart w:id="104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3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4"/>
    <w:bookmarkStart w:id="106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5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6"/>
    <w:bookmarkStart w:id="108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7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8"/>
    <w:bookmarkStart w:id="110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9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0"/>
    <w:bookmarkStart w:id="112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1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2"/>
    <w:bookmarkStart w:id="114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3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4"/>
    <w:bookmarkStart w:id="116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5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6"/>
    <w:bookmarkStart w:id="118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7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8"/>
    <w:bookmarkStart w:id="120" w:name="ref-L08"/>
    <w:p>
      <w:pPr>
        <w:pStyle w:val="Bibliography"/>
      </w:pPr>
      <w:r>
        <w:t xml:space="preserve">Tsai, Lillian, and Eugene Bagdasaryan.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9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0"/>
    <w:bookmarkStart w:id="122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1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2"/>
    <w:bookmarkStart w:id="124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4"/>
    <w:bookmarkStart w:id="126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6"/>
    <w:bookmarkStart w:id="128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7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8"/>
    <w:bookmarkStart w:id="130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9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0"/>
    <w:bookmarkStart w:id="132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1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2"/>
    <w:bookmarkStart w:id="134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3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4"/>
    <w:bookmarkEnd w:id="135"/>
    <w:bookmarkEnd w:id="136"/>
    <w:bookmarkEnd w:id="137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75" Type="http://schemas.openxmlformats.org/officeDocument/2006/relationships/image" Target="media/rId75.png"/><Relationship Id="rId76" Type="http://schemas.openxmlformats.org/officeDocument/2006/relationships/image" Target="media/rId76.png"/><Relationship Id="rId105" Type="http://schemas.openxmlformats.org/officeDocument/2006/relationships/hyperlink" Target="https://arxiv.org/abs/2403.14720" TargetMode="External"/><Relationship Id="rId121" Type="http://schemas.openxmlformats.org/officeDocument/2006/relationships/hyperlink" Target="https://arxiv.org/abs/2404.13208" TargetMode="External"/><Relationship Id="rId99" Type="http://schemas.openxmlformats.org/officeDocument/2006/relationships/hyperlink" Target="https://arxiv.org/abs/2503.18813" TargetMode="External"/><Relationship Id="rId117" Type="http://schemas.openxmlformats.org/officeDocument/2006/relationships/hyperlink" Target="https://arxiv.org/abs/2504.11703" TargetMode="External"/><Relationship Id="rId115" Type="http://schemas.openxmlformats.org/officeDocument/2006/relationships/hyperlink" Target="https://arxiv.org/abs/2510.09023" TargetMode="External"/><Relationship Id="rId103" Type="http://schemas.openxmlformats.org/officeDocument/2006/relationships/hyperlink" Target="https://arxiv.org/abs/2604.10134" TargetMode="External"/><Relationship Id="rId127" Type="http://schemas.openxmlformats.org/officeDocument/2006/relationships/hyperlink" Target="https://arxiv.org/abs/2605.03378" TargetMode="External"/><Relationship Id="rId125" Type="http://schemas.openxmlformats.org/officeDocument/2006/relationships/hyperlink" Target="https://arxiv.org/abs/2605.26497" TargetMode="External"/><Relationship Id="rId111" Type="http://schemas.openxmlformats.org/officeDocument/2006/relationships/hyperlink" Target="https://arxiv.org/abs/2607.20827" TargetMode="External"/><Relationship Id="rId133" Type="http://schemas.openxmlformats.org/officeDocument/2006/relationships/hyperlink" Target="https://arxiv.org/abs/2607.27267" TargetMode="External"/><Relationship Id="rId12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9" Type="http://schemas.openxmlformats.org/officeDocument/2006/relationships/hyperlink" Target="https://doi.org/10.1145/3713082.3730378" TargetMode="External"/><Relationship Id="rId129" Type="http://schemas.openxmlformats.org/officeDocument/2006/relationships/hyperlink" Target="https://doi.org/10.18653/v1/2024.findings-acl.624" TargetMode="External"/><Relationship Id="rId107" Type="http://schemas.openxmlformats.org/officeDocument/2006/relationships/hyperlink" Target="https://doi.org/10.18653/v1/2025.acl-long.1435" TargetMode="External"/><Relationship Id="rId97" Type="http://schemas.openxmlformats.org/officeDocument/2006/relationships/hyperlink" Target="https://doi.org/10.18653/v1/2025.acl-long.890" TargetMode="External"/><Relationship Id="rId93" Type="http://schemas.openxmlformats.org/officeDocument/2006/relationships/hyperlink" Target="https://doi.org/10.18653/v1/2025.emnlp-main.53" TargetMode="External"/><Relationship Id="rId113" Type="http://schemas.openxmlformats.org/officeDocument/2006/relationships/hyperlink" Target="https://doi.org/10.18653/v1/2026.acl-long.443" TargetMode="External"/><Relationship Id="rId101" Type="http://schemas.openxmlformats.org/officeDocument/2006/relationships/hyperlink" Target="https://doi.org/10.52202/079017-2636" TargetMode="External"/><Relationship Id="rId109" Type="http://schemas.openxmlformats.org/officeDocument/2006/relationships/hyperlink" Target="https://doi.org/10.52202/085713-2791" TargetMode="External"/><Relationship Id="rId131" Type="http://schemas.openxmlformats.org/officeDocument/2006/relationships/hyperlink" Target="https://proceedings.iclr.cc/paper_files/paper/2025/hash/5750f91d8fb9d5c02bd8ad2c3b44456b-Abstract-Conference.html" TargetMode="External"/><Relationship Id="rId95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5" Type="http://schemas.openxmlformats.org/officeDocument/2006/relationships/hyperlink" Target="https://arxiv.org/abs/2403.14720" TargetMode="External"/><Relationship Id="rId121" Type="http://schemas.openxmlformats.org/officeDocument/2006/relationships/hyperlink" Target="https://arxiv.org/abs/2404.13208" TargetMode="External"/><Relationship Id="rId99" Type="http://schemas.openxmlformats.org/officeDocument/2006/relationships/hyperlink" Target="https://arxiv.org/abs/2503.18813" TargetMode="External"/><Relationship Id="rId117" Type="http://schemas.openxmlformats.org/officeDocument/2006/relationships/hyperlink" Target="https://arxiv.org/abs/2504.11703" TargetMode="External"/><Relationship Id="rId115" Type="http://schemas.openxmlformats.org/officeDocument/2006/relationships/hyperlink" Target="https://arxiv.org/abs/2510.09023" TargetMode="External"/><Relationship Id="rId103" Type="http://schemas.openxmlformats.org/officeDocument/2006/relationships/hyperlink" Target="https://arxiv.org/abs/2604.10134" TargetMode="External"/><Relationship Id="rId127" Type="http://schemas.openxmlformats.org/officeDocument/2006/relationships/hyperlink" Target="https://arxiv.org/abs/2605.03378" TargetMode="External"/><Relationship Id="rId125" Type="http://schemas.openxmlformats.org/officeDocument/2006/relationships/hyperlink" Target="https://arxiv.org/abs/2605.26497" TargetMode="External"/><Relationship Id="rId111" Type="http://schemas.openxmlformats.org/officeDocument/2006/relationships/hyperlink" Target="https://arxiv.org/abs/2607.20827" TargetMode="External"/><Relationship Id="rId133" Type="http://schemas.openxmlformats.org/officeDocument/2006/relationships/hyperlink" Target="https://arxiv.org/abs/2607.27267" TargetMode="External"/><Relationship Id="rId12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9" Type="http://schemas.openxmlformats.org/officeDocument/2006/relationships/hyperlink" Target="https://doi.org/10.1145/3713082.3730378" TargetMode="External"/><Relationship Id="rId129" Type="http://schemas.openxmlformats.org/officeDocument/2006/relationships/hyperlink" Target="https://doi.org/10.18653/v1/2024.findings-acl.624" TargetMode="External"/><Relationship Id="rId107" Type="http://schemas.openxmlformats.org/officeDocument/2006/relationships/hyperlink" Target="https://doi.org/10.18653/v1/2025.acl-long.1435" TargetMode="External"/><Relationship Id="rId97" Type="http://schemas.openxmlformats.org/officeDocument/2006/relationships/hyperlink" Target="https://doi.org/10.18653/v1/2025.acl-long.890" TargetMode="External"/><Relationship Id="rId93" Type="http://schemas.openxmlformats.org/officeDocument/2006/relationships/hyperlink" Target="https://doi.org/10.18653/v1/2025.emnlp-main.53" TargetMode="External"/><Relationship Id="rId113" Type="http://schemas.openxmlformats.org/officeDocument/2006/relationships/hyperlink" Target="https://doi.org/10.18653/v1/2026.acl-long.443" TargetMode="External"/><Relationship Id="rId101" Type="http://schemas.openxmlformats.org/officeDocument/2006/relationships/hyperlink" Target="https://doi.org/10.52202/079017-2636" TargetMode="External"/><Relationship Id="rId109" Type="http://schemas.openxmlformats.org/officeDocument/2006/relationships/hyperlink" Target="https://doi.org/10.52202/085713-2791" TargetMode="External"/><Relationship Id="rId131" Type="http://schemas.openxmlformats.org/officeDocument/2006/relationships/hyperlink" Target="https://proceedings.iclr.cc/paper_files/paper/2025/hash/5750f91d8fb9d5c02bd8ad2c3b44456b-Abstract-Conference.html" TargetMode="External"/><Relationship Id="rId95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2026-08-23T12:57:56Z</dcterms:created>
  <dcterms:modified xsi:type="dcterms:W3CDTF">2026-08-23T12:57:56Z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