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1" w:name="Xd9efb7391f2a5550bca577963c4515c86212927"/>
    <w:p>
      <w:pPr>
        <w:pStyle w:val="Heading1"/>
        <w:keepNext/>
      </w:pPr>
      <w:r>
        <w:t xml:space="preserve">Evaluating Runtime Authorization Under Context and Provenance Uncertainty for Tool-Using LLM Agents</w:t>
      </w:r>
    </w:p>
    <w:bookmarkStart w:id="20" w:name="abstract"/>
    <w:p>
      <w:pPr>
        <w:pStyle w:val="Heading2"/>
        <w:keepNext/>
      </w:pPr>
      <w:r>
        <w:t xml:space="preserve">Abstract</w:t>
      </w:r>
    </w:p>
    <w:p>
      <w:pPr>
        <w:pStyle w:val="FirstParagraph"/>
      </w:pPr>
      <w:r>
        <w:t xml:space="preserve">Tool-using LLM agents can turn prompt injection into external actions, but</w:t>
      </w:r>
      <w:r>
        <w:t xml:space="preserve"> </w:t>
      </w:r>
      <w:r>
        <w:t xml:space="preserve">measured security depends on runtime authorization. We exclude raw evaluator</w:t>
      </w:r>
      <w:r>
        <w:t xml:space="preserve"> </w:t>
      </w:r>
      <w:r>
        <w:t xml:space="preserve">and scoring fields from online state, vary authorization—including an</w:t>
      </w:r>
      <w:r>
        <w:t xml:space="preserve"> </w:t>
      </w:r>
      <w:r>
        <w:t xml:space="preserve">explicitly gold-derived sensitivity condition—and jointly measure unsafe</w:t>
      </w:r>
      <w:r>
        <w:t xml:space="preserve"> </w:t>
      </w:r>
      <w:r>
        <w:t xml:space="preserve">effects, task completion, burden, failure, latency, and cost.</w:t>
      </w:r>
    </w:p>
    <w:p>
      <w:pPr>
        <w:pStyle w:val="BodyText"/>
      </w:pPr>
      <w:r>
        <w:t xml:space="preserve">We reanalyze 7,353 DeepSeek records and 40 defense-aware adaptive</w:t>
      </w:r>
      <w:r>
        <w:t xml:space="preserve"> </w:t>
      </w:r>
      <w:r>
        <w:t xml:space="preserve">tasks. In a 5,082-record V4 Pro Public matrix, M3-full produced 38/600 unsafe</w:t>
      </w:r>
      <w:r>
        <w:t xml:space="preserve"> </w:t>
      </w:r>
      <w:r>
        <w:t xml:space="preserve">effects versus 13/600 for policy-only, while both completed 49/168 benign tool</w:t>
      </w:r>
      <w:r>
        <w:t xml:space="preserve"> </w:t>
      </w:r>
      <w:r>
        <w:t xml:space="preserve">tasks. A 1,791-record V4 Flash matrix showed the same security</w:t>
      </w:r>
      <w:r>
        <w:t xml:space="preserve"> </w:t>
      </w:r>
      <w:r>
        <w:t xml:space="preserve">direction (24/400 versus 12/400). Adaptive search found first unsafe effects</w:t>
      </w:r>
      <w:r>
        <w:t xml:space="preserve"> </w:t>
      </w:r>
      <w:r>
        <w:t xml:space="preserve">for 4/40 tasks by query 50 and 18/40 by query 200.</w:t>
      </w:r>
    </w:p>
    <w:p>
      <w:pPr>
        <w:pStyle w:val="BodyText"/>
      </w:pPr>
      <w:r>
        <w:t xml:space="preserve">A frozen 900-work-item V4 Pro experiment crossed two Guard variants with</w:t>
      </w:r>
      <w:r>
        <w:t xml:space="preserve"> </w:t>
      </w:r>
      <w:r>
        <w:t xml:space="preserve">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authorization on</w:t>
      </w:r>
      <w:r>
        <w:t xml:space="preserve"> </w:t>
      </w:r>
      <w:r>
        <w:t xml:space="preserve">180 paired AgentDojo and M3-v2 cases. Three of four main cells had 0/100 unsafe</w:t>
      </w:r>
      <w:r>
        <w:t xml:space="preserve"> </w:t>
      </w:r>
      <w:r>
        <w:t xml:space="preserve">effects and the fourth had 1/100.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percentage points for policy-only and</w:t>
      </w:r>
      <w:r>
        <w:t xml:space="preserve"> </w:t>
      </w:r>
      <w:r>
        <w:t xml:space="preserve">15.00 for M3-full. It eliminated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but increased records with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to</w:t>
      </w:r>
      <w:r>
        <w:t xml:space="preserve"> </w:t>
      </w:r>
      <w:r>
        <w:t xml:space="preserve">45.00–48.89%, failures to about 24%, and p95 latency to about 19.5 seconds.</w:t>
      </w:r>
    </w:p>
    <w:p>
      <w:pPr>
        <w:pStyle w:val="BodyText"/>
      </w:pPr>
      <w:r>
        <w:t xml:space="preserve">Authorization construction can therefore alter security–utility measurements</w:t>
      </w:r>
      <w:r>
        <w:t xml:space="preserve"> </w:t>
      </w:r>
      <w:r>
        <w:t xml:space="preserve">even when attack rates appear stable. The evaluated provenance-aware</w:t>
      </w:r>
      <w:r>
        <w:t xml:space="preserve"> </w:t>
      </w:r>
      <w:r>
        <w:t xml:space="preserve">extensions showed no stable gain over policy-only. A Gemini sample</w:t>
      </w:r>
      <w:r>
        <w:t xml:space="preserve"> </w:t>
      </w:r>
      <w:r>
        <w:t xml:space="preserve">remains pending and supports no cross-provider claim.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</w:pPr>
      <w:r>
        <w:t xml:space="preserve">1. Introduction</w:t>
      </w:r>
    </w:p>
    <w:bookmarkStart w:id="21" w:name="motivation"/>
    <w:p>
      <w:pPr>
        <w:pStyle w:val="Heading3"/>
        <w:keepNext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2025;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Bagdasarian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confirmation burden,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</w:pPr>
      <w:r>
        <w:t xml:space="preserve">1.3 Research questions</w:t>
      </w:r>
    </w:p>
    <w:p>
      <w:pPr>
        <w:pStyle w:val="FirstParagraph"/>
      </w:pPr>
      <w:r>
        <w:t xml:space="preserve">The study asks three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 Module contribution.</w:t>
      </w:r>
      <w:r>
        <w:t xml:space="preserve"> </w:t>
      </w:r>
      <w:r>
        <w:t xml:space="preserve">Does provenance, temporal/data-flow</w:t>
      </w:r>
      <w:r>
        <w:t xml:space="preserve"> </w:t>
      </w:r>
      <w:r>
        <w:t xml:space="preserve">enforcement, and confirmation add security beyond the same runtime with</w:t>
      </w:r>
      <w:r>
        <w:t xml:space="preserve"> </w:t>
      </w:r>
      <w:r>
        <w:t xml:space="preserve">policy-only enforcement, and what does it cost operationally?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these directions</w:t>
      </w:r>
      <w:r>
        <w:t xml:space="preserve"> </w:t>
      </w:r>
      <w:r>
        <w:t xml:space="preserve">stable across AgentDojo, M3-v2, a second provider, and the completed</w:t>
      </w:r>
      <w:r>
        <w:t xml:space="preserve"> </w:t>
      </w:r>
      <w:r>
        <w:t xml:space="preserve">defense-aware budgets 50 and 200?</w:t>
      </w:r>
    </w:p>
    <w:bookmarkEnd w:id="23"/>
    <w:bookmarkStart w:id="24" w:name="study-design"/>
    <w:p>
      <w:pPr>
        <w:pStyle w:val="Heading3"/>
        <w:keepNext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primary paired experiment crosses policy-only</w:t>
      </w:r>
      <w:r>
        <w:t xml:space="preserve"> </w:t>
      </w:r>
      <w:r>
        <w:t xml:space="preserve">and M3-full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nested subset adds three authorization stress regimes. The</w:t>
      </w:r>
      <w:r>
        <w:t xml:space="preserve"> </w:t>
      </w:r>
      <w:r>
        <w:t xml:space="preserve">cross-provider subset adds a peer-reviewed structural condition.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new primary sample contains 180 paired cases and 900 DeepSeek V4 Pro work</w:t>
      </w:r>
      <w:r>
        <w:t xml:space="preserve"> </w:t>
      </w:r>
      <w:r>
        <w:t xml:space="preserve">items; a nested 90-case sample contributes 450 planned Gemini 3.6 Flash work</w:t>
      </w:r>
      <w:r>
        <w:t xml:space="preserve"> </w:t>
      </w:r>
      <w:r>
        <w:t xml:space="preserve">items. The 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Provider tools and real</w:t>
      </w:r>
      <w:r>
        <w:t xml:space="preserve"> </w:t>
      </w:r>
      <w:r>
        <w:t xml:space="preserve">external effects are prohibited throughout.</w:t>
      </w:r>
    </w:p>
    <w:bookmarkEnd w:id="24"/>
    <w:bookmarkStart w:id="25" w:name="empirical-motivation-and-study-framing"/>
    <w:p>
      <w:pPr>
        <w:pStyle w:val="Heading3"/>
        <w:keepNext/>
      </w:pPr>
      <w:r>
        <w:t xml:space="preserve">1.5 Empirical motivation and study framing</w:t>
      </w:r>
    </w:p>
    <w:p>
      <w:pPr>
        <w:pStyle w:val="FirstParagraph"/>
      </w:pPr>
      <w:r>
        <w:t xml:space="preserve">The completed medium falsification study did not support an incremental</w:t>
      </w:r>
      <w:r>
        <w:t xml:space="preserve"> </w:t>
      </w:r>
      <w:r>
        <w:t xml:space="preserve">mechanism claim. M3-full reduced</w:t>
      </w:r>
      <w:r>
        <w:t xml:space="preserve"> </w:t>
      </w:r>
      <w:r>
        <w:t xml:space="preserve">unsafe effects from 8/36 under the structural condition to 0/36, but M3</w:t>
      </w:r>
      <w:r>
        <w:t xml:space="preserve"> </w:t>
      </w:r>
      <w:r>
        <w:t xml:space="preserve">policy-only also produced 0/36. Benign tool completion fell from 12/24 under</w:t>
      </w:r>
      <w:r>
        <w:t xml:space="preserve"> </w:t>
      </w:r>
      <w:r>
        <w:t xml:space="preserve">the structural condition to 6/24 under M3-full, violating the preregistered</w:t>
      </w:r>
      <w:r>
        <w:t xml:space="preserve"> </w:t>
      </w:r>
      <w:r>
        <w:t xml:space="preserve">non-inferiority margin. These observations motivate an empirical study of</w:t>
      </w:r>
      <w:r>
        <w:t xml:space="preserve"> </w:t>
      </w:r>
      <w:r>
        <w:t xml:space="preserve">authorization uncertainty and the security–utility frontier rather than a</w:t>
      </w:r>
      <w:r>
        <w:t xml:space="preserve"> </w:t>
      </w:r>
      <w:r>
        <w:t xml:space="preserve">claim that M3-full is a new or state-of-the-art defense.</w:t>
      </w:r>
    </w:p>
    <w:p>
      <w:pPr>
        <w:pStyle w:val="BodyText"/>
      </w:pPr>
      <w:r>
        <w:t xml:space="preserve">The larger, independently reproduced Public primary matrix reinforced this</w:t>
      </w:r>
      <w:r>
        <w:t xml:space="preserve"> </w:t>
      </w:r>
      <w:r>
        <w:t xml:space="preserve">finding. Across 600 attacks, M3-full reduced unsafe effects from 133 under</w:t>
      </w:r>
      <w:r>
        <w:t xml:space="preserve"> </w:t>
      </w:r>
      <w:r>
        <w:t xml:space="preserve">the structural condition to 38, but policy-only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mechanism therefore shows neither incremental</w:t>
      </w:r>
      <w:r>
        <w:t xml:space="preserve"> </w:t>
      </w:r>
      <w:r>
        <w:t xml:space="preserve">security nor utility value beyond policy-only in the primary-model evidence.</w:t>
      </w:r>
      <w:r>
        <w:t xml:space="preserve"> </w:t>
      </w:r>
      <w:r>
        <w:t xml:space="preserve">The 1.4955% retained diagnostic fraction also exceeds the predefined 1%</w:t>
      </w:r>
      <w:r>
        <w:t xml:space="preserve"> </w:t>
      </w:r>
      <w:r>
        <w:t xml:space="preserve">threshold for a clean mechanism-quality claim.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lean paper therefore</w:t>
      </w:r>
      <w:r>
        <w:t xml:space="preserve"> </w:t>
      </w:r>
      <w:r>
        <w:t xml:space="preserve">reports a first-success curve only through query 200 and makes no budget-500 or</w:t>
      </w:r>
      <w:r>
        <w:t xml:space="preserve"> </w:t>
      </w:r>
      <w:r>
        <w:t xml:space="preserve">2,000 claim.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reduced benign-tool completion, replaced ASK with much</w:t>
      </w:r>
      <w:r>
        <w:t xml:space="preserve"> </w:t>
      </w:r>
      <w:r>
        <w:t xml:space="preserve">more frequent DENY, and increased failure and latency. M3-full showed no stable</w:t>
      </w:r>
      <w:r>
        <w:t xml:space="preserve"> </w:t>
      </w:r>
      <w:r>
        <w:t xml:space="preserve">incremental security or utility advantage over policy-only. These unfavorable</w:t>
      </w:r>
      <w:r>
        <w:t xml:space="preserve"> </w:t>
      </w:r>
      <w:r>
        <w:t xml:space="preserve">results are retained; Gemini remains pending and therefore supports no current</w:t>
      </w:r>
      <w:r>
        <w:t xml:space="preserve"> </w:t>
      </w:r>
      <w:r>
        <w:t xml:space="preserve">cross-provider claim.</w:t>
      </w:r>
    </w:p>
    <w:bookmarkEnd w:id="25"/>
    <w:bookmarkStart w:id="26" w:name="contributions"/>
    <w:p>
      <w:pPr>
        <w:pStyle w:val="Heading3"/>
        <w:keepNext/>
      </w:pPr>
      <w:r>
        <w:t xml:space="preserve">1.6 Contributions</w:t>
      </w:r>
    </w:p>
    <w:p>
      <w:pPr>
        <w:pStyle w:val="FirstParagraph"/>
      </w:pPr>
      <w:r>
        <w:t xml:space="preserve">The current evidence supports four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paired security–utility evaluation that directly compares policy-only and</w:t>
      </w:r>
      <w:r>
        <w:t xml:space="preserve"> </w:t>
      </w:r>
      <w:r>
        <w:t xml:space="preserve">full provenance/temporal/confirmation enforcement;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confirmation burden,</w:t>
      </w:r>
      <w:r>
        <w:t xml:space="preserve"> </w:t>
      </w:r>
      <w:r>
        <w:t xml:space="preserve">benchmark/task heterogeneity, and defense-aware attack budget.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2025)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measuring executed unsafe effects,</w:t>
      </w:r>
      <w:r>
        <w:t xml:space="preserve"> </w:t>
      </w:r>
      <w:r>
        <w:t xml:space="preserve">benign utility, confirmation/blocking burden, and operational failure.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is narrower than M3’s executed-effect study,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policy-only and full provenance/temporal/confirmation variants</w:t>
      </w:r>
      <w:r>
        <w:t xml:space="preserve"> </w:t>
      </w:r>
      <w:r>
        <w:t xml:space="preserve">in paired conditions; and 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burden, operational failures, and</w:t>
      </w:r>
      <w:r>
        <w:t xml:space="preserve"> </w:t>
      </w:r>
      <w:r>
        <w:t xml:space="preserve">executed effects under a common evidence contract. These are study-design</w:t>
      </w:r>
      <w:r>
        <w:t xml:space="preserve"> </w:t>
      </w:r>
      <w:r>
        <w:t xml:space="preserve">claims and must stand on M3’s own completed experiments.</w:t>
      </w:r>
    </w:p>
    <w:bookmarkEnd w:id="29"/>
    <w:bookmarkStart w:id="30" w:name="X95edda8eeb9b8e6ead7ec27e010e422127bfb5d"/>
    <w:p>
      <w:pPr>
        <w:pStyle w:val="Heading3"/>
        <w:keepNext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Our evaluation therefore records whether a proposed</w:t>
      </w:r>
      <w:r>
        <w:t xml:space="preserve"> </w:t>
      </w:r>
      <w:r>
        <w:t xml:space="preserve">action crossed the runtime boundary and changed the sandbox state, while also</w:t>
      </w:r>
      <w:r>
        <w:t xml:space="preserve"> </w:t>
      </w:r>
      <w:r>
        <w:t xml:space="preserve">retaining benign task completion.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post-enforcement unsafe-effect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bookmarkEnd w:id="31"/>
    <w:bookmarkStart w:id="32" w:name="positioning-summary"/>
    <w:p>
      <w:pPr>
        <w:pStyle w:val="Heading3"/>
        <w:keepNext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The medium experiment already showed that</w:t>
      </w:r>
      <w:r>
        <w:t xml:space="preserve"> </w:t>
      </w:r>
      <w:r>
        <w:t xml:space="preserve">M3-full did not improve security over M3 policy-only and failed the benign-tool</w:t>
      </w:r>
      <w:r>
        <w:t xml:space="preserve"> </w:t>
      </w:r>
      <w:r>
        <w:t xml:space="preserve">non-inferiority criterion. The active paper instead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47" w:name="methods"/>
    <w:p>
      <w:pPr>
        <w:pStyle w:val="Heading2"/>
        <w:keepNext/>
      </w:pPr>
      <w:r>
        <w:t xml:space="preserve">3. Methods</w:t>
      </w:r>
    </w:p>
    <w:bookmarkStart w:id="34" w:name="study-design-and-research-questions"/>
    <w:p>
      <w:pPr>
        <w:pStyle w:val="Heading3"/>
        <w:keepNext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Guard mechanism while holding the task, attack,</w:t>
      </w:r>
      <w:r>
        <w:t xml:space="preserve"> </w:t>
      </w:r>
      <w:r>
        <w:t xml:space="preserve">provider, model, tool environment, and evaluator fixed.</w:t>
      </w:r>
    </w:p>
    <w:p>
      <w:pPr>
        <w:pStyle w:val="BodyText"/>
      </w:pPr>
      <w:r>
        <w:t xml:space="preserve">The study addresses three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RQ2: Mechanism contribution.</w:t>
      </w:r>
      <w:r>
        <w:t xml:space="preserve"> </w:t>
      </w:r>
      <w:r>
        <w:t xml:space="preserve">Does the provenance/data-flow/</w:t>
      </w:r>
      <w:r>
        <w:t xml:space="preserve"> </w:t>
      </w:r>
      <w:r>
        <w:t xml:space="preserve">confirmation logic in M3-full improve on the same runtime using policy-only</w:t>
      </w:r>
      <w:r>
        <w:t xml:space="preserve"> </w:t>
      </w:r>
      <w:r>
        <w:t xml:space="preserve">enforcement, and what operational cost does it introduce?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 observed</w:t>
      </w:r>
      <w:r>
        <w:t xml:space="preserve"> </w:t>
      </w:r>
      <w:r>
        <w:t xml:space="preserve">directions stable across AgentDojo, M3-v2, a second provider, and the</w:t>
      </w:r>
      <w:r>
        <w:t xml:space="preserve"> </w:t>
      </w:r>
      <w:r>
        <w:t xml:space="preserve">already completed defense-aware budgets 50 and 200?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M3-full underperforms policy-only, or the second</w:t>
      </w:r>
      <w:r>
        <w:t xml:space="preserve"> </w:t>
      </w:r>
      <w:r>
        <w:t xml:space="preserve">provider differs from the primary model.</w:t>
      </w:r>
    </w:p>
    <w:bookmarkEnd w:id="34"/>
    <w:bookmarkStart w:id="35" w:name="threat-model-and-safety-boundary"/>
    <w:p>
      <w:pPr>
        <w:pStyle w:val="Heading3"/>
        <w:keepNext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Permitted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 policy representation.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 policy-only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policy. Provenance propagation, temporal/data-flow checks, and</w:t>
      </w:r>
      <w:r>
        <w:t xml:space="preserve"> </w:t>
      </w:r>
      <w:r>
        <w:t xml:space="preserve">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M3-full</w:t>
      </w:r>
      <w:r>
        <w:t xml:space="preserve"> </w:t>
      </w:r>
      <w:r>
        <w:t xml:space="preserve">enables policy enforcement 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Gemini subset adds the strongest available peer-reviewed structural</w:t>
      </w:r>
      <w:r>
        <w:t xml:space="preserve"> </w:t>
      </w:r>
      <w:r>
        <w:t xml:space="preserve">baseline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The baseline is included to anchor the</w:t>
      </w:r>
      <w:r>
        <w:t xml:space="preserve"> </w:t>
      </w:r>
      <w:r>
        <w:t xml:space="preserve">cross-provider sample, not to support a universal ranking.</w:t>
      </w:r>
    </w:p>
    <w:bookmarkEnd w:id="37"/>
    <w:bookmarkStart w:id="38" w:name="authorization-regimes"/>
    <w:p>
      <w:pPr>
        <w:pStyle w:val="Heading3"/>
        <w:keepNext/>
      </w:pPr>
      <w:r>
        <w:t xml:space="preserve">3.5 Authorization regimes</w:t>
      </w:r>
    </w:p>
    <w:p>
      <w:pPr>
        <w:pStyle w:val="FirstParagraph"/>
      </w:pPr>
      <w:r>
        <w:t xml:space="preserve">Five regimes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task policy compiled from trusted user intent before</w:t>
      </w:r>
      <w:r>
        <w:t xml:space="preserve"> </w:t>
      </w:r>
      <w:r>
        <w:t xml:space="preserve">untrusted evidence is 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evaluator-derived authorization used only as an oracle</w:t>
      </w:r>
      <w:r>
        <w:t xml:space="preserve"> </w:t>
      </w:r>
      <w:r>
        <w:t xml:space="preserve">sensitivity condition;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a deliberately permissive authorization envelope;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necessary details or constraints are omitted;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the authorization object contains mutually inconsistent</w:t>
      </w:r>
      <w:r>
        <w:t xml:space="preserve"> </w:t>
      </w:r>
      <w:r>
        <w:t xml:space="preserve">constraints that the runtime must resolve or reject.</w:t>
      </w:r>
    </w:p>
    <w:p>
      <w:pPr>
        <w:pStyle w:val="FirstParagraph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Selection is stratified by benchmark, task type, and attack family. Every main</w:t>
      </w:r>
      <w:r>
        <w:t xml:space="preserve"> </w:t>
      </w:r>
      <w:r>
        <w:t xml:space="preserve">case is assigned to four cells: policy-only/</w:t>
      </w:r>
      <w:r>
        <w:rPr>
          <w:rStyle w:val="VerbatimChar"/>
        </w:rPr>
        <w:t xml:space="preserve">auto_compiled</w:t>
      </w:r>
      <w:r>
        <w:t xml:space="preserve">, policy-only/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and M3-full/</w:t>
      </w:r>
      <w:r>
        <w:rPr>
          <w:rStyle w:val="VerbatimChar"/>
        </w:rPr>
        <w:t xml:space="preserve">exact_gold</w:t>
      </w:r>
      <w:r>
        <w:t xml:space="preserve">. This produces</w:t>
      </w:r>
      <w:r>
        <w:t xml:space="preserve"> </w:t>
      </w:r>
      <w:r>
        <w:t xml:space="preserve">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frozen-cross-provider-sample"/>
    <w:p>
      <w:pPr>
        <w:pStyle w:val="Heading3"/>
        <w:keepNext/>
      </w:pPr>
      <w:r>
        <w:t xml:space="preserve">3.8 Frozen cross-provider sample</w:t>
      </w:r>
    </w:p>
    <w:p>
      <w:pPr>
        <w:pStyle w:val="FirstParagraph"/>
      </w:pPr>
      <w:r>
        <w:t xml:space="preserve">The Gemini study uses 90 cases nested within the DeepSeek main sample:</w:t>
      </w:r>
    </w:p>
    <w:p>
      <w:pPr>
        <w:numPr>
          <w:ilvl w:val="0"/>
          <w:numId w:val="1008"/>
        </w:numPr>
        <w:pStyle w:val="Compact"/>
      </w:pPr>
      <w:r>
        <w:t xml:space="preserve">50 attacks;</w:t>
      </w:r>
    </w:p>
    <w:p>
      <w:pPr>
        <w:numPr>
          <w:ilvl w:val="0"/>
          <w:numId w:val="1008"/>
        </w:numPr>
        <w:pStyle w:val="Compact"/>
      </w:pPr>
      <w:r>
        <w:t xml:space="preserve">30 benign tool tasks; and</w:t>
      </w:r>
    </w:p>
    <w:p>
      <w:pPr>
        <w:numPr>
          <w:ilvl w:val="0"/>
          <w:numId w:val="1008"/>
        </w:numPr>
        <w:pStyle w:val="Compact"/>
      </w:pPr>
      <w:r>
        <w:t xml:space="preserve">10 benign no-tool tasks.</w:t>
      </w:r>
    </w:p>
    <w:p>
      <w:pPr>
        <w:pStyle w:val="FirstParagraph"/>
      </w:pPr>
      <w:r>
        <w:t xml:space="preserve">Each case receives five assignments: structural baseline/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policy-only/</w:t>
      </w:r>
      <w:r>
        <w:rPr>
          <w:rStyle w:val="VerbatimChar"/>
        </w:rPr>
        <w:t xml:space="preserve">auto_compiled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policy-only/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t xml:space="preserve">and M3-full/</w:t>
      </w:r>
      <w:r>
        <w:rPr>
          <w:rStyle w:val="VerbatimChar"/>
        </w:rPr>
        <w:t xml:space="preserve">exact_gold</w:t>
      </w:r>
      <w:r>
        <w:t xml:space="preserve">. The plan contains 450 work items, including a six-item</w:t>
      </w:r>
      <w:r>
        <w:t xml:space="preserve"> </w:t>
      </w:r>
      <w:r>
        <w:t xml:space="preserve">formal prefix.</w:t>
      </w:r>
    </w:p>
    <w:p>
      <w:pPr>
        <w:pStyle w:val="BodyText"/>
      </w:pPr>
      <w:r>
        <w:t xml:space="preserve">Gemini uses the official free tier with a paid ceiling of USD 0. At the first</w:t>
      </w:r>
      <w:r>
        <w:t xml:space="preserve"> </w:t>
      </w:r>
      <w:r>
        <w:t xml:space="preserve">HTTP 429, the active run stops and leaves all unstarted items pending. On a new</w:t>
      </w:r>
      <w:r>
        <w:t xml:space="preserve"> </w:t>
      </w:r>
      <w:r>
        <w:t xml:space="preserve">provider quota day, only unstarted items and work items with no official model</w:t>
      </w:r>
      <w:r>
        <w:t xml:space="preserve"> </w:t>
      </w:r>
      <w:r>
        <w:t xml:space="preserve">response are eligible for explicit recovery. A rate-limited work item becomes</w:t>
      </w:r>
      <w:r>
        <w:t xml:space="preserve"> </w:t>
      </w:r>
      <w:r>
        <w:t xml:space="preserve">a terminal diagnostic on its third quota-day attempt. If the 450-item plan</w:t>
      </w:r>
      <w:r>
        <w:t xml:space="preserve"> </w:t>
      </w:r>
      <w:r>
        <w:t xml:space="preserve">still cannot be completed after three provider quota days, the observed subset</w:t>
      </w:r>
      <w:r>
        <w:t xml:space="preserve"> </w:t>
      </w:r>
      <w:r>
        <w:t xml:space="preserve">is reported diagnostically, unstarted work items are counted as unavailable,</w:t>
      </w:r>
      <w:r>
        <w:t xml:space="preserve"> </w:t>
      </w:r>
      <w:r>
        <w:t xml:space="preserve">and no cross-provider generalization claim is made.</w:t>
      </w:r>
    </w:p>
    <w:bookmarkEnd w:id="41"/>
    <w:bookmarkStart w:id="42" w:name="providers-and-model-identity"/>
    <w:p>
      <w:pPr>
        <w:pStyle w:val="Heading3"/>
        <w:keepNext/>
      </w:pPr>
      <w:r>
        <w:t xml:space="preserve">3.9 Providers and model identity</w:t>
      </w:r>
    </w:p>
    <w:p>
      <w:pPr>
        <w:pStyle w:val="FirstParagraph"/>
      </w:pPr>
      <w:r>
        <w:t xml:space="preserve">The primary model is DeepSeek V4 Pro through the official DeepSeek endpoint.</w:t>
      </w:r>
      <w:r>
        <w:t xml:space="preserve"> </w:t>
      </w:r>
      <w:r>
        <w:t xml:space="preserve">The cross-provider model is Gemini 3.6 Flash through the official Google</w:t>
      </w:r>
      <w:r>
        <w:t xml:space="preserve"> </w:t>
      </w:r>
      <w:r>
        <w:t xml:space="preserve">Generative Language OpenAI-compatible endpoint. Each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  <w:r>
        <w:t xml:space="preserve"> </w:t>
      </w:r>
      <w:r>
        <w:t xml:space="preserve">Provider calls for the evidence reported here were made during July and August</w:t>
      </w:r>
      <w:r>
        <w:t xml:space="preserve"> </w:t>
      </w:r>
      <w:r>
        <w:t xml:space="preserve">2026. The returned names are provider-managed model aliases and therefore</w:t>
      </w:r>
      <w:r>
        <w:t xml:space="preserve"> </w:t>
      </w:r>
      <w:r>
        <w:t xml:space="preserve">identify the served model at request time without freezing its hidden weights.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in a</w:t>
      </w:r>
      <w:r>
        <w:t xml:space="preserve"> </w:t>
      </w:r>
      <w:r>
        <w:t xml:space="preserve">restricted local run directory outside the analysis dataset. Exact model</w:t>
      </w:r>
      <w:r>
        <w:t xml:space="preserve"> </w:t>
      </w:r>
      <w:r>
        <w:t xml:space="preserve">identity is checked in the final one-pass integrity validation.</w:t>
      </w:r>
    </w:p>
    <w:bookmarkEnd w:id="42"/>
    <w:bookmarkStart w:id="43" w:name="failure-and-recovery-policy"/>
    <w:p>
      <w:pPr>
        <w:pStyle w:val="Heading3"/>
        <w:keepNext/>
      </w:pPr>
      <w:r>
        <w:t xml:space="preserve">3.10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9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9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9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9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9"/>
        </w:numPr>
        <w:pStyle w:val="Compact"/>
      </w:pPr>
      <w:r>
        <w:t xml:space="preserve">Gemini rate-limit recovery stops at the first 429 in each quota day and</w:t>
      </w:r>
      <w:r>
        <w:t xml:space="preserve"> </w:t>
      </w:r>
      <w:r>
        <w:t xml:space="preserve">becomes terminal on the third quota-day attempt.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 reports the count of superseded attempts. For Gemini, it applies the</w:t>
      </w:r>
      <w:r>
        <w:t xml:space="preserve"> </w:t>
      </w:r>
      <w:r>
        <w:t xml:space="preserve">same retry-state normalization as the runner using the content-free pause-event</w:t>
      </w:r>
      <w:r>
        <w:t xml:space="preserve"> </w:t>
      </w:r>
      <w:r>
        <w:t xml:space="preserve">ledger, so a quota pause cannot be mistaken for a scientific terminal. No prior</w:t>
      </w:r>
      <w:r>
        <w:t xml:space="preserve"> </w:t>
      </w:r>
      <w:r>
        <w:t xml:space="preserve">row is overwritten.</w:t>
      </w:r>
    </w:p>
    <w:bookmarkEnd w:id="43"/>
    <w:bookmarkStart w:id="44" w:name="outcomes"/>
    <w:p>
      <w:pPr>
        <w:pStyle w:val="Heading3"/>
        <w:keepNext/>
      </w:pPr>
      <w:r>
        <w:t xml:space="preserve">3.11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count,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count, operational failure, p50/p95 latency, total tokens, API cost, and</w:t>
      </w:r>
      <w:r>
        <w:t xml:space="preserve"> </w:t>
      </w:r>
      <w:r>
        <w:t xml:space="preserve">predefined heterogeneity by benchmark and attack family.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 Its unsafe-effect indicator records whether an</w:t>
      </w:r>
      <w:r>
        <w:t xml:space="preserve"> </w:t>
      </w:r>
      <w:r>
        <w:t xml:space="preserve">isolated unsafe effect was observed, while its operational failure remains a</w:t>
      </w:r>
      <w:r>
        <w:t xml:space="preserve"> </w:t>
      </w:r>
      <w:r>
        <w:t xml:space="preserve">separate reported outcome and it cannot count as task completion. Latency and</w:t>
      </w:r>
      <w:r>
        <w:t xml:space="preserve"> </w:t>
      </w:r>
      <w:r>
        <w:t xml:space="preserve">burden summaries likewise include all terminal work items, not only completed</w:t>
      </w:r>
      <w:r>
        <w:t xml:space="preserve"> </w:t>
      </w:r>
      <w:r>
        <w:t xml:space="preserve">ones.</w:t>
      </w:r>
    </w:p>
    <w:bookmarkEnd w:id="44"/>
    <w:bookmarkStart w:id="45" w:name="statistical-analysis"/>
    <w:p>
      <w:pPr>
        <w:pStyle w:val="Heading3"/>
        <w:keepNext/>
      </w:pPr>
      <w:r>
        <w:t xml:space="preserve">3.12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resamples. Each resample draws paired case identifiers with replacement and</w:t>
      </w:r>
      <w:r>
        <w:t xml:space="preserve"> </w:t>
      </w:r>
      <w:r>
        <w:t xml:space="preserve">keeps both condition outcomes for the selected case together; the case is the</w:t>
      </w:r>
      <w:r>
        <w:t xml:space="preserve"> </w:t>
      </w:r>
      <w:r>
        <w:t xml:space="preserve">cluster and inferential unit.</w:t>
      </w:r>
    </w:p>
    <w:p>
      <w:pPr>
        <w:pStyle w:val="BodyText"/>
      </w:pPr>
      <w:r>
        <w:t xml:space="preserve">The four primary authorization/mechanism comparisons are:</w:t>
      </w:r>
    </w:p>
    <w:p>
      <w:pPr>
        <w:numPr>
          <w:ilvl w:val="0"/>
          <w:numId w:val="1011"/>
        </w:numPr>
        <w:pStyle w:val="Compact"/>
      </w:pPr>
      <w:r>
        <w:t xml:space="preserve">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policy-only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M3-full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policy-only versus M3-full; and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policy-only versus M3-full.</w:t>
      </w:r>
    </w:p>
    <w:p>
      <w:pPr>
        <w:pStyle w:val="FirstParagraph"/>
      </w:pPr>
      <w:r>
        <w:t xml:space="preserve">McNemar p-values are Holm-adjusted separately for attack unsafe effect and</w:t>
      </w:r>
      <w:r>
        <w:t xml:space="preserve"> </w:t>
      </w:r>
      <w:r>
        <w:t xml:space="preserve">benign-tool TCR.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</w:t>
      </w:r>
      <w:r>
        <w:t xml:space="preserve"> </w:t>
      </w:r>
      <w:r>
        <w:t xml:space="preserve">are reported as prespecified regime extensions. Model, benchmark, and attack-</w:t>
      </w:r>
      <w:r>
        <w:t xml:space="preserve"> </w:t>
      </w:r>
      <w:r>
        <w:t xml:space="preserve">family panels are descriptive heterogeneity analyses rather than additional</w:t>
      </w:r>
      <w:r>
        <w:t xml:space="preserve"> </w:t>
      </w:r>
      <w:r>
        <w:t xml:space="preserve">confirmatory families.</w:t>
      </w:r>
    </w:p>
    <w:p>
      <w:pPr>
        <w:pStyle w:val="BodyText"/>
      </w:pPr>
      <w:r>
        <w:t xml:space="preserve">Adaptive evidence is limited to budgets 50 and 200. We report the cumulative</w:t>
      </w:r>
      <w:r>
        <w:t xml:space="preserve"> </w:t>
      </w:r>
      <w:r>
        <w:t xml:space="preserve">fraction of the fixed 40-task cohort with a first unsafe effect by query count</w:t>
      </w:r>
      <w:r>
        <w:t xml:space="preserve"> </w:t>
      </w:r>
      <w:r>
        <w:t xml:space="preserve">and the two observed budget points. We do not extrapolate a saturation level.</w:t>
      </w:r>
    </w:p>
    <w:bookmarkEnd w:id="45"/>
    <w:bookmarkStart w:id="46" w:name="minimal-verification-and-reproducibility"/>
    <w:p>
      <w:pPr>
        <w:pStyle w:val="Heading3"/>
        <w:keepNext/>
      </w:pPr>
      <w:r>
        <w:t xml:space="preserve">3.13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2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2"/>
        </w:numPr>
        <w:pStyle w:val="Compact"/>
      </w:pPr>
      <w:r>
        <w:t xml:space="preserve">the six-item formal prefix for each provider; and</w:t>
      </w:r>
    </w:p>
    <w:p>
      <w:pPr>
        <w:numPr>
          <w:ilvl w:val="0"/>
          <w:numId w:val="1012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provider writes one append-only compact raw JSONL. The final statistics</w:t>
      </w:r>
      <w:r>
        <w:t xml:space="preserve"> </w:t>
      </w:r>
      <w:r>
        <w:t xml:space="preserve">are written once to one authorization-analysis JSON, and figures are exported</w:t>
      </w:r>
      <w:r>
        <w:t xml:space="preserve"> </w:t>
      </w:r>
      <w:r>
        <w:t xml:space="preserve">as editable SVG plus raster QA previews. Reproducibility assets include frozen</w:t>
      </w:r>
      <w:r>
        <w:t xml:space="preserve"> </w:t>
      </w:r>
      <w:r>
        <w:t xml:space="preserve">samples, condition assignments, analysis code, aggregate tables, and versioned</w:t>
      </w:r>
      <w:r>
        <w:t xml:space="preserve"> </w:t>
      </w:r>
      <w:r>
        <w:t xml:space="preserve">source.</w:t>
      </w:r>
    </w:p>
    <w:bookmarkEnd w:id="46"/>
    <w:bookmarkEnd w:id="47"/>
    <w:bookmarkStart w:id="65" w:name="results"/>
    <w:p>
      <w:pPr>
        <w:pStyle w:val="Heading2"/>
        <w:keepNext/>
      </w:pPr>
      <w:r>
        <w:t xml:space="preserve">4. Results</w:t>
      </w:r>
    </w:p>
    <w:bookmarkStart w:id="52" w:name="medium-falsification-study"/>
    <w:p>
      <w:pPr>
        <w:pStyle w:val="Heading3"/>
        <w:keepNext/>
      </w:pPr>
      <w:r>
        <w:t xml:space="preserve">4.1 Medium falsification study</w:t>
      </w:r>
    </w:p>
    <w:p>
      <w:pPr>
        <w:pStyle w:val="FirstParagraph"/>
      </w:pPr>
      <w:r>
        <w:t xml:space="preserve">The medium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preregistered analysis did not support an incremental</w:t>
      </w:r>
      <w:r>
        <w:t xml:space="preserve"> </w:t>
      </w:r>
      <w:r>
        <w:t xml:space="preserve">mechanism claim. M3-full met the security-effect and deny-all criteria, but</w:t>
      </w:r>
      <w:r>
        <w:t xml:space="preserve"> </w:t>
      </w:r>
      <w:r>
        <w:t xml:space="preserve">missed the utility point non-inferiority criterion and showed no security gain</w:t>
      </w:r>
      <w:r>
        <w:t xml:space="preserve"> </w:t>
      </w:r>
      <w:r>
        <w:t xml:space="preserve">over M3 policy-only. Both the favorable security comparison and the</w:t>
      </w:r>
      <w:r>
        <w:t xml:space="preserve"> </w:t>
      </w:r>
      <w:r>
        <w:t xml:space="preserve">unfavorable utility and module comparisons are reported.</w:t>
      </w:r>
    </w:p>
    <w:bookmarkStart w:id="48" w:name="Xce66d77d9cae9642b55d5a17ef25ebb445c8776"/>
    <w:p>
      <w:pPr>
        <w:pStyle w:val="Heading4"/>
        <w:keepNext/>
      </w:pPr>
      <w:r>
        <w:t xml:space="preserve">Supplementary Table S1. Online-state source audit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48"/>
        <w:gridCol w:w="1948"/>
        <w:gridCol w:w="2318"/>
        <w:gridCol w:w="22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Conclusion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Audited units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Independently reviewed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use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online gold observed on covered path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Not a runtime guard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Taxonomy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Mixed or path dependent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caution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Inconclusive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substantive claim</w:t>
            </w:r>
          </w:p>
        </w:tc>
      </w:tr>
    </w:tbl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bookmarkEnd w:id="48"/>
    <w:bookmarkStart w:id="49" w:name="X9386dbd24111302fa08841e715755c27f016afe"/>
    <w:p>
      <w:pPr>
        <w:pStyle w:val="Heading4"/>
        <w:keepNext/>
      </w:pPr>
      <w:r>
        <w:t xml:space="preserve">Supplementary Table S2. Completed medium security and utility outcomes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22"/>
        <w:gridCol w:w="1622"/>
        <w:gridCol w:w="1732"/>
        <w:gridCol w:w="1515"/>
        <w:gridCol w:w="1570"/>
        <w:gridCol w:w="1299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 effects / 36 attacks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rate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completions / 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TCR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No-tool TCR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11/24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45.83% (27.89–64.93)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29.17% (14.91–49.17)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25.00% (12.00–44.90)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</w:tbl>
    <w:p>
      <w:pPr>
        <w:pStyle w:val="BodyText"/>
      </w:pPr>
      <w:r>
        <w:t xml:space="preserve">The medium sample therefore shows a security–utility trade-off, not an</w:t>
      </w:r>
      <w:r>
        <w:t xml:space="preserve"> </w:t>
      </w:r>
      <w:r>
        <w:t xml:space="preserve">incremental mechanism benefit. Both M3 variants eliminated the eight unsafe</w:t>
      </w:r>
      <w:r>
        <w:t xml:space="preserve"> </w:t>
      </w:r>
      <w:r>
        <w:t xml:space="preserve">effects observed under the structural condition, but they also completed</w:t>
      </w:r>
      <w:r>
        <w:t xml:space="preserve"> </w:t>
      </w:r>
      <w:r>
        <w:t xml:space="preserve">substantially fewer benign tool tasks.</w:t>
      </w:r>
    </w:p>
    <w:bookmarkEnd w:id="49"/>
    <w:bookmarkStart w:id="50" w:name="X6f56b9f04523f209afe60dd95792596d12ebb2f"/>
    <w:p>
      <w:pPr>
        <w:pStyle w:val="Heading4"/>
        <w:keepNext/>
      </w:pPr>
      <w:r>
        <w:t xml:space="preserve">Supplementary Table S3. Prespecified paired comparisons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162"/>
        <w:gridCol w:w="1881"/>
        <w:gridCol w:w="1638"/>
        <w:gridCol w:w="1638"/>
        <w:gridCol w:w="204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Treatment minus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Exact 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Holm-adjusted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10,000-cluster bootstrap 95% CI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−22.22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0.0078125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−36.11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 to 0.00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−25.00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0.09375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−41.67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−4.17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−12.50 to 0.00 pp</w:t>
            </w:r>
          </w:p>
        </w:tc>
      </w:tr>
    </w:tbl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mechanism did not outperform policy-only.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bookmarkEnd w:id="50"/>
    <w:bookmarkStart w:id="51" w:name="X271f53f8a755b82505b312d03be2407729019f7"/>
    <w:p>
      <w:pPr>
        <w:pStyle w:val="Heading4"/>
        <w:keepNext/>
      </w:pPr>
      <w:r>
        <w:t xml:space="preserve">Supplementary Table S4. Runtime burden and operational quality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07"/>
        <w:gridCol w:w="1093"/>
        <w:gridCol w:w="1276"/>
        <w:gridCol w:w="1472"/>
        <w:gridCol w:w="1253"/>
        <w:gridCol w:w="1437"/>
        <w:gridCol w:w="132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5"/>
              </w:rPr>
              <w:t xml:space="preserve">ASK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Benign ASK 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Provider calls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Trace-bundle cost (CNY)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Total latency p95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0.1821176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16.924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0.1812942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15.971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0.0986064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18.249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0.2568822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21.251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19.44%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0.0548220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7.897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22.22%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0.1441772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10.701 s</w:t>
            </w:r>
          </w:p>
        </w:tc>
      </w:tr>
    </w:tbl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predefined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M3-full,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burden and cannot be interpreted as successful human</w:t>
      </w:r>
      <w:r>
        <w:t xml:space="preserve"> </w:t>
      </w:r>
      <w:r>
        <w:t xml:space="preserve">approval.</w:t>
      </w:r>
    </w:p>
    <w:bookmarkEnd w:id="51"/>
    <w:bookmarkEnd w:id="52"/>
    <w:bookmarkStart w:id="53" w:name="authorization-regime-sensitivity"/>
    <w:p>
      <w:pPr>
        <w:pStyle w:val="Heading3"/>
        <w:keepNext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M3 policy-only and M3-full.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53"/>
    <w:bookmarkStart w:id="54" w:name="prespecified-decision-criteria"/>
    <w:p>
      <w:pPr>
        <w:pStyle w:val="Heading3"/>
        <w:keepNext/>
      </w:pPr>
      <w:r>
        <w:t xml:space="preserve">4.3 Prespecified decision criteria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074"/>
        <w:gridCol w:w="2738"/>
        <w:gridCol w:w="354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policy-only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predefined quality checks passed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Supported interpretation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trade-off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Incremental defense-mechanism claim not supported</w:t>
            </w:r>
          </w:p>
        </w:tc>
      </w:tr>
    </w:tbl>
    <w:p>
      <w:pPr>
        <w:pStyle w:val="BodyText"/>
      </w:pPr>
      <w:r>
        <w:t xml:space="preserve">The results therefore support an empirical study of authorization uncertainty</w:t>
      </w:r>
      <w:r>
        <w:t xml:space="preserve"> </w:t>
      </w:r>
      <w:r>
        <w:t xml:space="preserve">and the security–utility trade-off. They do not support a defense-superiority</w:t>
      </w:r>
      <w:r>
        <w:t xml:space="preserve"> </w:t>
      </w:r>
      <w:r>
        <w:t xml:space="preserve">or SOTA claim.</w:t>
      </w:r>
    </w:p>
    <w:bookmarkEnd w:id="54"/>
    <w:bookmarkStart w:id="56" w:name="public-primary-model-result"/>
    <w:p>
      <w:pPr>
        <w:pStyle w:val="Heading3"/>
        <w:keepNext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predefined 1% quality ceiling</w:t>
      </w:r>
      <w:r>
        <w:t xml:space="preserve"> </w:t>
      </w:r>
      <w:r>
        <w:t xml:space="preserve">therefore failed and prohibits a clean mechanism-quality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M3-full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identify a</w:t>
      </w:r>
      <w:r>
        <w:t xml:space="preserve"> </w:t>
      </w:r>
      <w:r>
        <w:t xml:space="preserve">full-system module contribution: M3 policy-only produced only 13 unsafe</w:t>
      </w:r>
      <w:r>
        <w:t xml:space="preserve"> </w:t>
      </w:r>
      <w:r>
        <w:t xml:space="preserve">effects (2.17%, 1.27–3.67), so M3-full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M3-full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M3-full and policy-only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bookmarkStart w:id="55" w:name="Xb92fa3095897252d1a15549fe854cbe0cf3f153"/>
    <w:p>
      <w:pPr>
        <w:pStyle w:val="Heading4"/>
        <w:keepNext/>
      </w:pPr>
      <w:r>
        <w:t xml:space="preserve">Supplementary Table S5. Public-primary benchmark strata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14"/>
        <w:gridCol w:w="2334"/>
        <w:gridCol w:w="2105"/>
        <w:gridCol w:w="210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 / 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M3-full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87/300 (29.00%)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13/300 (4.33%)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29/300 (9.67%)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46/300 (15.33%)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0/300 (0.00%)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9/300 (3.00%)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67/97 (69.07%)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no-tool,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</w:tr>
    </w:tbl>
    <w:p>
      <w:pPr>
        <w:pStyle w:val="BodyText"/>
      </w:pPr>
      <w:r>
        <w:t xml:space="preserve">The direction is consistent across both attack benchmarks: M3-full is safer</w:t>
      </w:r>
      <w:r>
        <w:t xml:space="preserve"> </w:t>
      </w:r>
      <w:r>
        <w:t xml:space="preserve">than the structural condition but less safe than policy-only.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5"/>
    <w:bookmarkEnd w:id="56"/>
    <w:bookmarkStart w:id="57" w:name="public-deepseek-v4-flash-replication"/>
    <w:p>
      <w:pPr>
        <w:pStyle w:val="Heading3"/>
        <w:keepNext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</w:t>
      </w:r>
      <w:r>
        <w:t xml:space="preserve"> </w:t>
      </w:r>
      <w:r>
        <w:t xml:space="preserve">policy-only, and full conditions. M3-full produced 24/400 unsafe effects</w:t>
      </w:r>
      <w:r>
        <w:t xml:space="preserve"> </w:t>
      </w:r>
      <w:r>
        <w:t xml:space="preserve">(6.00%, Wilson 95% CI 4.06–8.77), compared with 12/400 under policy-only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full (26.21%, 19.73–33.91), 35/145 for</w:t>
      </w:r>
      <w:r>
        <w:t xml:space="preserve"> </w:t>
      </w:r>
      <w:r>
        <w:t xml:space="preserve">policy-only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mechanism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mechanism-quality or cross-provider claim.</w:t>
      </w:r>
    </w:p>
    <w:bookmarkEnd w:id="57"/>
    <w:bookmarkStart w:id="58" w:name="public-operational-and-decision-burden"/>
    <w:p>
      <w:pPr>
        <w:pStyle w:val="Heading3"/>
        <w:keepNext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M3-full, two no-defense, one PromptGuard,</w:t>
      </w:r>
      <w:r>
        <w:t xml:space="preserve"> </w:t>
      </w:r>
      <w:r>
        <w:t xml:space="preserve">and zero policy-only.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M3-full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</w:t>
      </w:r>
      <w:r>
        <w:t xml:space="preserve"> </w:t>
      </w:r>
      <w:r>
        <w:t xml:space="preserve">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policy-only. On the 168 benign tool tasks,</w:t>
      </w:r>
      <w:r>
        <w:t xml:space="preserve"> </w:t>
      </w:r>
      <w:r>
        <w:t xml:space="preserve">M3-full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policy-only issued 69. The primary</w:t>
      </w:r>
      <w:r>
        <w:t xml:space="preserve"> </w:t>
      </w:r>
      <w:r>
        <w:t xml:space="preserve">mechanism comparison therefore met its structural security-effect criterion</w:t>
      </w:r>
      <w:r>
        <w:t xml:space="preserve"> </w:t>
      </w:r>
      <w:r>
        <w:t xml:space="preserve">but missed utility non-inferiority and module-gain criteria. This pattern is</w:t>
      </w:r>
      <w:r>
        <w:t xml:space="preserve"> </w:t>
      </w:r>
      <w:r>
        <w:t xml:space="preserve">consistent with a security–utility trade-off rather than incremental benefit</w:t>
      </w:r>
      <w:r>
        <w:t xml:space="preserve"> </w:t>
      </w:r>
      <w:r>
        <w:t xml:space="preserve">from the full mechanism.</w:t>
      </w:r>
    </w:p>
    <w:bookmarkEnd w:id="58"/>
    <w:bookmarkStart w:id="61" w:name="deepseek-authorization-regime-experiment"/>
    <w:p>
      <w:pPr>
        <w:pStyle w:val="Heading3"/>
        <w:keepNext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M3-full.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raw evaluator,</w:t>
      </w:r>
      <w:r>
        <w:t xml:space="preserve"> </w:t>
      </w:r>
      <w:r>
        <w:t xml:space="preserve">label, or gold-answer field entered the online projection;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exposed only its derived authorization object. Provider tools and real external</w:t>
      </w:r>
      <w:r>
        <w:t xml:space="preserve"> </w:t>
      </w:r>
      <w:r>
        <w:t xml:space="preserve">effects remained disabled.</w:t>
      </w:r>
    </w:p>
    <w:bookmarkStart w:id="59" w:name="joint-security-and-utility-endpoints"/>
    <w:p>
      <w:pPr>
        <w:pStyle w:val="Heading4"/>
        <w:keepNext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M3-full</w:t>
      </w:r>
      <w:r>
        <w:t xml:space="preserve"> </w:t>
      </w:r>
      <w:r>
        <w:t xml:space="preserve">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policy-only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policy-only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mechanism adds a reproducible security benefit over policy-only.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policy-only completed 22/60 tasks (36.67%, Wilson 95% CI</w:t>
      </w:r>
      <w:r>
        <w:t xml:space="preserve"> </w:t>
      </w:r>
      <w:r>
        <w:t xml:space="preserve">25.62–49.32) and M3-full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policy-only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policy-only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M3-full,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59"/>
    <w:bookmarkStart w:id="60" w:name="stress-regimes-and-operational-burden"/>
    <w:p>
      <w:pPr>
        <w:pStyle w:val="Heading4"/>
        <w:keepNext/>
      </w:pPr>
      <w:r>
        <w:t xml:space="preserve">4.7.2 Stress regimes and operational burden</w:t>
      </w:r>
    </w:p>
    <w:p>
      <w:pPr>
        <w:pStyle w:val="FirstParagraph"/>
      </w:pPr>
      <w:r>
        <w:t xml:space="preserve">On the nested benign-tool subset, moving from matched 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policy-only,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M3-full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60"/>
    <w:bookmarkEnd w:id="61"/>
    <w:bookmarkStart w:id="63" w:name="X7846f5ff3eb15d76d0171b7ee7511588081277f"/>
    <w:p>
      <w:pPr>
        <w:pStyle w:val="Heading3"/>
        <w:keepNext/>
      </w:pPr>
      <w:r>
        <w:t xml:space="preserve">4.8 Defense-aware adaptive evidence through budget 200</w:t>
      </w:r>
    </w:p>
    <w:p>
      <w:pPr>
        <w:pStyle w:val="FirstParagraph"/>
      </w:pPr>
      <w:r>
        <w:t xml:space="preserve">The initial DeepSeek V4 Pro cost canary covered eight result-blind,</w:t>
      </w:r>
      <w:r>
        <w:t xml:space="preserve"> </w:t>
      </w:r>
      <w:r>
        <w:t xml:space="preserve">attack-family-balanced M3-v2 development tasks under M3-full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bookmarkStart w:id="62" w:name="X12b92401643dc973ea9a8064328835e102f2d6a"/>
    <w:p>
      <w:pPr>
        <w:pStyle w:val="Heading4"/>
        <w:keepNext/>
      </w:pPr>
      <w:r>
        <w:t xml:space="preserve">Supplementary Table S6. Defense-aware adaptive attack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793"/>
        <w:gridCol w:w="1192"/>
        <w:gridCol w:w="1192"/>
        <w:gridCol w:w="1810"/>
        <w:gridCol w:w="2041"/>
        <w:gridCol w:w="13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Model/panel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Tasks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First-success distribution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Saturated?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exploratory cost canary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 (0.00%, 95% CI 0.00–32.44%)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(10.00%, 95% CI 3.96–23.05%)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first successes by query 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18 (45.00%, 95% CI 30.71–60.17%)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14 additional first successes at queries 51–200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</w:tbl>
    <w:bookmarkEnd w:id="62"/>
    <w:bookmarkEnd w:id="63"/>
    <w:bookmarkStart w:id="64" w:name="remaining-evidence-boundary"/>
    <w:p>
      <w:pPr>
        <w:pStyle w:val="Heading3"/>
        <w:keepNext/>
      </w:pPr>
      <w:r>
        <w:t xml:space="preserve">4.9 Remaining evidence boundary</w:t>
      </w:r>
    </w:p>
    <w:p>
      <w:pPr>
        <w:pStyle w:val="FirstParagraph"/>
      </w:pPr>
      <w:r>
        <w:t xml:space="preserve">The medium, Public Pro, Public Flash, authorization-regime, and budget-50/200</w:t>
      </w:r>
      <w:r>
        <w:t xml:space="preserve"> </w:t>
      </w:r>
      <w:r>
        <w:t xml:space="preserve">studies jointly support an empirical security–utility paper. They do not</w:t>
      </w:r>
      <w:r>
        <w:t xml:space="preserve"> </w:t>
      </w:r>
      <w:r>
        <w:t xml:space="preserve">support a leading-defense, causal provenance, saturated-adaptive, or</w:t>
      </w:r>
      <w:r>
        <w:t xml:space="preserve"> </w:t>
      </w:r>
      <w:r>
        <w:t xml:space="preserve">cross-provider claim. Gemini remains pending under the three-quota-day</w:t>
      </w:r>
      <w:r>
        <w:t xml:space="preserve"> </w:t>
      </w:r>
      <w:r>
        <w:t xml:space="preserve">free-tier rule; until that experiment reaches its stopping rule, its partial</w:t>
      </w:r>
      <w:r>
        <w:t xml:space="preserve"> </w:t>
      </w:r>
      <w:r>
        <w:t xml:space="preserve">rows are not used in the comparisons above. UTR and DSR are not identifiable</w:t>
      </w:r>
      <w:r>
        <w:t xml:space="preserve"> </w:t>
      </w:r>
      <w:r>
        <w:t xml:space="preserve">from the current record contract and are not reconstructed from unsafe-effect</w:t>
      </w:r>
      <w:r>
        <w:t xml:space="preserve"> </w:t>
      </w:r>
      <w:r>
        <w:t xml:space="preserve">rate.</w:t>
      </w:r>
    </w:p>
    <w:bookmarkEnd w:id="64"/>
    <w:bookmarkEnd w:id="65"/>
    <w:bookmarkStart w:id="74" w:name="discussion"/>
    <w:p>
      <w:pPr>
        <w:pStyle w:val="Heading2"/>
        <w:keepNext/>
      </w:pPr>
      <w:r>
        <w:t xml:space="preserve">5. Discussion</w:t>
      </w:r>
    </w:p>
    <w:bookmarkStart w:id="66" w:name="X8f1f139e599680d856d27457aed81aa06300e07"/>
    <w:p>
      <w:pPr>
        <w:pStyle w:val="Heading3"/>
        <w:keepNext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M3-full</w:t>
      </w:r>
      <w:r>
        <w:t xml:space="preserve"> </w:t>
      </w:r>
      <w:r>
        <w:t xml:space="preserve">as a stronger defense than policy-only. In the 5,082-record DeepSeek V4 Pro</w:t>
      </w:r>
      <w:r>
        <w:t xml:space="preserve"> </w:t>
      </w:r>
      <w:r>
        <w:t xml:space="preserve">Public matrix, M3-full produced more unsafe effects than policy-only (38/600</w:t>
      </w:r>
      <w:r>
        <w:t xml:space="preserve"> </w:t>
      </w:r>
      <w:r>
        <w:t xml:space="preserve">versus 13/600), while the two variants completed the same number of benign</w:t>
      </w:r>
      <w:r>
        <w:t xml:space="preserve"> </w:t>
      </w:r>
      <w:r>
        <w:t xml:space="preserve">tool tasks (49/168). The 1,791-record V4 Flash matrix showed the same security</w:t>
      </w:r>
      <w:r>
        <w:t xml:space="preserve"> </w:t>
      </w:r>
      <w:r>
        <w:t xml:space="preserve">direction: 24/400 unsafe effects for full versus 12/400 for policy-only. The</w:t>
      </w:r>
      <w:r>
        <w:t xml:space="preserve"> </w:t>
      </w:r>
      <w:r>
        <w:t xml:space="preserve">Flash utility difference was small (38/145 versus 35/145) and does not rescue a</w:t>
      </w:r>
      <w:r>
        <w:t xml:space="preserve"> </w:t>
      </w:r>
      <w:r>
        <w:t xml:space="preserve">claim of independent full-module value.</w:t>
      </w:r>
    </w:p>
    <w:p>
      <w:pPr>
        <w:pStyle w:val="BodyText"/>
      </w:pPr>
      <w:r>
        <w:t xml:space="preserve">This is scientifically useful negative evidence. The two variants share the</w:t>
      </w:r>
      <w:r>
        <w:t xml:space="preserve"> </w:t>
      </w:r>
      <w:r>
        <w:t xml:space="preserve">policy representation and runtime enforcement point, so their divergence</w:t>
      </w:r>
      <w:r>
        <w:t xml:space="preserve"> </w:t>
      </w:r>
      <w:r>
        <w:t xml:space="preserve">focuses attention on the additional provenance, temporal/data-flow, and</w:t>
      </w:r>
      <w:r>
        <w:t xml:space="preserve"> </w:t>
      </w:r>
      <w:r>
        <w:t xml:space="preserve">confirmation path. A full mechanism can fail to improve security because its</w:t>
      </w:r>
      <w:r>
        <w:t xml:space="preserve"> </w:t>
      </w:r>
      <w:r>
        <w:t xml:space="preserve">additional state or decision logic introduces ambiguity, because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resolution reopens paths that policy-only blocks, because the model adapts to</w:t>
      </w:r>
      <w:r>
        <w:t xml:space="preserve"> </w:t>
      </w:r>
      <w:r>
        <w:t xml:space="preserve">feedback differently, or because the evaluated provenance representation is</w:t>
      </w:r>
      <w:r>
        <w:t xml:space="preserve"> </w:t>
      </w:r>
      <w:r>
        <w:t xml:space="preserve">too noisy to supply useful discrimination. The new authorization-regime</w:t>
      </w:r>
      <w:r>
        <w:t xml:space="preserve"> </w:t>
      </w:r>
      <w:r>
        <w:t xml:space="preserve">experiment is designed to distinguish some of these explanations without</w:t>
      </w:r>
      <w:r>
        <w:t xml:space="preserve"> </w:t>
      </w:r>
      <w:r>
        <w:t xml:space="preserve">claiming that it identifies a universal causal mechanism.</w:t>
      </w:r>
    </w:p>
    <w:bookmarkEnd w:id="66"/>
    <w:bookmarkStart w:id="67" w:name="authorization-is-part-of-the-treatment"/>
    <w:p>
      <w:pPr>
        <w:pStyle w:val="Heading3"/>
        <w:keepNext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points for policy-only and</w:t>
      </w:r>
      <w:r>
        <w:t xml:space="preserve"> </w:t>
      </w:r>
      <w:r>
        <w:t xml:space="preserve">15.00 points for full.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M3 variants but increased the share of records with DENY from 7.22% to 48.89%</w:t>
      </w:r>
      <w:r>
        <w:t xml:space="preserve"> </w:t>
      </w:r>
      <w:r>
        <w:t xml:space="preserve">for policy-only and from 11.11% to 45.00% for full.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bookmarkEnd w:id="67"/>
    <w:bookmarkStart w:id="68" w:name="X51d55857fd78b0704b7007a4ab3a79d92f25221"/>
    <w:p>
      <w:pPr>
        <w:pStyle w:val="Heading3"/>
        <w:keepNext/>
      </w:pPr>
      <w:r>
        <w:t xml:space="preserve">5.3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Policy-only then outperformed full on security</w:t>
      </w:r>
      <w:r>
        <w:t xml:space="preserve"> </w:t>
      </w:r>
      <w:r>
        <w:t xml:space="preserve">without losing additional utility. The interpretation is not that provenance</w:t>
      </w:r>
      <w:r>
        <w:t xml:space="preserve"> </w:t>
      </w:r>
      <w:r>
        <w:t xml:space="preserve">is intrinsically harmful. It is that the evaluated full implementation did not</w:t>
      </w:r>
      <w:r>
        <w:t xml:space="preserve"> </w:t>
      </w:r>
      <w:r>
        <w:t xml:space="preserve">earn its complexity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mechanism-facing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burdens directly rather than collapsing them into</w:t>
      </w:r>
      <w:r>
        <w:t xml:space="preserve"> </w:t>
      </w:r>
      <w:r>
        <w:t xml:space="preserve">a composite score.</w:t>
      </w:r>
    </w:p>
    <w:bookmarkEnd w:id="68"/>
    <w:bookmarkStart w:id="69" w:name="X0e31176f559158f4c40a3a2e91fc60538cab5a3"/>
    <w:p>
      <w:pPr>
        <w:pStyle w:val="Heading3"/>
        <w:keepNext/>
      </w:pPr>
      <w:r>
        <w:t xml:space="preserve">5.4 Adaptive evidence is budget-sensitive, not saturated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evidence stops at 200. It cannot establish that attack success has</w:t>
      </w:r>
      <w:r>
        <w:t xml:space="preserve"> </w:t>
      </w:r>
      <w:r>
        <w:t xml:space="preserve">saturated, estimate an asymptotic attack rate, or compare hardest-task behavior</w:t>
      </w:r>
      <w:r>
        <w:t xml:space="preserve"> </w:t>
      </w:r>
      <w:r>
        <w:t xml:space="preserve">at 2,000 queries. The correct presentation is a cumulative first-success curve</w:t>
      </w:r>
      <w:r>
        <w:t xml:space="preserve"> </w:t>
      </w:r>
      <w:r>
        <w:t xml:space="preserve">through 200 with an explicit no-saturation boundary. This narrower result is</w:t>
      </w:r>
      <w:r>
        <w:t xml:space="preserve"> </w:t>
      </w:r>
      <w:r>
        <w:t xml:space="preserve">more defensible than extending a long and costly panel whose additional</w:t>
      </w:r>
      <w:r>
        <w:t xml:space="preserve"> </w:t>
      </w:r>
      <w:r>
        <w:t xml:space="preserve">validity for the paper’s authorization question is uncertain.</w:t>
      </w:r>
    </w:p>
    <w:bookmarkEnd w:id="69"/>
    <w:bookmarkStart w:id="70" w:name="X30d802ff665a8145052131c2a07aea91abe24d1"/>
    <w:p>
      <w:pPr>
        <w:pStyle w:val="Heading3"/>
        <w:keepNext/>
      </w:pPr>
      <w:r>
        <w:t xml:space="preserve">5.5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2025;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 and Guard modules,</w:t>
      </w:r>
      <w:r>
        <w:t xml:space="preserve"> </w:t>
      </w:r>
      <w:r>
        <w:t xml:space="preserve">keeps evaluator fields offline, measures post-enforcement effects, retains</w:t>
      </w:r>
      <w:r>
        <w:t xml:space="preserve"> </w:t>
      </w:r>
      <w:r>
        <w:t xml:space="preserve">failure in 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extends that measurement question to complete</w:t>
      </w:r>
      <w:r>
        <w:t xml:space="preserve"> </w:t>
      </w:r>
      <w:r>
        <w:t xml:space="preserve">tool trajectories and executed effects, albeit with the additional</w:t>
      </w:r>
      <w:r>
        <w:t xml:space="preserve"> </w:t>
      </w:r>
      <w:r>
        <w:t xml:space="preserve">implementation complexity and failure modes that such trajectories introduce.</w:t>
      </w:r>
    </w:p>
    <w:bookmarkEnd w:id="70"/>
    <w:bookmarkStart w:id="71" w:name="cross-provider-interpretation"/>
    <w:p>
      <w:pPr>
        <w:pStyle w:val="Heading3"/>
        <w:keepNext/>
      </w:pPr>
      <w:r>
        <w:t xml:space="preserve">5.6 Cross-provider interpretation</w:t>
      </w:r>
    </w:p>
    <w:p>
      <w:pPr>
        <w:pStyle w:val="FirstParagraph"/>
      </w:pPr>
      <w:r>
        <w:t xml:space="preserve">The Gemini sample is deliberately smaller and nested inside the DeepSeek</w:t>
      </w:r>
      <w:r>
        <w:t xml:space="preserve"> </w:t>
      </w:r>
      <w:r>
        <w:t xml:space="preserve">sample. It can show whether the main paired direction appears under another</w:t>
      </w:r>
      <w:r>
        <w:t xml:space="preserve"> </w:t>
      </w:r>
      <w:r>
        <w:t xml:space="preserve">provider; it cannot establish broad model-family generality. The official free</w:t>
      </w:r>
      <w:r>
        <w:t xml:space="preserve"> </w:t>
      </w:r>
      <w:r>
        <w:t xml:space="preserve">tier also introduces an availability constraint. The protocol stops at the</w:t>
      </w:r>
      <w:r>
        <w:t xml:space="preserve"> </w:t>
      </w:r>
      <w:r>
        <w:t xml:space="preserve">first 429, resumes only response-less or untouched work on a later quota day,</w:t>
      </w:r>
      <w:r>
        <w:t xml:space="preserve"> </w:t>
      </w:r>
      <w:r>
        <w:t xml:space="preserve">and downgrades transparently after three quota-day attempts.</w:t>
      </w:r>
    </w:p>
    <w:p>
      <w:pPr>
        <w:pStyle w:val="BodyText"/>
      </w:pPr>
      <w:r>
        <w:t xml:space="preserve">The Gemini sample is incomplete at this analysis cutoff, and its partial rows</w:t>
      </w:r>
      <w:r>
        <w:t xml:space="preserve"> </w:t>
      </w:r>
      <w:r>
        <w:t xml:space="preserve">are excluded from inference. External validity is therefore limited to</w:t>
      </w:r>
      <w:r>
        <w:t xml:space="preserve"> </w:t>
      </w:r>
      <w:r>
        <w:t xml:space="preserve">DeepSeek V4 Pro and V4 Flash, and no cross-provider conclusion is made.</w:t>
      </w:r>
    </w:p>
    <w:bookmarkEnd w:id="71"/>
    <w:bookmarkStart w:id="72" w:name="limitations"/>
    <w:p>
      <w:pPr>
        <w:pStyle w:val="Heading3"/>
        <w:keepNext/>
      </w:pPr>
      <w:r>
        <w:t xml:space="preserve">5.7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families. Model updates, tool schemas, system prompts, and application context</w:t>
      </w:r>
      <w:r>
        <w:t xml:space="preserve"> </w:t>
      </w:r>
      <w:r>
        <w:t xml:space="preserve">may change the effects. The smaller Gemini subset was designed to probe this</w:t>
      </w:r>
      <w:r>
        <w:t xml:space="preserve"> </w:t>
      </w:r>
      <w:r>
        <w:t xml:space="preserve">dependence, but it contributes no cross-provider evidence unless all 450 work</w:t>
      </w:r>
      <w:r>
        <w:t xml:space="preserve"> </w:t>
      </w:r>
      <w:r>
        <w:t xml:space="preserve">items reach terminal status. Although execution dates, official response</w:t>
      </w:r>
      <w:r>
        <w:t xml:space="preserve"> </w:t>
      </w:r>
      <w:r>
        <w:t xml:space="preserve">identifiers, and returned model names are retained, provider-managed aliases do</w:t>
      </w:r>
      <w:r>
        <w:t xml:space="preserve"> </w:t>
      </w:r>
      <w:r>
        <w:t xml:space="preserve">not make the underlying weights immutable.</w:t>
      </w:r>
    </w:p>
    <w:p>
      <w:pPr>
        <w:pStyle w:val="BodyText"/>
      </w:pPr>
      <w:r>
        <w:t xml:space="preserve">Second, the new authorization experiment has a strong attack-endpoint floor:</w:t>
      </w:r>
      <w:r>
        <w:t xml:space="preserve"> </w:t>
      </w:r>
      <w:r>
        <w:t xml:space="preserve">only one unsafe effect occurred across the 400 primary attack records. It can</w:t>
      </w:r>
      <w:r>
        <w:t xml:space="preserve"> </w:t>
      </w:r>
      <w:r>
        <w:t xml:space="preserve">therefore estimate utility and operational burden more informatively than</w:t>
      </w:r>
      <w:r>
        <w:t xml:space="preserve"> </w:t>
      </w:r>
      <w:r>
        <w:t xml:space="preserve">small security differences between its four primary cells. Security-direction</w:t>
      </w:r>
      <w:r>
        <w:t xml:space="preserve"> </w:t>
      </w:r>
      <w:r>
        <w:t xml:space="preserve">evidence comes mainly from the larger Public matrices and must not be inferred</w:t>
      </w:r>
      <w:r>
        <w:t xml:space="preserve"> </w:t>
      </w:r>
      <w:r>
        <w:t xml:space="preserve">from these near-zero cells alone.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Fourth,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Fifth, the adaptive panel reports budgets only through 200 and does not prove</w:t>
      </w:r>
      <w:r>
        <w:t xml:space="preserve"> </w:t>
      </w:r>
      <w:r>
        <w:t xml:space="preserve">saturation. Attack search is still one family of defense-aware optimization;</w:t>
      </w:r>
      <w:r>
        <w:t xml:space="preserve"> </w:t>
      </w:r>
      <w:r>
        <w:t xml:space="preserve">another optimizer may find different failures.</w:t>
      </w:r>
    </w:p>
    <w:p>
      <w:pPr>
        <w:pStyle w:val="BodyText"/>
      </w:pPr>
      <w:r>
        <w:t xml:space="preserve">Sixth,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72"/>
    <w:bookmarkStart w:id="73" w:name="practical-implications"/>
    <w:p>
      <w:pPr>
        <w:pStyle w:val="Heading3"/>
        <w:keepNext/>
      </w:pPr>
      <w:r>
        <w:t xml:space="preserve">5.8 Practical implications</w:t>
      </w:r>
    </w:p>
    <w:p>
      <w:pPr>
        <w:pStyle w:val="FirstParagraph"/>
      </w:pPr>
      <w:r>
        <w:t xml:space="preserve">Three practical recommendations follow. First, agent-security benchmarks</w:t>
      </w:r>
      <w:r>
        <w:t xml:space="preserve"> </w:t>
      </w:r>
      <w:r>
        <w:t xml:space="preserve">should publish the fields visible to the online Guard and keep evaluator-only</w:t>
      </w:r>
      <w:r>
        <w:t xml:space="preserve"> </w:t>
      </w:r>
      <w:r>
        <w:t xml:space="preserve">answers outside that projection.</w:t>
      </w:r>
      <w:r>
        <w:t xml:space="preserve"> </w:t>
      </w:r>
      <w:r>
        <w:t xml:space="preserve">Second, runtime defenses should be compared against a policy-only variant on</w:t>
      </w:r>
      <w:r>
        <w:t xml:space="preserve"> </w:t>
      </w:r>
      <w:r>
        <w:t xml:space="preserve">the same tasks; otherwise a complex module may receive credit for behavior</w:t>
      </w:r>
      <w:r>
        <w:t xml:space="preserve"> </w:t>
      </w:r>
      <w:r>
        <w:t xml:space="preserve">already supplied by the base policy. Third, security reports should include</w:t>
      </w:r>
      <w:r>
        <w:t xml:space="preserve"> </w:t>
      </w:r>
      <w:r>
        <w:t xml:space="preserve">benign completion, confirmation/blocking burden, failures, latency, and attack</w:t>
      </w:r>
      <w:r>
        <w:t xml:space="preserve"> </w:t>
      </w:r>
      <w:r>
        <w:t xml:space="preserve">budget 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The prespecified Gemini stopping rule determines whether a complete</w:t>
      </w:r>
      <w:r>
        <w:t xml:space="preserve"> </w:t>
      </w:r>
      <w:r>
        <w:t xml:space="preserve">cross-provider comparison is available; an incomplete subset remains</w:t>
      </w:r>
      <w:r>
        <w:t xml:space="preserve"> </w:t>
      </w:r>
      <w:r>
        <w:t xml:space="preserve">diagnostic and cannot alter or broaden the DeepSeek findings.</w:t>
      </w:r>
    </w:p>
    <w:bookmarkEnd w:id="73"/>
    <w:bookmarkEnd w:id="74"/>
    <w:bookmarkStart w:id="75" w:name="conclusion"/>
    <w:p>
      <w:pPr>
        <w:pStyle w:val="Heading2"/>
        <w:keepNext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</w:t>
      </w:r>
      <w:r>
        <w:t xml:space="preserve"> </w:t>
      </w:r>
      <w:r>
        <w:t xml:space="preserve">M3-full reduced unsafe effects relative to a structural baseline but did not</w:t>
      </w:r>
      <w:r>
        <w:t xml:space="preserve"> </w:t>
      </w:r>
      <w:r>
        <w:t xml:space="preserve">improve on policy-only enforcement. The direction replicated across DeepSeek</w:t>
      </w:r>
      <w:r>
        <w:t xml:space="preserve"> </w:t>
      </w:r>
      <w:r>
        <w:t xml:space="preserve">V4 Pro and V4 Flash: full produced more unsafe effects than policy-only, while</w:t>
      </w:r>
      <w:r>
        <w:t xml:space="preserve"> </w:t>
      </w:r>
      <w:r>
        <w:t xml:space="preserve">benign-tool utility was equal or only slightly different. The evaluated</w:t>
      </w:r>
      <w:r>
        <w:t xml:space="preserve"> </w:t>
      </w:r>
      <w:r>
        <w:t xml:space="preserve">provenance, temporal/data-flow, and confirmation extensions therefore did not</w:t>
      </w:r>
      <w:r>
        <w:t xml:space="preserve"> </w:t>
      </w:r>
      <w:r>
        <w:t xml:space="preserve">show an independent advantage sufficient to support a leading-defense claim.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cells, yet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</w:t>
      </w:r>
      <w:r>
        <w:t xml:space="preserve"> </w:t>
      </w:r>
      <w:r>
        <w:t xml:space="preserve">benign-tool completion by 21.67 percentage points for policy-only and 15.00</w:t>
      </w:r>
      <w:r>
        <w:t xml:space="preserve"> </w:t>
      </w:r>
      <w:r>
        <w:t xml:space="preserve">points for M3-full. Exact authorization removed ASK but moved 45.00–48.89% of</w:t>
      </w:r>
      <w:r>
        <w:t xml:space="preserve"> </w:t>
      </w:r>
      <w:r>
        <w:t xml:space="preserve">records into at least one DENY, raised failures to approximately 24%, and</w:t>
      </w:r>
      <w:r>
        <w:t xml:space="preserve"> </w:t>
      </w:r>
      <w:r>
        <w:t xml:space="preserve">roughly doubled 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budget, but two budget points cannot establish saturation.</w:t>
      </w:r>
    </w:p>
    <w:p>
      <w:pPr>
        <w:pStyle w:val="BodyText"/>
      </w:pPr>
      <w:r>
        <w:t xml:space="preserve">These findings support three practical requirements for tool-agent security</w:t>
      </w:r>
      <w:r>
        <w:t xml:space="preserve"> </w:t>
      </w:r>
      <w:r>
        <w:t xml:space="preserve">evaluation: keep evaluator-only fields outside online Guard state, compare</w:t>
      </w:r>
      <w:r>
        <w:t xml:space="preserve"> </w:t>
      </w:r>
      <w:r>
        <w:t xml:space="preserve">complex mechanisms with a policy-only ablation on identical tasks, and report</w:t>
      </w:r>
      <w:r>
        <w:t xml:space="preserve"> </w:t>
      </w:r>
      <w:r>
        <w:t xml:space="preserve">utility, ASK/DENY burden, failures, latency, and attack budget alongside unsafe</w:t>
      </w:r>
      <w:r>
        <w:t xml:space="preserve"> </w:t>
      </w:r>
      <w:r>
        <w:t xml:space="preserve">effects. The conclusions remain limited to the tested policies, benchmarks,</w:t>
      </w:r>
      <w:r>
        <w:t xml:space="preserve"> </w:t>
      </w:r>
      <w:r>
        <w:t xml:space="preserve">runtime implementation, DeepSeek models, and budget range. The prespecified</w:t>
      </w:r>
      <w:r>
        <w:t xml:space="preserve"> </w:t>
      </w:r>
      <w:r>
        <w:t xml:space="preserve">Gemini sample will either test the cross-provider direction or be transparently</w:t>
      </w:r>
      <w:r>
        <w:t xml:space="preserve"> </w:t>
      </w:r>
      <w:r>
        <w:t xml:space="preserve">downgraded under its free-tier stopping rule; it cannot erase or broaden the</w:t>
      </w:r>
      <w:r>
        <w:t xml:space="preserve"> </w:t>
      </w:r>
      <w:r>
        <w:t xml:space="preserve">completed DeepSeek findings.</w:t>
      </w:r>
    </w:p>
    <w:bookmarkEnd w:id="75"/>
    <w:bookmarkStart w:id="81" w:name="figures"/>
    <w:p>
      <w:pPr>
        <w:pStyle w:val="Heading2"/>
        <w:keepNext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425603"/>
            <wp:effectExtent b="0" l="0" r="0" t="0"/>
            <wp:docPr descr="Figure 1. Online authorization projection and offline evaluation boundar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1_online_field_iso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authorization projection and offline evaluation boundary.</w:t>
      </w:r>
    </w:p>
    <w:p>
      <w:pPr>
        <w:pStyle w:val="CaptionedFigure"/>
      </w:pPr>
      <w:r>
        <w:drawing>
          <wp:inline>
            <wp:extent cx="5334000" cy="3783019"/>
            <wp:effectExtent b="0" l="0" r="0" t="0"/>
            <wp:docPr descr="Figure 2. Security–utility trade-off by authorization conditio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2_safety_utility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Security–utility trade-off by authorization condition.</w:t>
      </w:r>
    </w:p>
    <w:p>
      <w:pPr>
        <w:pStyle w:val="CaptionedFigure"/>
      </w:pPr>
      <w:r>
        <w:drawing>
          <wp:inline>
            <wp:extent cx="5334000" cy="4317749"/>
            <wp:effectExtent b="0" l="0" r="0" t="0"/>
            <wp:docPr descr="Figure 3. Paired authorization and mechanism effects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3_authorization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7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Paired authorization and mechanism effects.</w:t>
      </w:r>
    </w:p>
    <w:p>
      <w:pPr>
        <w:pStyle w:val="CaptionedFigure"/>
      </w:pPr>
      <w:r>
        <w:drawing>
          <wp:inline>
            <wp:extent cx="5334000" cy="3216328"/>
            <wp:effectExtent b="0" l="0" r="0" t="0"/>
            <wp:docPr descr="Figure 4. Runtime confirmation, blocking, failure, and latency burde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4_runtime_burde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6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Runtime confirmation, blocking, failure, and latency burden.</w:t>
      </w:r>
    </w:p>
    <w:p>
      <w:pPr>
        <w:pStyle w:val="CaptionedFigure"/>
      </w:pPr>
      <w:r>
        <w:drawing>
          <wp:inline>
            <wp:extent cx="5334000" cy="3783159"/>
            <wp:effectExtent b="0" l="0" r="0" t="0"/>
            <wp:docPr descr="Figure 5. Adaptive first-success curve through query budget 200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5_adaptive_first_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Adaptive first-success curve through query budget 200.</w:t>
      </w:r>
    </w:p>
    <w:bookmarkEnd w:id="81"/>
    <w:bookmarkStart w:id="88" w:name="tables"/>
    <w:p>
      <w:pPr>
        <w:pStyle w:val="Heading2"/>
        <w:keepNext/>
      </w:pPr>
      <w:r>
        <w:t xml:space="preserve">Tables</w:t>
      </w:r>
    </w:p>
    <w:bookmarkStart w:id="82" w:name="table-1.-experimental-design"/>
    <w:p>
      <w:pPr>
        <w:pStyle w:val="Heading3"/>
        <w:keepNext/>
      </w:pPr>
      <w:r>
        <w:t xml:space="preserve">Table 1. Experimental design</w:t>
      </w:r>
    </w:p>
    <w:p>
      <w:pPr>
        <w:pStyle w:val="FirstParagraph"/>
      </w:pPr>
      <w:r>
        <w:t xml:space="preserve">Providers, benchmarks, conditions, authorization regimes and frozen work-item counts for the lean empirical study. Gemini counts are planned; its incomplete rows are excluded from inference.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495"/>
        <w:gridCol w:w="1542"/>
        <w:gridCol w:w="1915"/>
        <w:gridCol w:w="2862"/>
        <w:gridCol w:w="15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 regimes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Planned 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235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305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</w:tr>
    </w:tbl>
    <w:bookmarkEnd w:id="82"/>
    <w:bookmarkStart w:id="83" w:name="table-2.-joint-primary-endpoints"/>
    <w:p>
      <w:pPr>
        <w:pStyle w:val="Heading3"/>
        <w:keepNext/>
      </w:pPr>
      <w:r>
        <w:t xml:space="preserve">Table 2. Joint primary endpoints</w:t>
      </w:r>
    </w:p>
    <w:p>
      <w:pPr>
        <w:pStyle w:val="FirstParagraph"/>
      </w:pPr>
      <w:r>
        <w:t xml:space="preserve">Unsafe effects among attack tasks and completions among benign tool tasks. Brackets contain Wilson 95% confidence intervals.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15"/>
        <w:gridCol w:w="1653"/>
        <w:gridCol w:w="1772"/>
        <w:gridCol w:w="2182"/>
        <w:gridCol w:w="223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Benign-tool TCR, n/N (95% CI)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1/20 (5.0%) [0.9%, 23.6%]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 [5.8%, 22.2%]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1/100 (1.0%) [0.2%, 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22/60 (36.7%) [25.6%, 49.3%]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 [8.1%, 26.1%]</w:t>
            </w:r>
          </w:p>
        </w:tc>
      </w:tr>
    </w:tbl>
    <w:bookmarkEnd w:id="83"/>
    <w:bookmarkStart w:id="84" w:name="Xd0cc7104cfff95cb39f2f29f0dec108c42421ac"/>
    <w:p>
      <w:pPr>
        <w:pStyle w:val="Heading3"/>
        <w:keepNext/>
      </w:pPr>
      <w:r>
        <w:t xml:space="preserve">Table 3. Paired authorization and mechanism effects</w:t>
      </w:r>
    </w:p>
    <w:p>
      <w:pPr>
        <w:pStyle w:val="FirstParagraph"/>
      </w:pPr>
      <w:r>
        <w:t xml:space="preserve">Absolute percentage-point differences use the second condition minus the first. Stress-regime extensions are outside the primary Holm family.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28"/>
        <w:gridCol w:w="1050"/>
        <w:gridCol w:w="1277"/>
        <w:gridCol w:w="928"/>
        <w:gridCol w:w="1050"/>
        <w:gridCol w:w="1132"/>
        <w:gridCol w:w="1157"/>
        <w:gridCol w:w="948"/>
        <w:gridCol w:w="890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Discordant first/second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[-18.3, -3.3]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[-8.3,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[-28.3, -1.7]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13/4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-21.7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[-36.7,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19/6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0.015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[-45.0,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-10.0]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84"/>
    <w:bookmarkStart w:id="85" w:name="table-4.-runtime-burden"/>
    <w:p>
      <w:pPr>
        <w:pStyle w:val="Heading3"/>
        <w:keepNext/>
      </w:pPr>
      <w:r>
        <w:t xml:space="preserve">Table 4. Runtime burden</w:t>
      </w:r>
    </w:p>
    <w:p>
      <w:pPr>
        <w:pStyle w:val="FirstParagraph"/>
      </w:pPr>
      <w:r>
        <w:t xml:space="preserve">ASK and DENY cells report event totals, record incidence and the share of records affected. Failures remain in the ITT denominator.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52"/>
        <w:gridCol w:w="1012"/>
        <w:gridCol w:w="1065"/>
        <w:gridCol w:w="1128"/>
        <w:gridCol w:w="1142"/>
        <w:gridCol w:w="993"/>
        <w:gridCol w:w="1142"/>
        <w:gridCol w:w="929"/>
        <w:gridCol w:w="99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ASK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DENY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Failures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Latency p50/p95 (s)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Tokens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Cost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58 / 58 (32.2%)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 / 20 (11.1%)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 (9.4%)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2.90 / 9.18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279,687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0.2522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 / 23 (38.3%)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 / 7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2.84 / 9.38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82,975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0.0769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 / 26 (43.3%)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/ 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 (8.3%)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2.79 / 7.89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67,404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0.0412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187 / 81 (45.0%)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44 (24.4%)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3.94 / 19.62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454,627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 / 30 (50.0%)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/ 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2.78 / 10.65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82,731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0.0875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62 / 62 (34.4%)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/ 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3.16 / 10.63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307,544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227 / 88 (48.9%)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43 (23.9%)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5.06 / 19.42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473,478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0.3374</w:t>
            </w:r>
          </w:p>
        </w:tc>
      </w:tr>
    </w:tbl>
    <w:bookmarkEnd w:id="85"/>
    <w:bookmarkStart w:id="86" w:name="table-5.-prespecified-heterogeneity"/>
    <w:p>
      <w:pPr>
        <w:pStyle w:val="Heading3"/>
        <w:keepNext/>
      </w:pPr>
      <w:r>
        <w:t xml:space="preserve">Table 5. Prespecified heterogeneity</w:t>
      </w:r>
    </w:p>
    <w:p>
      <w:pPr>
        <w:pStyle w:val="FirstParagraph"/>
      </w:pPr>
      <w:r>
        <w:t xml:space="preserve">Endpoint counts by benchmark and attack family. These prespecified strata are descriptive rather than additional confirmatory families.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65"/>
        <w:gridCol w:w="1199"/>
        <w:gridCol w:w="1676"/>
        <w:gridCol w:w="1128"/>
        <w:gridCol w:w="1347"/>
        <w:gridCol w:w="1347"/>
        <w:gridCol w:w="149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family/stratum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Unsafe effects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pooled/no family label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395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93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 clean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cross tool attack chain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direct jailbreak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environment context pollution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json rpc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memory poisoning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multilingual t2l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obfuscation evasion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rag indirect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tool output injection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</w:t>
            </w:r>
          </w:p>
        </w:tc>
      </w:tr>
    </w:tbl>
    <w:bookmarkEnd w:id="86"/>
    <w:bookmarkStart w:id="87" w:name="X5061b4ced358d9d41a14c66c0665b59cd4f5370"/>
    <w:p>
      <w:pPr>
        <w:pStyle w:val="Heading3"/>
        <w:keepNext/>
      </w:pPr>
      <w:r>
        <w:t xml:space="preserve">Table 6. Adaptive evidence at budgets 50 and 200</w:t>
      </w:r>
    </w:p>
    <w:p>
      <w:pPr>
        <w:pStyle w:val="FirstParagraph"/>
      </w:pPr>
      <w:r>
        <w:t xml:space="preserve">Cumulative tasks with at least one unsafe effect through budgets 50 and 200. These two points do not establish attack saturation.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01"/>
        <w:gridCol w:w="1277"/>
        <w:gridCol w:w="1402"/>
        <w:gridCol w:w="1277"/>
        <w:gridCol w:w="1571"/>
        <w:gridCol w:w="22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Wilson 95% CI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boundary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[4.0%, 23.1%]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[30.7%, 60.2%]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</w:tbl>
    <w:bookmarkEnd w:id="87"/>
    <w:bookmarkEnd w:id="88"/>
    <w:bookmarkStart w:id="89" w:name="figure-captions"/>
    <w:p>
      <w:pPr>
        <w:pStyle w:val="Heading2"/>
        <w:keepNext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authorization projection and offline evaluation boundary.</w:t>
      </w:r>
      <w:r>
        <w:t xml:space="preserve"> </w:t>
      </w:r>
      <w:r>
        <w:t xml:space="preserve">Trusted task context, the selected policy projection, provenance events, and</w:t>
      </w:r>
      <w:r>
        <w:t xml:space="preserve"> </w:t>
      </w:r>
      <w:r>
        <w:t xml:space="preserve">the proposed action may enter the runtime Guard. Raw gold answers, evaluator</w:t>
      </w:r>
      <w:r>
        <w:t xml:space="preserve"> </w:t>
      </w:r>
      <w:r>
        <w:t xml:space="preserve">labels, reference trajectories, and effect-scoring metadata remain offline.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sensitivity condition exposes only a derived authorization</w:t>
      </w:r>
      <w:r>
        <w:t xml:space="preserve"> </w:t>
      </w:r>
      <w:r>
        <w:t xml:space="preserve">object to the policy projection. Only isolated simulated effects are scored;</w:t>
      </w:r>
      <w:r>
        <w:t xml:space="preserve"> </w:t>
      </w:r>
      <w:r>
        <w:t xml:space="preserve">provider-managed tools and real external actions are disabled.</w:t>
      </w:r>
    </w:p>
    <w:p>
      <w:pPr>
        <w:pStyle w:val="BodyText"/>
      </w:pPr>
      <w:r>
        <w:rPr>
          <w:bCs/>
          <w:b/>
        </w:rPr>
        <w:t xml:space="preserve">Figure 2. Security–utility trade-off by authorization condition.</w:t>
      </w:r>
      <w:r>
        <w:t xml:space="preserve"> </w:t>
      </w:r>
      <w:r>
        <w:t xml:space="preserve">Each</w:t>
      </w:r>
      <w:r>
        <w:t xml:space="preserve"> </w:t>
      </w:r>
      <w:r>
        <w:t xml:space="preserve">DeepSeek V4 Pro point reports benign-tool completion on the horizontal axis and</w:t>
      </w:r>
      <w:r>
        <w:t xml:space="preserve"> </w:t>
      </w:r>
      <w:r>
        <w:t xml:space="preserve">one minus attack unsafe-effect rate on the vertical axis. The four main cells</w:t>
      </w:r>
      <w:r>
        <w:t xml:space="preserve"> </w:t>
      </w:r>
      <w:r>
        <w:t xml:space="preserve">use 100 attacks and 60 benign tool tasks each; each nested stress cell uses 30</w:t>
      </w:r>
      <w:r>
        <w:t xml:space="preserve"> </w:t>
      </w:r>
      <w:r>
        <w:t xml:space="preserve">attacks and 20 benign tool tasks. All terminal failures remain in the</w:t>
      </w:r>
      <w:r>
        <w:t xml:space="preserve"> </w:t>
      </w:r>
      <w:r>
        <w:t xml:space="preserve">intention-to-treat denominators. Near-identical attack safety can coexist with</w:t>
      </w:r>
      <w:r>
        <w:t xml:space="preserve"> </w:t>
      </w:r>
      <w:r>
        <w:t xml:space="preserve">substantially different utility.</w:t>
      </w:r>
    </w:p>
    <w:p>
      <w:pPr>
        <w:pStyle w:val="BodyText"/>
      </w:pPr>
      <w:r>
        <w:rPr>
          <w:bCs/>
          <w:b/>
        </w:rPr>
        <w:t xml:space="preserve">Figure 3. Paired effects of authorization regime and Guard configuration.</w:t>
      </w:r>
      <w:r>
        <w:t xml:space="preserve"> </w:t>
      </w:r>
      <w:r>
        <w:t xml:space="preserve">Points are absolute percentage-point differences for the second condition</w:t>
      </w:r>
      <w:r>
        <w:t xml:space="preserve"> </w:t>
      </w:r>
      <w:r>
        <w:t xml:space="preserve">minus the first; bars are 95% intervals from 10,000 task-cluster bootstrap</w:t>
      </w:r>
      <w:r>
        <w:t xml:space="preserve"> </w:t>
      </w:r>
      <w:r>
        <w:t xml:space="preserve">resamples. Orange rows use attack unsafe effect and blue rows use benign-tool</w:t>
      </w:r>
      <w:r>
        <w:t xml:space="preserve"> </w:t>
      </w:r>
      <w:r>
        <w:t xml:space="preserve">task completion. Exact McNemar and Holm-adjusted values are reported in Table</w:t>
      </w:r>
      <w:r>
        <w:t xml:space="preserve"> </w:t>
      </w:r>
      <w:r>
        <w:t xml:space="preserve">3 rather than encoded graphically.</w:t>
      </w:r>
    </w:p>
    <w:p>
      <w:pPr>
        <w:pStyle w:val="BodyText"/>
      </w:pPr>
      <w:r>
        <w:rPr>
          <w:bCs/>
          <w:b/>
        </w:rPr>
        <w:t xml:space="preserve">Figure 4. Runtime confirmation, blocking, failure, and latency burden.</w:t>
      </w:r>
      <w:r>
        <w:t xml:space="preserve"> </w:t>
      </w:r>
      <w:r>
        <w:t xml:space="preserve">ASK</w:t>
      </w:r>
      <w:r>
        <w:t xml:space="preserve"> </w:t>
      </w:r>
      <w:r>
        <w:t xml:space="preserve">and DENY panels report the percentage of terminal ITT records with at least one</w:t>
      </w:r>
      <w:r>
        <w:t xml:space="preserve"> </w:t>
      </w:r>
      <w:r>
        <w:t xml:space="preserve">corresponding event, not the number of events divided by records. The table</w:t>
      </w:r>
      <w:r>
        <w:t xml:space="preserve"> </w:t>
      </w:r>
      <w:r>
        <w:t xml:space="preserve">retains both record incidence and total event counts because a trajectory may</w:t>
      </w:r>
      <w:r>
        <w:t xml:space="preserve"> </w:t>
      </w:r>
      <w:r>
        <w:t xml:space="preserve">contain multiple decisions. Failure uses the prespecified terminal failure</w:t>
      </w:r>
      <w:r>
        <w:t xml:space="preserve"> </w:t>
      </w:r>
      <w:r>
        <w:t xml:space="preserve">set; latency is condition-level p95 wall time.</w:t>
      </w:r>
    </w:p>
    <w:p>
      <w:pPr>
        <w:pStyle w:val="BodyText"/>
      </w:pPr>
      <w:r>
        <w:rPr>
          <w:bCs/>
          <w:b/>
        </w:rPr>
        <w:t xml:space="preserve">Figure 5. Adaptive first-success curve through query budget 200.</w:t>
      </w:r>
      <w:r>
        <w:t xml:space="preserve"> </w:t>
      </w:r>
      <w:r>
        <w:t xml:space="preserve">The fixed</w:t>
      </w:r>
      <w:r>
        <w:t xml:space="preserve"> </w:t>
      </w:r>
      <w:r>
        <w:t xml:space="preserve">40-task DeepSeek V4 Pro panel contributes one first-unsafe-effect query per</w:t>
      </w:r>
      <w:r>
        <w:t xml:space="preserve"> </w:t>
      </w:r>
      <w:r>
        <w:t xml:space="preserve">successful task. Four tasks had succeeded by query 50 and 18 by query 200.</w:t>
      </w:r>
      <w:r>
        <w:t xml:space="preserve"> </w:t>
      </w:r>
      <w:r>
        <w:t xml:space="preserve">The curve is descriptive only through 200 and must not be interpreted as an</w:t>
      </w:r>
      <w:r>
        <w:t xml:space="preserve"> </w:t>
      </w:r>
      <w:r>
        <w:t xml:space="preserve">estimate of attack saturation.</w:t>
      </w:r>
    </w:p>
    <w:bookmarkEnd w:id="89"/>
    <w:bookmarkStart w:id="96" w:name="submission-statements"/>
    <w:p>
      <w:pPr>
        <w:pStyle w:val="Heading2"/>
        <w:keepNext/>
      </w:pPr>
      <w:r>
        <w:t xml:space="preserve">Submission statements</w:t>
      </w:r>
    </w:p>
    <w:bookmarkStart w:id="90" w:name="competing-interests"/>
    <w:p>
      <w:pPr>
        <w:pStyle w:val="Heading3"/>
        <w:keepNext/>
      </w:pPr>
      <w:r>
        <w:t xml:space="preserve">Competing interests</w:t>
      </w:r>
    </w:p>
    <w:p>
      <w:pPr>
        <w:pStyle w:val="FirstParagraph"/>
      </w:pPr>
      <w:r>
        <w:t xml:space="preserve">The corresponding author must confirm the competing-interests declaration with</w:t>
      </w:r>
      <w:r>
        <w:t xml:space="preserve"> </w:t>
      </w:r>
      <w:r>
        <w:t xml:space="preserve">all authors before submission.</w:t>
      </w:r>
    </w:p>
    <w:bookmarkEnd w:id="90"/>
    <w:bookmarkStart w:id="91" w:name="funding"/>
    <w:p>
      <w:pPr>
        <w:pStyle w:val="Heading3"/>
        <w:keepNext/>
      </w:pPr>
      <w:r>
        <w:t xml:space="preserve">Funding</w:t>
      </w:r>
    </w:p>
    <w:p>
      <w:pPr>
        <w:pStyle w:val="FirstParagraph"/>
      </w:pPr>
      <w:r>
        <w:t xml:space="preserve">The corresponding author must provide the funder name, grant number, and</w:t>
      </w:r>
      <w:r>
        <w:t xml:space="preserve"> </w:t>
      </w:r>
      <w:r>
        <w:t xml:space="preserve">sponsor role, or confirm that the research received no specific grant from</w:t>
      </w:r>
      <w:r>
        <w:t xml:space="preserve"> </w:t>
      </w:r>
      <w:r>
        <w:t xml:space="preserve">funding agencies in the public, commercial, or not-for-profit sectors.</w:t>
      </w:r>
    </w:p>
    <w:bookmarkEnd w:id="91"/>
    <w:bookmarkStart w:id="92" w:name="data-and-code-availability"/>
    <w:p>
      <w:pPr>
        <w:pStyle w:val="Heading3"/>
        <w:keepNext/>
      </w:pPr>
      <w:r>
        <w:t xml:space="preserve">Data and code availability</w:t>
      </w:r>
    </w:p>
    <w:p>
      <w:pPr>
        <w:pStyle w:val="FirstParagraph"/>
      </w:pPr>
      <w:r>
        <w:t xml:space="preserve">The implementation, frozen lean experiment plan, analysis code, aggregate</w:t>
      </w:r>
      <w:r>
        <w:t xml:space="preserve"> </w:t>
      </w:r>
      <w:r>
        <w:t xml:space="preserve">tables, and editable figures are maintained at</w:t>
      </w:r>
      <w:r>
        <w:t xml:space="preserve"> </w:t>
      </w:r>
      <w:r>
        <w:t xml:space="preserve">https://github.com/Fischl0527/M3_PI_Guard. The repository is private during</w:t>
      </w:r>
      <w:r>
        <w:t xml:space="preserve"> </w:t>
      </w:r>
      <w:r>
        <w:t xml:space="preserve">manuscript preparation. A public archival release with an immutable version</w:t>
      </w:r>
      <w:r>
        <w:t xml:space="preserve"> </w:t>
      </w:r>
      <w:r>
        <w:t xml:space="preserve">identifier will be deposited before publication. Credentials and secrets are</w:t>
      </w:r>
      <w:r>
        <w:t xml:space="preserve"> </w:t>
      </w:r>
      <w:r>
        <w:t xml:space="preserve">excluded from the release. Any restrictions on provider-derived compact raw</w:t>
      </w:r>
      <w:r>
        <w:t xml:space="preserve"> </w:t>
      </w:r>
      <w:r>
        <w:t xml:space="preserve">records will be stated explicitly in the archival record.</w:t>
      </w:r>
    </w:p>
    <w:bookmarkEnd w:id="92"/>
    <w:bookmarkStart w:id="93" w:name="X071796dd6bc546c91e96cca1cf5ff96599de61f"/>
    <w:p>
      <w:pPr>
        <w:pStyle w:val="Heading3"/>
        <w:keepNext/>
      </w:pPr>
      <w:r>
        <w:t xml:space="preserve">Declaration of generative AI and AI-assisted technologies in the writing process</w:t>
      </w:r>
    </w:p>
    <w:p>
      <w:pPr>
        <w:pStyle w:val="FirstParagraph"/>
      </w:pPr>
      <w:r>
        <w:t xml:space="preserve">During preparation of this work, the authors used OpenAI Codex for software</w:t>
      </w:r>
      <w:r>
        <w:t xml:space="preserve"> </w:t>
      </w:r>
      <w:r>
        <w:t xml:space="preserve">editing, statistical-script review, figure-generation support, and language</w:t>
      </w:r>
      <w:r>
        <w:t xml:space="preserve"> </w:t>
      </w:r>
      <w:r>
        <w:t xml:space="preserve">revision. The authors reviewed and revised the resulting material and take</w:t>
      </w:r>
      <w:r>
        <w:t xml:space="preserve"> </w:t>
      </w:r>
      <w:r>
        <w:t xml:space="preserve">full responsibility for the analysis, interpretation, citations, and</w:t>
      </w:r>
      <w:r>
        <w:t xml:space="preserve"> </w:t>
      </w:r>
      <w:r>
        <w:t xml:space="preserve">manuscript content. DeepSeek and Gemini are evaluated research systems in this</w:t>
      </w:r>
      <w:r>
        <w:t xml:space="preserve"> </w:t>
      </w:r>
      <w:r>
        <w:t xml:space="preserve">study rather than writing assistants.</w:t>
      </w:r>
    </w:p>
    <w:bookmarkEnd w:id="93"/>
    <w:bookmarkStart w:id="94" w:name="ethics-and-safety"/>
    <w:p>
      <w:pPr>
        <w:pStyle w:val="Heading3"/>
        <w:keepNext/>
      </w:pPr>
      <w:r>
        <w:t xml:space="preserve">Ethics and safety</w:t>
      </w:r>
    </w:p>
    <w:p>
      <w:pPr>
        <w:pStyle w:val="FirstParagraph"/>
      </w:pPr>
      <w:r>
        <w:t xml:space="preserve">The study involved no human participants and collected no personal data. Tool</w:t>
      </w:r>
      <w:r>
        <w:t xml:space="preserve"> </w:t>
      </w:r>
      <w:r>
        <w:t xml:space="preserve">effects were evaluated in isolated benchmark state. Real email, payment,</w:t>
      </w:r>
      <w:r>
        <w:t xml:space="preserve"> </w:t>
      </w:r>
      <w:r>
        <w:t xml:space="preserve">browser, code-execution, production-API, and provider-managed tool operations</w:t>
      </w:r>
      <w:r>
        <w:t xml:space="preserve"> </w:t>
      </w:r>
      <w:r>
        <w:t xml:space="preserve">were disabled. The authors must confirm any institutional review or exemption</w:t>
      </w:r>
      <w:r>
        <w:t xml:space="preserve"> </w:t>
      </w:r>
      <w:r>
        <w:t xml:space="preserve">requirement before submission.</w:t>
      </w:r>
    </w:p>
    <w:bookmarkEnd w:id="94"/>
    <w:bookmarkStart w:id="95" w:name="author-contributions"/>
    <w:p>
      <w:pPr>
        <w:pStyle w:val="Heading3"/>
        <w:keepNext/>
      </w:pPr>
      <w:r>
        <w:t xml:space="preserve">Author contributions</w:t>
      </w:r>
    </w:p>
    <w:p>
      <w:pPr>
        <w:pStyle w:val="FirstParagraph"/>
      </w:pPr>
      <w:r>
        <w:t xml:space="preserve">Author order and CRediT roles must be approved by every author before</w:t>
      </w:r>
      <w:r>
        <w:t xml:space="preserve"> </w:t>
      </w:r>
      <w:r>
        <w:t xml:space="preserve">submission.</w:t>
      </w:r>
    </w:p>
    <w:bookmarkEnd w:id="95"/>
    <w:bookmarkEnd w:id="96"/>
    <w:bookmarkStart w:id="140" w:name="references"/>
    <w:p>
      <w:pPr>
        <w:pStyle w:val="Heading2"/>
        <w:keepNext/>
      </w:pPr>
      <w:r>
        <w:t xml:space="preserve">References</w:t>
      </w:r>
    </w:p>
    <w:bookmarkStart w:id="139" w:name="refs"/>
    <w:bookmarkStart w:id="98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97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98"/>
    <w:bookmarkStart w:id="100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99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100"/>
    <w:bookmarkStart w:id="102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101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102"/>
    <w:bookmarkStart w:id="104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103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104"/>
    <w:bookmarkStart w:id="106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105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106"/>
    <w:bookmarkStart w:id="108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07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08"/>
    <w:bookmarkStart w:id="110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09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10"/>
    <w:bookmarkStart w:id="112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11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12"/>
    <w:bookmarkStart w:id="114" w:name="ref-L02"/>
    <w:p>
      <w:pPr>
        <w:pStyle w:val="Bibliography"/>
      </w:pPr>
      <w:r>
        <w:t xml:space="preserve">Li, Hao, Xiaogeng Liu, CHIU Chun, Dianqi Li, Ning Zhang, and Chaowei Xiao. 2025.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13">
        <w:r>
          <w:rPr>
            <w:rStyle w:val="Hyperlink"/>
          </w:rPr>
          <w:t xml:space="preserve">https://doi.org/10.52202/085713-2791</w:t>
        </w:r>
      </w:hyperlink>
      <w:r>
        <w:t xml:space="preserve">.</w:t>
      </w:r>
    </w:p>
    <w:bookmarkEnd w:id="114"/>
    <w:bookmarkStart w:id="116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15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16"/>
    <w:bookmarkStart w:id="118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17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18"/>
    <w:bookmarkStart w:id="120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 Llm Jailbreaks and Prompt Injections.”</w:t>
      </w:r>
      <w:r>
        <w:t xml:space="preserve"> </w:t>
      </w:r>
      <w:hyperlink r:id="rId119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20"/>
    <w:bookmarkStart w:id="122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21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22"/>
    <w:bookmarkStart w:id="124" w:name="ref-L08"/>
    <w:p>
      <w:pPr>
        <w:pStyle w:val="Bibliography"/>
      </w:pPr>
      <w:r>
        <w:t xml:space="preserve">Tsai, Lillian, and Eugene Bagdasarian.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23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24"/>
    <w:bookmarkStart w:id="126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25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26"/>
    <w:bookmarkStart w:id="128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https://conf.researchr.org/details/icse-2026/icse-2026-research-track/29/AgentSpec-Customizable-Runtime-Enforcement-for-Safe-and-Reliable-LLM-Agents</w:t>
        </w:r>
      </w:hyperlink>
      <w:r>
        <w:t xml:space="preserve">.</w:t>
      </w:r>
    </w:p>
    <w:bookmarkEnd w:id="128"/>
    <w:bookmarkStart w:id="130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29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30"/>
    <w:bookmarkStart w:id="132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31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32"/>
    <w:bookmarkStart w:id="134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33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34"/>
    <w:bookmarkStart w:id="136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 </w:t>
      </w:r>
      <w:r>
        <w:t xml:space="preserve">2025: 35331–66.</w:t>
      </w:r>
      <w:r>
        <w:t xml:space="preserve"> </w:t>
      </w:r>
      <w:hyperlink r:id="rId135">
        <w:r>
          <w:rPr>
            <w:rStyle w:val="Hyperlink"/>
          </w:rPr>
          <w:t xml:space="preserve">https://proceedings.iclr.cc/paper_files/paper/2025/hash/5750f91d8fb9d5c02bd8ad2c3b44456b-Abstract-Conference.html</w:t>
        </w:r>
      </w:hyperlink>
      <w:r>
        <w:t xml:space="preserve">.</w:t>
      </w:r>
    </w:p>
    <w:bookmarkEnd w:id="136"/>
    <w:bookmarkStart w:id="138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37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38"/>
    <w:bookmarkEnd w:id="139"/>
    <w:bookmarkEnd w:id="140"/>
    <w:bookmarkEnd w:id="141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6" Type="http://schemas.openxmlformats.org/officeDocument/2006/relationships/image" Target="media/rId76.png"/><Relationship Id="rId77" Type="http://schemas.openxmlformats.org/officeDocument/2006/relationships/image" Target="media/rId77.png"/><Relationship Id="rId78" Type="http://schemas.openxmlformats.org/officeDocument/2006/relationships/image" Target="media/rId78.png"/><Relationship Id="rId79" Type="http://schemas.openxmlformats.org/officeDocument/2006/relationships/image" Target="media/rId79.png"/><Relationship Id="rId80" Type="http://schemas.openxmlformats.org/officeDocument/2006/relationships/image" Target="media/rId80.png"/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7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3" Type="http://schemas.openxmlformats.org/officeDocument/2006/relationships/hyperlink" Target="https://doi.org/10.1145/3713082.3730378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13" Type="http://schemas.openxmlformats.org/officeDocument/2006/relationships/hyperlink" Target="https://doi.org/10.52202/085713-2791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99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7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3" Type="http://schemas.openxmlformats.org/officeDocument/2006/relationships/hyperlink" Target="https://doi.org/10.1145/3713082.3730378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13" Type="http://schemas.openxmlformats.org/officeDocument/2006/relationships/hyperlink" Target="https://doi.org/10.52202/085713-2791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99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Runtime Authorization Under Context and Provenance Uncertainty for Tool-Using LLM Agents</dc:title>
  <dc:creator/>
  <cp:keywords/>
  <dcterms:created xsi:type="dcterms:W3CDTF">2026-08-20T04:35:10Z</dcterms:created>
  <dcterms:modified xsi:type="dcterms:W3CDTF">2026-08-20T04:35:10Z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E:\M3_PI_Guard_test\docs\research\paper_v2\manuscript\references_v1.bib</vt:lpwstr>
  </property>
  <property fmtid="{D5CDD505-2E9C-101B-9397-08002B2CF9AE}" pid="3" name="reference-section-title">
    <vt:lpwstr>References</vt:lpwstr>
  </property>
</Properties>
</file>