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E">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3F867F9B">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2C04EAFF">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2C04EB00">
      <w:pPr>
        <w:keepNext w:val="0"/>
        <w:keepLines w:val="0"/>
        <w:pageBreakBefore w:val="0"/>
        <w:widowControl w:val="0"/>
        <w:shd w:val="clear"/>
        <w:kinsoku/>
        <w:wordWrap/>
        <w:overflowPunct/>
        <w:topLinePunct w:val="0"/>
        <w:bidi w:val="0"/>
        <w:spacing w:line="360" w:lineRule="auto"/>
        <w:textAlignment w:val="auto"/>
        <w:rPr>
          <w:rFonts w:ascii="方正小标宋简体" w:eastAsia="方正小标宋简体"/>
          <w:color w:val="auto"/>
          <w:sz w:val="44"/>
          <w:szCs w:val="44"/>
        </w:rPr>
      </w:pPr>
      <w:r>
        <w:rPr>
          <w:rFonts w:hint="eastAsia" w:ascii="方正小标宋简体" w:eastAsia="方正小标宋简体"/>
          <w:color w:val="auto"/>
          <w:sz w:val="44"/>
          <w:szCs w:val="44"/>
        </w:rPr>
        <w:t>第十九届全国大学生信息安全竞赛（作品赛）暨第三届“长城杯”网</w:t>
      </w:r>
      <w:r>
        <w:rPr>
          <w:rFonts w:ascii="方正小标宋简体" w:eastAsia="方正小标宋简体"/>
          <w:color w:val="auto"/>
          <w:sz w:val="44"/>
          <w:szCs w:val="44"/>
        </w:rPr>
        <w:t>数</w:t>
      </w:r>
      <w:r>
        <w:rPr>
          <w:rFonts w:hint="eastAsia" w:ascii="方正小标宋简体" w:eastAsia="方正小标宋简体"/>
          <w:color w:val="auto"/>
          <w:sz w:val="44"/>
          <w:szCs w:val="44"/>
        </w:rPr>
        <w:t>智安全</w:t>
      </w:r>
      <w:r>
        <w:rPr>
          <w:rFonts w:ascii="方正小标宋简体" w:eastAsia="方正小标宋简体"/>
          <w:color w:val="auto"/>
          <w:sz w:val="44"/>
          <w:szCs w:val="44"/>
        </w:rPr>
        <w:t>大赛（</w:t>
      </w:r>
      <w:r>
        <w:rPr>
          <w:rFonts w:hint="eastAsia" w:ascii="方正小标宋简体" w:eastAsia="方正小标宋简体"/>
          <w:color w:val="auto"/>
          <w:sz w:val="44"/>
          <w:szCs w:val="44"/>
        </w:rPr>
        <w:t>作品赛</w:t>
      </w:r>
      <w:r>
        <w:rPr>
          <w:rFonts w:ascii="方正小标宋简体" w:eastAsia="方正小标宋简体"/>
          <w:color w:val="auto"/>
          <w:sz w:val="44"/>
          <w:szCs w:val="44"/>
        </w:rPr>
        <w:t>）</w:t>
      </w:r>
    </w:p>
    <w:p w14:paraId="2C04EB01">
      <w:pPr>
        <w:keepNext w:val="0"/>
        <w:keepLines w:val="0"/>
        <w:pageBreakBefore w:val="0"/>
        <w:widowControl w:val="0"/>
        <w:shd w:val="clear"/>
        <w:kinsoku/>
        <w:wordWrap/>
        <w:overflowPunct/>
        <w:topLinePunct w:val="0"/>
        <w:bidi w:val="0"/>
        <w:spacing w:line="360" w:lineRule="auto"/>
        <w:jc w:val="center"/>
        <w:textAlignment w:val="auto"/>
        <w:rPr>
          <w:rFonts w:ascii="方正小标宋简体" w:eastAsia="方正小标宋简体"/>
          <w:color w:val="auto"/>
          <w:sz w:val="44"/>
          <w:szCs w:val="44"/>
        </w:rPr>
      </w:pPr>
      <w:r>
        <w:rPr>
          <w:rFonts w:hint="eastAsia" w:ascii="方正小标宋简体" w:hAnsi="宋体" w:eastAsia="方正小标宋简体"/>
          <w:color w:val="auto"/>
          <w:sz w:val="44"/>
          <w:szCs w:val="44"/>
        </w:rPr>
        <w:t>作品报告</w:t>
      </w:r>
    </w:p>
    <w:p w14:paraId="2C04EB02">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3">
      <w:pPr>
        <w:keepNext w:val="0"/>
        <w:keepLines w:val="0"/>
        <w:pageBreakBefore w:val="0"/>
        <w:widowControl w:val="0"/>
        <w:shd w:val="clear"/>
        <w:kinsoku/>
        <w:wordWrap/>
        <w:overflowPunct/>
        <w:topLinePunct w:val="0"/>
        <w:bidi w:val="0"/>
        <w:spacing w:line="360" w:lineRule="auto"/>
        <w:ind w:firstLine="1600" w:firstLineChars="500"/>
        <w:textAlignment w:val="auto"/>
        <w:rPr>
          <w:rFonts w:hint="eastAsia" w:ascii="宋体" w:hAnsi="宋体"/>
          <w:color w:val="auto"/>
          <w:sz w:val="32"/>
          <w:szCs w:val="32"/>
        </w:rPr>
      </w:pPr>
      <w:r>
        <w:rPr>
          <w:rFonts w:hint="eastAsia" w:ascii="宋体" w:hAnsi="宋体"/>
          <w:color w:val="auto"/>
          <w:sz w:val="32"/>
          <w:szCs w:val="32"/>
          <w:lang w:eastAsia="zh-CN"/>
        </w:rPr>
        <w:t>☑</w:t>
      </w:r>
      <w:r>
        <w:rPr>
          <w:rFonts w:hint="eastAsia" w:ascii="宋体" w:hAnsi="宋体"/>
          <w:b/>
          <w:bCs/>
          <w:color w:val="auto"/>
          <w:sz w:val="32"/>
          <w:szCs w:val="32"/>
        </w:rPr>
        <w:t>命题赛道</w:t>
      </w:r>
      <w:r>
        <w:rPr>
          <w:rFonts w:hint="eastAsia" w:ascii="宋体" w:hAnsi="宋体"/>
          <w:color w:val="auto"/>
          <w:sz w:val="32"/>
          <w:szCs w:val="32"/>
        </w:rPr>
        <w:t xml:space="preserve">             </w:t>
      </w:r>
      <w:r>
        <w:rPr>
          <w:rFonts w:hint="eastAsia" w:ascii="宋体" w:hAnsi="宋体"/>
          <w:color w:val="auto"/>
          <w:sz w:val="32"/>
          <w:szCs w:val="32"/>
          <w:lang w:eastAsia="zh-CN"/>
        </w:rPr>
        <w:t>□</w:t>
      </w:r>
      <w:r>
        <w:rPr>
          <w:rFonts w:hint="eastAsia" w:ascii="宋体" w:hAnsi="宋体"/>
          <w:b/>
          <w:bCs/>
          <w:color w:val="auto"/>
          <w:sz w:val="32"/>
          <w:szCs w:val="32"/>
        </w:rPr>
        <w:t>自由赛道</w:t>
      </w:r>
      <w:r>
        <w:rPr>
          <w:rFonts w:hint="eastAsia" w:ascii="宋体" w:hAnsi="宋体"/>
          <w:color w:val="auto"/>
          <w:sz w:val="32"/>
          <w:szCs w:val="32"/>
        </w:rPr>
        <w:t xml:space="preserve">  </w:t>
      </w:r>
    </w:p>
    <w:p w14:paraId="2C04EB06">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7">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8">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9">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b/>
          <w:color w:val="auto"/>
          <w:sz w:val="32"/>
          <w:szCs w:val="32"/>
          <w:u w:val="single"/>
        </w:rPr>
      </w:pPr>
      <w:r>
        <w:rPr>
          <w:rFonts w:hint="eastAsia" w:ascii="黑体" w:hAnsi="宋体" w:eastAsia="黑体"/>
          <w:b/>
          <w:color w:val="auto"/>
          <w:sz w:val="32"/>
          <w:szCs w:val="32"/>
        </w:rPr>
        <w:t>作品名称：</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M3-PI Guard：面向工具调用智能体的提示注入行为监督系统</w:t>
      </w:r>
      <w:r>
        <w:rPr>
          <w:rFonts w:hint="eastAsia" w:ascii="黑体" w:hAnsi="宋体" w:eastAsia="黑体"/>
          <w:b/>
          <w:color w:val="auto"/>
          <w:sz w:val="32"/>
          <w:szCs w:val="32"/>
          <w:u w:val="single"/>
        </w:rPr>
        <w:t xml:space="preserve">                                       </w:t>
      </w:r>
    </w:p>
    <w:p w14:paraId="2C04EB0A">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b/>
          <w:color w:val="auto"/>
          <w:sz w:val="32"/>
          <w:szCs w:val="32"/>
        </w:rPr>
      </w:pPr>
      <w:r>
        <w:rPr>
          <w:rFonts w:hint="eastAsia" w:ascii="黑体" w:hAnsi="宋体" w:eastAsia="黑体"/>
          <w:b/>
          <w:color w:val="auto"/>
          <w:sz w:val="32"/>
          <w:szCs w:val="32"/>
        </w:rPr>
        <w:t>电子邮箱：</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2945356177@qq.com</w:t>
      </w:r>
      <w:r>
        <w:rPr>
          <w:rFonts w:hint="eastAsia" w:ascii="黑体" w:hAnsi="宋体" w:eastAsia="黑体"/>
          <w:b/>
          <w:color w:val="auto"/>
          <w:sz w:val="32"/>
          <w:szCs w:val="32"/>
          <w:u w:val="single"/>
        </w:rPr>
        <w:t xml:space="preserve">                                         </w:t>
      </w:r>
    </w:p>
    <w:p w14:paraId="2C04EB0B">
      <w:pPr>
        <w:keepNext w:val="0"/>
        <w:keepLines w:val="0"/>
        <w:pageBreakBefore w:val="0"/>
        <w:widowControl w:val="0"/>
        <w:shd w:val="clear"/>
        <w:kinsoku/>
        <w:wordWrap/>
        <w:overflowPunct/>
        <w:topLinePunct w:val="0"/>
        <w:bidi w:val="0"/>
        <w:spacing w:line="360" w:lineRule="auto"/>
        <w:textAlignment w:val="auto"/>
        <w:rPr>
          <w:rFonts w:hint="eastAsia" w:ascii="宋体" w:hAnsi="宋体"/>
          <w:b/>
          <w:color w:val="auto"/>
          <w:sz w:val="24"/>
        </w:rPr>
      </w:pPr>
      <w:r>
        <w:rPr>
          <w:rFonts w:hint="eastAsia" w:ascii="黑体" w:hAnsi="宋体" w:eastAsia="黑体"/>
          <w:b/>
          <w:color w:val="auto"/>
          <w:sz w:val="32"/>
          <w:szCs w:val="32"/>
        </w:rPr>
        <w:t>提交日期：</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2026.6.12</w:t>
      </w:r>
      <w:r>
        <w:rPr>
          <w:rFonts w:hint="eastAsia" w:ascii="黑体" w:hAnsi="宋体" w:eastAsia="黑体"/>
          <w:b/>
          <w:color w:val="auto"/>
          <w:sz w:val="32"/>
          <w:szCs w:val="32"/>
          <w:u w:val="single"/>
        </w:rPr>
        <w:t xml:space="preserve">                                         </w:t>
      </w:r>
    </w:p>
    <w:p w14:paraId="2C04EB0C">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
          <w:bCs/>
          <w:color w:val="auto"/>
          <w:sz w:val="24"/>
        </w:rPr>
        <w:sectPr>
          <w:footerReference r:id="rId3" w:type="even"/>
          <w:pgSz w:w="11906" w:h="16838"/>
          <w:pgMar w:top="1440" w:right="1466" w:bottom="1440" w:left="1620" w:header="851" w:footer="992" w:gutter="0"/>
          <w:pgNumType w:fmt="decimal"/>
          <w:cols w:space="425" w:num="1"/>
          <w:docGrid w:type="lines" w:linePitch="312" w:charSpace="0"/>
        </w:sectPr>
      </w:pPr>
    </w:p>
    <w:p w14:paraId="2C04EB0D">
      <w:pPr>
        <w:keepNext w:val="0"/>
        <w:keepLines w:val="0"/>
        <w:pageBreakBefore w:val="0"/>
        <w:widowControl w:val="0"/>
        <w:shd w:val="clear"/>
        <w:kinsoku/>
        <w:wordWrap/>
        <w:overflowPunct/>
        <w:topLinePunct w:val="0"/>
        <w:bidi w:val="0"/>
        <w:adjustRightInd w:val="0"/>
        <w:snapToGrid w:val="0"/>
        <w:spacing w:line="360" w:lineRule="auto"/>
        <w:jc w:val="center"/>
        <w:textAlignment w:val="auto"/>
        <w:rPr>
          <w:rFonts w:ascii="黑体" w:eastAsia="黑体"/>
          <w:bCs/>
          <w:color w:val="auto"/>
          <w:sz w:val="32"/>
          <w:szCs w:val="32"/>
        </w:rPr>
      </w:pPr>
      <w:r>
        <w:rPr>
          <w:rFonts w:hint="eastAsia" w:ascii="黑体" w:eastAsia="黑体"/>
          <w:bCs/>
          <w:color w:val="auto"/>
          <w:sz w:val="32"/>
          <w:szCs w:val="32"/>
        </w:rPr>
        <w:t>填写说明</w:t>
      </w:r>
    </w:p>
    <w:p w14:paraId="2C04EB0E">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 xml:space="preserve">1. </w:t>
      </w:r>
      <w:r>
        <w:rPr>
          <w:rFonts w:ascii="宋体" w:hAnsi="宋体" w:cs="DFKai-SB"/>
          <w:bCs/>
          <w:color w:val="auto"/>
          <w:sz w:val="24"/>
        </w:rPr>
        <w:t>所有参赛</w:t>
      </w:r>
      <w:r>
        <w:rPr>
          <w:rFonts w:hint="eastAsia" w:ascii="宋体" w:hAnsi="宋体" w:cs="DFKai-SB"/>
          <w:bCs/>
          <w:color w:val="auto"/>
          <w:sz w:val="24"/>
        </w:rPr>
        <w:t>项目</w:t>
      </w:r>
      <w:r>
        <w:rPr>
          <w:rFonts w:ascii="宋体" w:hAnsi="宋体" w:cs="DFKai-SB"/>
          <w:bCs/>
          <w:color w:val="auto"/>
          <w:sz w:val="24"/>
        </w:rPr>
        <w:t>必须为一个基本完整的设计。</w:t>
      </w:r>
      <w:r>
        <w:rPr>
          <w:rFonts w:hint="eastAsia" w:ascii="宋体" w:hAnsi="宋体" w:cs="DFKai-SB"/>
          <w:bCs/>
          <w:color w:val="auto"/>
          <w:sz w:val="24"/>
        </w:rPr>
        <w:t>作品报告书旨在能够清晰准确地阐述（或图示）该参赛队的参赛项目（或</w:t>
      </w:r>
      <w:r>
        <w:rPr>
          <w:rFonts w:ascii="宋体" w:hAnsi="宋体" w:cs="DFKai-SB"/>
          <w:bCs/>
          <w:color w:val="auto"/>
          <w:sz w:val="24"/>
        </w:rPr>
        <w:t>方案</w:t>
      </w:r>
      <w:r>
        <w:rPr>
          <w:rFonts w:hint="eastAsia" w:ascii="宋体" w:hAnsi="宋体" w:cs="DFKai-SB"/>
          <w:bCs/>
          <w:color w:val="auto"/>
          <w:sz w:val="24"/>
        </w:rPr>
        <w:t>）。</w:t>
      </w:r>
    </w:p>
    <w:p w14:paraId="2C04EB0F">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2. 作品报告采用A4纸撰写。除标题外，所有内容必需为宋体、小四号字、1.5倍行距。</w:t>
      </w:r>
    </w:p>
    <w:p w14:paraId="2C04EB10">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3. 作品报告中各项目说明文字部分仅供参考，作品报告书撰写完毕后，请删除所有说明文字。(本页不删除)</w:t>
      </w:r>
    </w:p>
    <w:p w14:paraId="2C04EB11">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4. 作品报告模板里已经列的内容仅供参考，作者可以在此基础上增加内容或对文档结构进行微调。</w:t>
      </w:r>
    </w:p>
    <w:p w14:paraId="2C04EB12">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5. 为保证网评的公平、公正，作品报告中应避免出现作者所在学校、院系和指导教师等泄露身份的信息。</w:t>
      </w:r>
    </w:p>
    <w:p w14:paraId="2C04EB14">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0DA12193">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5">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6">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7">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sectPr>
          <w:pgSz w:w="11906" w:h="16838"/>
          <w:pgMar w:top="1440" w:right="1466" w:bottom="1440" w:left="1620" w:header="851" w:footer="992" w:gutter="0"/>
          <w:pgNumType w:fmt="decimal"/>
          <w:cols w:space="425" w:num="1"/>
          <w:docGrid w:type="lines" w:linePitch="312" w:charSpace="0"/>
        </w:sectPr>
      </w:pPr>
    </w:p>
    <w:p w14:paraId="729BEFA3">
      <w:pPr>
        <w:autoSpaceDE w:val="0"/>
        <w:autoSpaceDN w:val="0"/>
        <w:adjustRightInd w:val="0"/>
        <w:spacing w:line="360" w:lineRule="auto"/>
        <w:jc w:val="center"/>
        <w:rPr>
          <w:rFonts w:ascii="Calibri" w:hAnsi="Calibri" w:eastAsia="宋体" w:cs="Times New Roman"/>
          <w:b/>
          <w:bCs/>
          <w:color w:val="auto"/>
          <w:sz w:val="30"/>
          <w:szCs w:val="28"/>
          <w:lang w:val="en-US" w:eastAsia="en-US" w:bidi="ar-SA"/>
        </w:rPr>
      </w:pPr>
      <w:r>
        <w:rPr>
          <w:rFonts w:hint="eastAsia" w:ascii="黑体" w:hAnsi="宋体" w:eastAsia="黑体" w:cs="DFKai-SB"/>
          <w:b/>
          <w:bCs/>
          <w:sz w:val="32"/>
          <w:szCs w:val="32"/>
        </w:rPr>
        <w:t>目     录</w:t>
      </w:r>
    </w:p>
    <w:p w14:paraId="7CD5E81B">
      <w:pPr>
        <w:pStyle w:val="7"/>
        <w:keepNext w:val="0"/>
        <w:keepLines w:val="0"/>
        <w:pageBreakBefore w:val="0"/>
        <w:tabs>
          <w:tab w:val="right" w:leader="dot" w:pos="9071"/>
        </w:tabs>
        <w:kinsoku/>
        <w:wordWrap/>
        <w:overflowPunct/>
        <w:topLinePunct w:val="0"/>
        <w:bidi w:val="0"/>
        <w:textAlignment w:val="auto"/>
      </w:pPr>
      <w:r>
        <w:rPr>
          <w:rFonts w:ascii="宋体" w:hAnsi="宋体" w:eastAsia="宋体" w:cs="Times New Roman"/>
          <w:color w:val="auto"/>
          <w:sz w:val="24"/>
          <w:szCs w:val="22"/>
          <w:lang w:val="en-US" w:eastAsia="en-US" w:bidi="ar-SA"/>
        </w:rPr>
        <w:fldChar w:fldCharType="begin"/>
      </w:r>
      <w:r>
        <w:rPr>
          <w:rFonts w:ascii="宋体" w:hAnsi="宋体" w:eastAsia="宋体" w:cs="Times New Roman"/>
          <w:color w:val="auto"/>
          <w:sz w:val="24"/>
          <w:szCs w:val="22"/>
          <w:lang w:val="en-US" w:eastAsia="en-US" w:bidi="ar-SA"/>
        </w:rPr>
        <w:instrText xml:space="preserve">TOC \o "1-3" \h \u </w:instrText>
      </w:r>
      <w:r>
        <w:rPr>
          <w:rFonts w:ascii="宋体" w:hAnsi="宋体" w:eastAsia="宋体" w:cs="Times New Roman"/>
          <w:color w:val="auto"/>
          <w:sz w:val="24"/>
          <w:szCs w:val="22"/>
          <w:lang w:val="en-US" w:eastAsia="en-US" w:bidi="ar-SA"/>
        </w:rPr>
        <w:fldChar w:fldCharType="separate"/>
      </w:r>
    </w:p>
    <w:p w14:paraId="677805E7">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_Toc28794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摘  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_Toc28794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B6983B1">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_Toc21090 </w:instrText>
      </w:r>
      <w:r>
        <w:rPr>
          <w:rFonts w:hint="eastAsia" w:ascii="黑体" w:hAnsi="黑体" w:eastAsia="黑体" w:cs="黑体"/>
          <w:kern w:val="0"/>
          <w:sz w:val="28"/>
          <w:szCs w:val="28"/>
          <w:lang w:eastAsia="en-US"/>
        </w:rPr>
        <w:fldChar w:fldCharType="separate"/>
      </w:r>
      <w:r>
        <w:rPr>
          <w:rFonts w:hint="eastAsia" w:ascii="黑体" w:hAnsi="黑体" w:eastAsia="黑体" w:cs="黑体"/>
          <w:kern w:val="0"/>
          <w:sz w:val="28"/>
          <w:szCs w:val="28"/>
          <w:lang w:val="en-US" w:eastAsia="en-US"/>
        </w:rPr>
        <w:t>第一章 作品概述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_Toc21090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FD24DA3">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_Toc11026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1.1 背景分析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_Toc11026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CBBC763">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_Toc21883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1.2 风险问题与威胁模型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_Toc21883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016CD7D">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_Toc27080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1.3 相关工作与现有不足</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_Toc27080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267B4AF">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_Toc8051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1.4 作品目标</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_Toc8051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6A7565E">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_Toc24360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1.5 作品特色与应用前景</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_Toc24360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8636DF6">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_Toc5272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第二章 作品设计与实现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_Toc5272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9D918C0">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_Toc4751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2.1 系统总体架构</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_Toc4751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09DAC57">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_Toc2569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2.2 红队攻击样本库设计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_Toc2569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E3EA288">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_Toc10986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2.3 本地 Agent 靶场与模型后端</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_Toc10986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6853EBE">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_Toc24585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2.4 sandbox mock 工具链</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_Toc24585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A9F63BC">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_Toc12377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2.5 行为监督 Guard 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_Toc12377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98E5DEB">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_Toc2962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2.6 日志审计与 Dashboard</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_Toc2962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3E46CDA">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_Toc988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2.7 软件流程与模块实现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_Toc988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70C3E47">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_Toc29135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第三章 作品测试与分析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_Toc29135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85F88AC">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_Toc1399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3.1 测试环境</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_Toc1399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5DB5AEC">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_Toc19500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3.2 测试数据集</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_Toc19500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D0F14AA">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_Toc25714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3.3 测试方案</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_Toc25714 \h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519C3D4">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_Toc16923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3.4 评测指标</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_Toc16923 \h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9769D1F">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_Toc12962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3.5 总体实验结果</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_Toc12962 \h </w:instrText>
      </w:r>
      <w:r>
        <w:rPr>
          <w:rFonts w:hint="eastAsia" w:ascii="黑体" w:hAnsi="黑体" w:eastAsia="黑体" w:cs="黑体"/>
          <w:sz w:val="28"/>
          <w:szCs w:val="28"/>
        </w:rPr>
        <w:fldChar w:fldCharType="separate"/>
      </w:r>
      <w:r>
        <w:rPr>
          <w:rFonts w:hint="eastAsia" w:ascii="黑体" w:hAnsi="黑体" w:eastAsia="黑体" w:cs="黑体"/>
          <w:sz w:val="28"/>
          <w:szCs w:val="28"/>
        </w:rPr>
        <w:t>12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FDB264B">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_Toc3515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3.6 消融实验分析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_Toc3515 \h </w:instrText>
      </w:r>
      <w:r>
        <w:rPr>
          <w:rFonts w:hint="eastAsia" w:ascii="黑体" w:hAnsi="黑体" w:eastAsia="黑体" w:cs="黑体"/>
          <w:sz w:val="28"/>
          <w:szCs w:val="28"/>
        </w:rPr>
        <w:fldChar w:fldCharType="separate"/>
      </w:r>
      <w:r>
        <w:rPr>
          <w:rFonts w:hint="eastAsia" w:ascii="黑体" w:hAnsi="黑体" w:eastAsia="黑体" w:cs="黑体"/>
          <w:sz w:val="28"/>
          <w:szCs w:val="28"/>
        </w:rPr>
        <w:t>14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3D7C850">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_Toc23254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3.7 按攻击族分析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_Toc23254 \h </w:instrText>
      </w:r>
      <w:r>
        <w:rPr>
          <w:rFonts w:hint="eastAsia" w:ascii="黑体" w:hAnsi="黑体" w:eastAsia="黑体" w:cs="黑体"/>
          <w:sz w:val="28"/>
          <w:szCs w:val="28"/>
        </w:rPr>
        <w:fldChar w:fldCharType="separate"/>
      </w:r>
      <w:r>
        <w:rPr>
          <w:rFonts w:hint="eastAsia" w:ascii="黑体" w:hAnsi="黑体" w:eastAsia="黑体" w:cs="黑体"/>
          <w:sz w:val="28"/>
          <w:szCs w:val="28"/>
        </w:rPr>
        <w:t>14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3001336D">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_Toc27398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3.8 阻断原因与日志稳定性分析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_Toc27398 \h </w:instrText>
      </w:r>
      <w:r>
        <w:rPr>
          <w:rFonts w:hint="eastAsia" w:ascii="黑体" w:hAnsi="黑体" w:eastAsia="黑体" w:cs="黑体"/>
          <w:sz w:val="28"/>
          <w:szCs w:val="28"/>
        </w:rPr>
        <w:fldChar w:fldCharType="separate"/>
      </w:r>
      <w:r>
        <w:rPr>
          <w:rFonts w:hint="eastAsia" w:ascii="黑体" w:hAnsi="黑体" w:eastAsia="黑体" w:cs="黑体"/>
          <w:sz w:val="28"/>
          <w:szCs w:val="28"/>
        </w:rPr>
        <w:t>15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2287866">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_Toc23522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 代表性案例分析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_Toc23522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AB86717">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_Toc19768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3.9.1 RAG 间接提示注入案例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_Toc19768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C223415">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_Toc29925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3.9.2 JSON/RPC 结构化注入案例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_Toc29925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69F99EB">
      <w:pPr>
        <w:pStyle w:val="4"/>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_Toc29826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3.9.3 多语言/T2L 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_Toc29826 \h </w:instrText>
      </w:r>
      <w:r>
        <w:rPr>
          <w:rFonts w:hint="eastAsia" w:ascii="黑体" w:hAnsi="黑体" w:eastAsia="黑体" w:cs="黑体"/>
          <w:sz w:val="28"/>
          <w:szCs w:val="28"/>
        </w:rPr>
        <w:fldChar w:fldCharType="separate"/>
      </w:r>
      <w:r>
        <w:rPr>
          <w:rFonts w:hint="eastAsia" w:ascii="黑体" w:hAnsi="黑体" w:eastAsia="黑体" w:cs="黑体"/>
          <w:sz w:val="28"/>
          <w:szCs w:val="28"/>
        </w:rPr>
        <w:t>18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B0F57D9">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_Toc5295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3.10 实验结论与局限性</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_Toc5295 \h </w:instrText>
      </w:r>
      <w:r>
        <w:rPr>
          <w:rFonts w:hint="eastAsia" w:ascii="黑体" w:hAnsi="黑体" w:eastAsia="黑体" w:cs="黑体"/>
          <w:sz w:val="28"/>
          <w:szCs w:val="28"/>
        </w:rPr>
        <w:fldChar w:fldCharType="separate"/>
      </w:r>
      <w:r>
        <w:rPr>
          <w:rFonts w:hint="eastAsia" w:ascii="黑体" w:hAnsi="黑体" w:eastAsia="黑体" w:cs="黑体"/>
          <w:sz w:val="28"/>
          <w:szCs w:val="28"/>
        </w:rPr>
        <w:t>18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0F1D025">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_Toc3660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第四章 创新性说明</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_Toc3660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787D3F8">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_Toc11642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4.1 从文本输出安全转向工具链行为安全</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_Toc11642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7D598ED">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_Toc7312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4.2 跨攻击族统一 AttackCase 建模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_Toc7312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AC6B9F2">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_Toc22358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4.3 上下文检测、工具策略与数据流融合</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_Toc22358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3D99C1D3">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_Toc1309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4.4 可解释 allow/ask/deny 行为决策</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_Toc1309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35FC0E2">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_Toc16112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4.5 安全、可复现的本地红队靶场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_Toc16112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DA1CF3C">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_Toc28596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4.6 消融实验与证据链设计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_Toc28596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63BB9FF">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_Toc2975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第五章 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_Toc2975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68CB8C5">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_Toc4712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5.1 工作总结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_Toc4712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2ACD677">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_Toc32482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5.2 应用价值</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_Toc32482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23505AB">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_Toc17830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5.3 局限性与后续工作</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_Toc17830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BFFD1A7">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_Toc24749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_Toc24749 \h </w:instrText>
      </w:r>
      <w:r>
        <w:rPr>
          <w:rFonts w:hint="eastAsia" w:ascii="黑体" w:hAnsi="黑体" w:eastAsia="黑体" w:cs="黑体"/>
          <w:sz w:val="28"/>
          <w:szCs w:val="28"/>
        </w:rPr>
        <w:fldChar w:fldCharType="separate"/>
      </w:r>
      <w:r>
        <w:rPr>
          <w:rFonts w:hint="eastAsia" w:ascii="黑体" w:hAnsi="黑体" w:eastAsia="黑体" w:cs="黑体"/>
          <w:sz w:val="28"/>
          <w:szCs w:val="28"/>
        </w:rPr>
        <w:t>22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0512FA3">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r>
        <w:rPr>
          <w:rFonts w:ascii="宋体" w:hAnsi="宋体"/>
          <w:color w:val="auto"/>
          <w:kern w:val="0"/>
          <w:szCs w:val="22"/>
          <w:lang w:eastAsia="en-US"/>
        </w:rPr>
        <w:fldChar w:fldCharType="end"/>
      </w:r>
    </w:p>
    <w:p w14:paraId="0E5735C5">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p>
    <w:p w14:paraId="1801E104">
      <w:pPr>
        <w:keepNext w:val="0"/>
        <w:keepLines w:val="0"/>
        <w:pageBreakBefore w:val="0"/>
        <w:widowControl/>
        <w:shd w:val="clear"/>
        <w:kinsoku/>
        <w:wordWrap/>
        <w:overflowPunct/>
        <w:topLinePunct w:val="0"/>
        <w:autoSpaceDE/>
        <w:autoSpaceDN/>
        <w:bidi w:val="0"/>
        <w:adjustRightInd/>
        <w:snapToGrid/>
        <w:textAlignment w:val="auto"/>
        <w:rPr>
          <w:color w:val="auto"/>
        </w:rPr>
        <w:sectPr>
          <w:pgSz w:w="11906" w:h="16838"/>
          <w:pgMar w:top="1417" w:right="1361" w:bottom="1247" w:left="1474" w:header="720" w:footer="720" w:gutter="0"/>
          <w:cols w:space="720" w:num="1"/>
          <w:docGrid w:linePitch="360" w:charSpace="0"/>
        </w:sectPr>
      </w:pPr>
    </w:p>
    <w:p w14:paraId="43A8B63A">
      <w:pPr>
        <w:keepNext w:val="0"/>
        <w:keepLines w:val="0"/>
        <w:pageBreakBefore w:val="0"/>
        <w:widowControl/>
        <w:shd w:val="clear"/>
        <w:kinsoku/>
        <w:wordWrap/>
        <w:overflowPunct/>
        <w:topLinePunct w:val="0"/>
        <w:autoSpaceDE/>
        <w:autoSpaceDN/>
        <w:bidi w:val="0"/>
        <w:adjustRightInd/>
        <w:snapToGrid/>
        <w:spacing w:before="240" w:after="160" w:line="360" w:lineRule="auto"/>
        <w:jc w:val="center"/>
        <w:textAlignment w:val="auto"/>
        <w:outlineLvl w:val="0"/>
        <w:rPr>
          <w:rFonts w:ascii="Calibri" w:hAnsi="Calibri" w:eastAsia="宋体" w:cs="Times New Roman"/>
          <w:b/>
          <w:bCs/>
          <w:color w:val="auto"/>
          <w:sz w:val="30"/>
          <w:szCs w:val="28"/>
          <w:lang w:val="en-US" w:eastAsia="en-US" w:bidi="ar-SA"/>
        </w:rPr>
      </w:pPr>
      <w:bookmarkStart w:id="0" w:name="_Toc28794"/>
      <w:r>
        <w:rPr>
          <w:rFonts w:ascii="黑体" w:hAnsi="黑体" w:eastAsia="黑体" w:cs="Times New Roman"/>
          <w:b/>
          <w:bCs/>
          <w:color w:val="auto"/>
          <w:sz w:val="30"/>
          <w:szCs w:val="28"/>
          <w:lang w:val="en-US" w:eastAsia="en-US" w:bidi="ar-SA"/>
        </w:rPr>
        <w:t>摘  要</w:t>
      </w:r>
      <w:bookmarkEnd w:id="0"/>
    </w:p>
    <w:p w14:paraId="4BF1782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ascii="宋体" w:hAnsi="宋体" w:eastAsia="宋体"/>
          <w:b w:val="0"/>
          <w:sz w:val="24"/>
        </w:rPr>
        <w:t>随着大模型智能体</w:t>
      </w:r>
      <w:r>
        <w:rPr>
          <w:rFonts w:hint="eastAsia" w:ascii="宋体" w:hAnsi="宋体"/>
          <w:b w:val="0"/>
          <w:sz w:val="24"/>
          <w:lang w:val="en-US" w:eastAsia="zh-CN"/>
        </w:rPr>
        <w:t>的浪潮席卷全球，智能体的功能愈发完善，包括</w:t>
      </w:r>
      <w:r>
        <w:rPr>
          <w:rFonts w:ascii="宋体" w:hAnsi="宋体" w:eastAsia="宋体"/>
          <w:b w:val="0"/>
          <w:sz w:val="24"/>
        </w:rPr>
        <w:t>文件读写、邮件发送、接口调用和代码执行等</w:t>
      </w:r>
      <w:r>
        <w:rPr>
          <w:rFonts w:hint="eastAsia" w:ascii="宋体" w:hAnsi="宋体"/>
          <w:b w:val="0"/>
          <w:sz w:val="24"/>
          <w:lang w:val="en-US" w:eastAsia="zh-CN"/>
        </w:rPr>
        <w:t>等</w:t>
      </w:r>
      <w:r>
        <w:rPr>
          <w:rFonts w:ascii="宋体" w:hAnsi="宋体" w:eastAsia="宋体"/>
          <w:b w:val="0"/>
          <w:sz w:val="24"/>
        </w:rPr>
        <w:t>能力</w:t>
      </w:r>
      <w:r>
        <w:rPr>
          <w:rFonts w:hint="eastAsia" w:ascii="宋体" w:hAnsi="宋体"/>
          <w:b w:val="0"/>
          <w:sz w:val="24"/>
          <w:lang w:eastAsia="zh-CN"/>
        </w:rPr>
        <w:t>。</w:t>
      </w:r>
      <w:r>
        <w:rPr>
          <w:rFonts w:hint="eastAsia" w:ascii="宋体" w:hAnsi="宋体" w:eastAsia="宋体"/>
          <w:color w:val="auto"/>
          <w:kern w:val="0"/>
          <w:sz w:val="24"/>
          <w:szCs w:val="22"/>
          <w:lang w:eastAsia="en-US"/>
        </w:rPr>
        <w:t>提示注入攻击也随之发生迁移</w:t>
      </w:r>
      <w:r>
        <w:rPr>
          <w:rFonts w:hint="eastAsia" w:ascii="宋体" w:hAnsi="宋体"/>
          <w:color w:val="auto"/>
          <w:kern w:val="0"/>
          <w:sz w:val="24"/>
          <w:szCs w:val="22"/>
          <w:lang w:eastAsia="zh-CN"/>
        </w:rPr>
        <w:t>，</w:t>
      </w:r>
      <w:r>
        <w:rPr>
          <w:rFonts w:hint="eastAsia" w:ascii="宋体" w:hAnsi="宋体"/>
          <w:color w:val="auto"/>
          <w:kern w:val="0"/>
          <w:sz w:val="24"/>
          <w:szCs w:val="22"/>
          <w:lang w:val="en-US" w:eastAsia="zh-CN"/>
        </w:rPr>
        <w:t>体现在</w:t>
      </w:r>
      <w:r>
        <w:rPr>
          <w:rFonts w:hint="eastAsia" w:ascii="宋体" w:hAnsi="宋体" w:eastAsia="宋体"/>
          <w:color w:val="auto"/>
          <w:kern w:val="0"/>
          <w:sz w:val="24"/>
          <w:szCs w:val="22"/>
          <w:lang w:eastAsia="en-US"/>
        </w:rPr>
        <w:t>攻击者不再只追求诱导模型输出不当文本，而是试图让模型在工具链中触发未授权行为</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已有越狱和提示注入研究已经证明了自然语言指令、间接文档、结构化字段和多语言混淆对模型安全边界的影响，但面向工具集成智能体的本地可复现评测框架、跨攻击族统一样本模式以及行为级阻断指标仍不充分。</w:t>
      </w:r>
    </w:p>
    <w:p w14:paraId="4A8FDA9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hint="eastAsia" w:ascii="宋体" w:hAnsi="宋体" w:eastAsia="宋体"/>
          <w:color w:val="auto"/>
          <w:kern w:val="0"/>
          <w:sz w:val="24"/>
          <w:szCs w:val="22"/>
          <w:lang w:eastAsia="en-US"/>
        </w:rPr>
        <w:t>本作品提出M³-PI Guard，一个面向工具集成大模型智能体的提示注入红队评测与行为监督原型。系统构建了69条标准化AttackCase样本，覆盖直接越狱、RAG间接提示注入、多语言/T2L、JSON/RPC 结构化注入、工具输出注入和正常任务</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实现了本地sandbox mock工具链，模拟read_file、write_file、send_email、call_api和run_code五类高风险动作</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并设计了结合指令性文本检测、结构化字段分析、多语言混淆信号、工具策略、路径/端点约束、数据流追踪和意图-动作一致性检查的行为监督机制。</w:t>
      </w:r>
    </w:p>
    <w:p w14:paraId="40B784D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hint="eastAsia" w:ascii="宋体" w:hAnsi="宋体" w:eastAsia="宋体"/>
          <w:color w:val="auto"/>
          <w:kern w:val="0"/>
          <w:sz w:val="24"/>
          <w:szCs w:val="22"/>
          <w:lang w:eastAsia="en-US"/>
        </w:rPr>
        <w:t>实验结果表明，在69条全量stub样本中，baseline的ASR为55.07%、UTR为28.99%、DSR为55.07%，full_guard将ASR、UTR和DSR均降至 0，并保持0的误报率</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在24条本地Qwen2.5-7B代表样本中，baseline的ASR为8.33%、DSR为4.17%，full_guard同样将ASR、UTR和DSR降至0</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在3条demo smoke test中，baseline的ASR、UTR、DSR均为66.67%，full_guard的阻断成功率达到 100%。本作品的核心价值在于将大模型安全评测对象从最终输出文本扩展到工具链行为，提供可复现、可审计、无真实危害的本地红队靶场与指标体系。</w:t>
      </w:r>
    </w:p>
    <w:p w14:paraId="42F6D68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hint="eastAsia" w:ascii="宋体" w:hAnsi="宋体" w:eastAsia="宋体"/>
          <w:color w:val="auto"/>
          <w:kern w:val="0"/>
          <w:sz w:val="24"/>
          <w:szCs w:val="22"/>
          <w:lang w:eastAsia="en-US"/>
        </w:rPr>
        <w:t>关键词：大模型智能体</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提示注入</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间接提示注入</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红队评测</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工具调用安全</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行为监督</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RAG安全</w:t>
      </w:r>
    </w:p>
    <w:p w14:paraId="2A3C6F3A">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2C37A4AC">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1" w:name="_Toc21090"/>
      <w:r>
        <w:rPr>
          <w:rFonts w:hint="eastAsia" w:ascii="黑体" w:eastAsia="黑体"/>
          <w:sz w:val="32"/>
          <w:szCs w:val="32"/>
          <w:lang w:val="en-US" w:eastAsia="en-US"/>
        </w:rPr>
        <w:t>第一章 作品概述</w:t>
      </w:r>
      <w:bookmarkEnd w:id="1"/>
    </w:p>
    <w:p w14:paraId="47328CB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 w:name="_Toc11026"/>
      <w:r>
        <w:rPr>
          <w:rFonts w:hint="eastAsia" w:ascii="黑体" w:hAnsi="黑体" w:eastAsia="黑体" w:cs="黑体"/>
          <w:b/>
          <w:bCs/>
          <w:color w:val="auto"/>
          <w:sz w:val="28"/>
          <w:szCs w:val="28"/>
          <w:lang w:val="en-US" w:eastAsia="en-US" w:bidi="ar-SA"/>
        </w:rPr>
        <w:t>1.1 背景分析</w:t>
      </w:r>
      <w:bookmarkEnd w:id="2"/>
    </w:p>
    <w:p w14:paraId="08C7549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大模型系统的安全边界正在发生结构性变化。早期大模型应用主要表现为单轮或多轮对话，安全评测通常关注模型是否输出违法、危险或不当内容。随着RAG、函数调用、插件系统、工作流编排和本地自动化工具的普及，大模型越来越多地被嵌入能够“行动”的智能体系统中。在此类系统中，模型输出不仅是自然语言文本，还可能被解析为工具调用、执行计划或业务动作。一个看似普通的总结任务，可能涉及读取文档、调用检索、发送报告、访问接口或写入记录</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一段网页内容、邮件正文或JSON字段，也可能被模型误判为下一步指令。</w:t>
      </w:r>
    </w:p>
    <w:p w14:paraId="4628119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提示注入攻击正是利用了这种边界模糊性。直接越狱通过角色扮演、权限伪装、说服性语言或多轮诱导试图覆盖系统约束</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间接提示注入则把攻击指令隐藏在模型需要处理的外部内容中，例如网页、文档、邮件、日志、工具返回值和结构化数据。对于工具集成智能体，攻击者的目标不一定是让模型输出有害内容，而可能是诱导模型调用本不应该调用的工具。</w:t>
      </w:r>
    </w:p>
    <w:p w14:paraId="7F91A43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这类风险使传统的输出过滤、敏感词过滤或单轮越狱测试显得不足。首先，工具动作的风险发生在最终文本之前，等用户看到回答时，文件读取、邮件外发或接口调用可能已经发生。其次，攻击载体不一定出现在用户直接输入中，而可能来自RAG文档、第三方网页或上游工具输出。再次，结构化字段名如system、developer、tool、function_call和next_step会诱导模型误判消息优先级。最后，多语言、拼音、谐音、回译和</w:t>
      </w:r>
      <w:bookmarkStart w:id="41" w:name="_GoBack"/>
      <w:bookmarkEnd w:id="41"/>
      <w:r>
        <w:rPr>
          <w:rFonts w:ascii="宋体" w:hAnsi="宋体" w:eastAsia="宋体"/>
          <w:color w:val="auto"/>
          <w:kern w:val="0"/>
          <w:sz w:val="24"/>
          <w:szCs w:val="22"/>
          <w:lang w:eastAsia="en-US"/>
        </w:rPr>
        <w:t>JSON翻译任务会进一步增加检测难度。</w:t>
      </w:r>
    </w:p>
    <w:p w14:paraId="7F39F71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3" w:name="_Toc21883"/>
      <w:r>
        <w:rPr>
          <w:rFonts w:hint="eastAsia" w:ascii="黑体" w:hAnsi="黑体" w:eastAsia="黑体" w:cs="黑体"/>
          <w:b/>
          <w:bCs/>
          <w:color w:val="auto"/>
          <w:sz w:val="28"/>
          <w:szCs w:val="28"/>
          <w:lang w:val="en-US" w:eastAsia="en-US" w:bidi="ar-SA"/>
        </w:rPr>
        <w:t>1.2 风险问题与威胁模型</w:t>
      </w:r>
      <w:bookmarkEnd w:id="3"/>
    </w:p>
    <w:p w14:paraId="2BB316C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研究对象是工具集成大模型智能体。一次运行通常包含用户任务、上下文材料、模型响应、候选工具调用和工具观察结果。上下文材料可能来自用户直接输入、RAG文档、网页、邮件、JSON/RPC数据、翻译文本或上游工具输出。系统风险的关键不在于某个词语本身是否危险，而在于不可信内容是否被错误提升为更高优先级指令，并进一步改变工具链行为。</w:t>
      </w:r>
    </w:p>
    <w:p w14:paraId="35D864F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在本地红队靶场中，攻击者能够控制或污染不可信文本载体，例如文档正文、网页片段、邮件内容、工具返回值或结构化字段</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攻击者不能修改系统提示、Guard代码、工具实现或样本白名单。攻击目标是诱导模型触发未授权的mock工具动作，包括读取 canary secret、外发到mock邮箱、调用mock API、写入公共笔记或提出mock代码执行。</w:t>
      </w:r>
    </w:p>
    <w:p w14:paraId="2036DB7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安全目标包括</w:t>
      </w:r>
      <w:r>
        <w:rPr>
          <w:rFonts w:hint="eastAsia" w:ascii="宋体" w:hAnsi="宋体"/>
          <w:color w:val="auto"/>
          <w:kern w:val="0"/>
          <w:sz w:val="24"/>
          <w:szCs w:val="22"/>
          <w:lang w:val="en-US" w:eastAsia="zh-CN"/>
        </w:rPr>
        <w:t>以下几点：</w:t>
      </w:r>
      <w:r>
        <w:rPr>
          <w:rFonts w:ascii="宋体" w:hAnsi="宋体" w:eastAsia="宋体"/>
          <w:color w:val="auto"/>
          <w:kern w:val="0"/>
          <w:sz w:val="24"/>
          <w:szCs w:val="22"/>
          <w:lang w:eastAsia="en-US"/>
        </w:rPr>
        <w:t>不可信内容只能作为数据处理，不能提升为系统或开发者指令</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模型不得因提示注入读取sandbox/secrets/api_key.txt</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模型不得将canary或敏感标记发送到mock邮箱或mock API</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模型不得在翻译、总结、分类等普通任务中执行无关工具动作</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对不确定但高风险的动作，应返回ask或deny，并记录可解释原因</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对正常样本应尽量保持低误报率。</w:t>
      </w:r>
    </w:p>
    <w:p w14:paraId="329CFB7A">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4" w:name="_Toc27080"/>
      <w:r>
        <w:rPr>
          <w:rFonts w:hint="eastAsia" w:ascii="黑体" w:hAnsi="黑体" w:eastAsia="黑体" w:cs="黑体"/>
          <w:b/>
          <w:bCs/>
          <w:color w:val="auto"/>
          <w:sz w:val="28"/>
          <w:szCs w:val="28"/>
          <w:lang w:val="en-US" w:eastAsia="en-US" w:bidi="ar-SA"/>
        </w:rPr>
        <w:t>1.3 相关工作与现有不足</w:t>
      </w:r>
      <w:bookmarkEnd w:id="4"/>
    </w:p>
    <w:p w14:paraId="083DADA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已有研究从直接越狱、间接提示注入、RAG数据污染、机器翻译提示注入、结构化输入欺骗、工具集成Agent攻击等角度揭示了大模型安全边界问题。现有防护路线主要包括提示词加固、输入过滤、策略沙箱、LLM</w:t>
      </w:r>
      <w:r>
        <w:rPr>
          <w:rFonts w:hint="eastAsia" w:ascii="宋体" w:hAnsi="宋体"/>
          <w:color w:val="auto"/>
          <w:kern w:val="0"/>
          <w:sz w:val="24"/>
          <w:szCs w:val="22"/>
          <w:lang w:val="en-US" w:eastAsia="zh-CN"/>
        </w:rPr>
        <w:t xml:space="preserve"> </w:t>
      </w:r>
      <w:r>
        <w:rPr>
          <w:rFonts w:ascii="宋体" w:hAnsi="宋体" w:eastAsia="宋体"/>
          <w:color w:val="auto"/>
          <w:kern w:val="0"/>
          <w:sz w:val="24"/>
          <w:szCs w:val="22"/>
          <w:lang w:eastAsia="en-US"/>
        </w:rPr>
        <w:t>Judge、日志审计和对齐训练等。它们为理解模型指令跟随和安全对齐提供了重要基础。</w:t>
      </w:r>
    </w:p>
    <w:p w14:paraId="307DF4D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然而，对于工具集成智能体而言，仅判断模型最终文本是否违规并不足够。许多风险发生在工具调用执行前后</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模型可能在最终回答看似正常的情况下，已经触发了文件访问、邮件发送或API调用。单一的关键词过滤容易被多语言改写、结构化字段和上下文嵌套绕过</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单一的工具策略虽然能阻断路径和端点，却难以解释攻击来源。</w:t>
      </w:r>
    </w:p>
    <w:p w14:paraId="1C69F82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因此，本作品采用本地规则与行为指标相结合的方案，强调可复现、可解释、可审计和无真实危害。系统不依赖远程模型或真实业务系统，而是通过本地sandbox mock工具保留行为风险形态，并通过统一样本、日志和指标体系评估Guard的效果。</w:t>
      </w:r>
    </w:p>
    <w:p w14:paraId="2E7F5F6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5" w:name="_Toc8051"/>
      <w:r>
        <w:rPr>
          <w:rFonts w:hint="eastAsia" w:ascii="黑体" w:hAnsi="黑体" w:eastAsia="黑体" w:cs="黑体"/>
          <w:b/>
          <w:bCs/>
          <w:color w:val="auto"/>
          <w:sz w:val="28"/>
          <w:szCs w:val="28"/>
          <w:lang w:val="en-US" w:eastAsia="en-US" w:bidi="ar-SA"/>
        </w:rPr>
        <w:t>1.4 作品目标</w:t>
      </w:r>
      <w:bookmarkEnd w:id="5"/>
    </w:p>
    <w:p w14:paraId="5DEE1E7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构建覆盖多类提示注入与越狱攻击的红队样本库，统一表示直接越狱、RAG间接注入、多语言/T2L、JSON/RPC 结构化注入、工具输出注入和正常样本。</w:t>
      </w:r>
    </w:p>
    <w:p w14:paraId="0372ECC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搭建本地工具集成智能体靶场，支持stub稳定复现实验和Qwen2.5本地模型代表实验。</w:t>
      </w:r>
    </w:p>
    <w:p w14:paraId="576D747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设计本地sandbox mock工具链，安全模拟文件读写、邮件发送、API调用和代码执行风险。</w:t>
      </w:r>
    </w:p>
    <w:p w14:paraId="2441665B">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实现工具执行前的行为监督Guard，输出allow、ask、deny三态决策与可解释风险原因。</w:t>
      </w:r>
    </w:p>
    <w:p w14:paraId="5ACAF8D5">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提供ASR、UTR、DSR、BSR、FPR、AvgRisk和WRS等行为指标，并通过Dashboard支持单案例回放。</w:t>
      </w:r>
    </w:p>
    <w:p w14:paraId="6F80ADC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6" w:name="_Toc24360"/>
      <w:r>
        <w:rPr>
          <w:rFonts w:hint="eastAsia" w:ascii="黑体" w:hAnsi="黑体" w:eastAsia="黑体" w:cs="黑体"/>
          <w:b/>
          <w:bCs/>
          <w:color w:val="auto"/>
          <w:sz w:val="28"/>
          <w:szCs w:val="28"/>
          <w:lang w:val="en-US" w:eastAsia="en-US" w:bidi="ar-SA"/>
        </w:rPr>
        <w:t>1.5 作品特色与应用前景</w:t>
      </w:r>
      <w:bookmarkEnd w:id="6"/>
    </w:p>
    <w:p w14:paraId="6DA5CE4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本作品的特色是将安全判断绑定到工具执行边界。与只关注最终回答的检测方式不同，M³-PI Guard在每一次候选工具调用前进行风险评估，并将风险来源拆解为工具类型、路径、端点、敏感数据流、结构化注入、多语言混淆和意图-动作不一致等原因码。这种方式既能阻断不安全行为，也便于复盘和答辩展示。</w:t>
      </w:r>
    </w:p>
    <w:p w14:paraId="52D9E16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该系统可用于智能体上线前红队评测、课程实验与教学演示、企业内部工具代理审计、RAG 应用安全测试和提示注入防护策略验证。由于所有攻击均限制在本地mock工具和canary假数据中，系统能够在不影响真实世界的前提下复现提示注入导致的行为风险。</w:t>
      </w:r>
    </w:p>
    <w:p w14:paraId="3283C701">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786D140D">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7" w:name="_Toc5272"/>
      <w:r>
        <w:rPr>
          <w:rFonts w:hint="eastAsia" w:ascii="黑体" w:eastAsia="黑体"/>
          <w:sz w:val="32"/>
          <w:szCs w:val="32"/>
          <w:lang w:val="en-US" w:eastAsia="en-US"/>
        </w:rPr>
        <w:t>第二章 作品设计与实现</w:t>
      </w:r>
      <w:bookmarkEnd w:id="7"/>
    </w:p>
    <w:p w14:paraId="7375B174">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8" w:name="_Toc4751"/>
      <w:r>
        <w:rPr>
          <w:rFonts w:hint="eastAsia" w:ascii="黑体" w:hAnsi="黑体" w:eastAsia="黑体" w:cs="黑体"/>
          <w:b/>
          <w:bCs/>
          <w:color w:val="auto"/>
          <w:sz w:val="28"/>
          <w:szCs w:val="28"/>
          <w:lang w:val="en-US" w:eastAsia="en-US" w:bidi="ar-SA"/>
        </w:rPr>
        <w:t>2.1 系统总体架构</w:t>
      </w:r>
      <w:bookmarkEnd w:id="8"/>
    </w:p>
    <w:p w14:paraId="6462026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M³-PI Guard包含攻击样本库、智能体运行器、模型后端、mock工具沙箱、行为监督Guard、评测模块和Dashboard七个部分。攻击样本库提供标准化输入</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运行器将样本发送给stub或本地模型</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模型输出被解析为最终回答或工具调用</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Guard在工具执行前给出决策</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工具沙箱模拟执行并返回观察</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评测模块读取日志并计算指标</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Dashboard将总览指标、分组分析、阻断记录和单案例回放可视化。</w:t>
      </w:r>
    </w:p>
    <w:p w14:paraId="792ADD4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系统整体流程可以概括为AttackCase → Agent Runner → LLM/Stub → ToolCall → Guard Decision → Mock Tool → RunLog → Metrics → Dashboard。该流程把红队样本、模型行为、工具调用、阻断证据和评测指标串成闭环，使每一个实验结论都可以追溯到具体样本和具体日志。</w:t>
      </w:r>
    </w:p>
    <w:p w14:paraId="2AB02056">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1931035"/>
            <wp:effectExtent l="0" t="0" r="133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1931413"/>
                    </a:xfrm>
                    <a:prstGeom prst="rect">
                      <a:avLst/>
                    </a:prstGeom>
                  </pic:spPr>
                </pic:pic>
              </a:graphicData>
            </a:graphic>
          </wp:inline>
        </w:drawing>
      </w:r>
    </w:p>
    <w:p w14:paraId="7761B22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图1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系统总体流程</w:t>
      </w:r>
    </w:p>
    <w:p w14:paraId="1E6F9A57">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9" w:name="_Toc2569"/>
      <w:r>
        <w:rPr>
          <w:rFonts w:hint="eastAsia" w:ascii="黑体" w:hAnsi="黑体" w:eastAsia="黑体" w:cs="黑体"/>
          <w:b/>
          <w:bCs/>
          <w:color w:val="auto"/>
          <w:sz w:val="28"/>
          <w:szCs w:val="28"/>
          <w:lang w:val="en-US" w:eastAsia="en-US" w:bidi="ar-SA"/>
        </w:rPr>
        <w:t>2.2 红队攻击样本库设计</w:t>
      </w:r>
      <w:bookmarkEnd w:id="9"/>
    </w:p>
    <w:p w14:paraId="5B83BE8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AttackCase是系统的核心数据单位。每条样本包含case_id、attack_family、carrier、language、user_task、document_content、injected_content、expected_safe_behavior、unsafe_target_actions、risk_tags、severity和notes等字段。扩展字段包括success_indicators、safe_indicators、demo_priority和 expected_detectors。该结构同时服务于攻击生成、模型运行、Guard检测和结果评估。</w:t>
      </w:r>
    </w:p>
    <w:p w14:paraId="6A8F1B0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zh-CN"/>
        </w:rPr>
      </w:pPr>
      <w:r>
        <w:rPr>
          <w:rFonts w:ascii="宋体" w:hAnsi="宋体" w:eastAsia="宋体"/>
          <w:color w:val="auto"/>
          <w:kern w:val="0"/>
          <w:sz w:val="24"/>
          <w:szCs w:val="22"/>
          <w:lang w:eastAsia="en-US"/>
        </w:rPr>
        <w:t>统一AttackCase模式使不同攻击族能够在同一运行器、同一日志格式和同一指标体系下比较，避免“每种攻击一套评测脚本”的碎片化问题。样本中的unsafe_target_actions只允许指向本地mock工具</w:t>
      </w:r>
      <w:r>
        <w:rPr>
          <w:rFonts w:hint="eastAsia" w:ascii="宋体" w:hAnsi="宋体"/>
          <w:color w:val="auto"/>
          <w:kern w:val="0"/>
          <w:sz w:val="24"/>
          <w:szCs w:val="22"/>
          <w:lang w:eastAsia="zh-CN"/>
        </w:rPr>
        <w:t>。</w:t>
      </w:r>
    </w:p>
    <w:p w14:paraId="32236814">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表1</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AttackCase 主要字段说明</w:t>
      </w:r>
    </w:p>
    <w:tbl>
      <w:tblPr>
        <w:tblStyle w:val="10"/>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2856"/>
        <w:gridCol w:w="3890"/>
        <w:gridCol w:w="2541"/>
      </w:tblGrid>
      <w:tr w14:paraId="7D6EBD6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159AD0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字段</w:t>
            </w:r>
          </w:p>
        </w:tc>
        <w:tc>
          <w:tcPr>
            <w:tcW w:w="0" w:type="auto"/>
            <w:shd w:val="clear" w:color="auto" w:fill="auto"/>
            <w:vAlign w:val="center"/>
          </w:tcPr>
          <w:p w14:paraId="0AE93C7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含义</w:t>
            </w:r>
          </w:p>
        </w:tc>
        <w:tc>
          <w:tcPr>
            <w:tcW w:w="0" w:type="auto"/>
            <w:shd w:val="clear" w:color="auto" w:fill="auto"/>
            <w:vAlign w:val="center"/>
          </w:tcPr>
          <w:p w14:paraId="30DF399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用途</w:t>
            </w:r>
          </w:p>
        </w:tc>
      </w:tr>
      <w:tr w14:paraId="51F0EB3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8044CF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case_id</w:t>
            </w:r>
          </w:p>
        </w:tc>
        <w:tc>
          <w:tcPr>
            <w:tcW w:w="0" w:type="auto"/>
            <w:shd w:val="clear" w:color="auto" w:fill="auto"/>
            <w:vAlign w:val="center"/>
          </w:tcPr>
          <w:p w14:paraId="73E9298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样本唯一标识</w:t>
            </w:r>
          </w:p>
        </w:tc>
        <w:tc>
          <w:tcPr>
            <w:tcW w:w="0" w:type="auto"/>
            <w:shd w:val="clear" w:color="auto" w:fill="auto"/>
            <w:vAlign w:val="center"/>
          </w:tcPr>
          <w:p w14:paraId="44563BE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日志关联、案例回放</w:t>
            </w:r>
          </w:p>
        </w:tc>
      </w:tr>
      <w:tr w14:paraId="5FD3628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6033EE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attack_family</w:t>
            </w:r>
          </w:p>
        </w:tc>
        <w:tc>
          <w:tcPr>
            <w:tcW w:w="0" w:type="auto"/>
            <w:shd w:val="clear" w:color="auto" w:fill="auto"/>
            <w:vAlign w:val="center"/>
          </w:tcPr>
          <w:p w14:paraId="66393AC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攻击族或 benign_clean</w:t>
            </w:r>
          </w:p>
        </w:tc>
        <w:tc>
          <w:tcPr>
            <w:tcW w:w="0" w:type="auto"/>
            <w:shd w:val="clear" w:color="auto" w:fill="auto"/>
            <w:vAlign w:val="center"/>
          </w:tcPr>
          <w:p w14:paraId="00E5556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分组评测、攻击族分析</w:t>
            </w:r>
          </w:p>
        </w:tc>
      </w:tr>
      <w:tr w14:paraId="34BB494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DC6C19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carrier</w:t>
            </w:r>
          </w:p>
        </w:tc>
        <w:tc>
          <w:tcPr>
            <w:tcW w:w="0" w:type="auto"/>
            <w:shd w:val="clear" w:color="auto" w:fill="auto"/>
            <w:vAlign w:val="center"/>
          </w:tcPr>
          <w:p w14:paraId="2F479AD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注入载体，如文档、JSON、工具输出</w:t>
            </w:r>
          </w:p>
        </w:tc>
        <w:tc>
          <w:tcPr>
            <w:tcW w:w="0" w:type="auto"/>
            <w:shd w:val="clear" w:color="auto" w:fill="auto"/>
            <w:vAlign w:val="center"/>
          </w:tcPr>
          <w:p w14:paraId="4594AEF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威胁建模、载体分析</w:t>
            </w:r>
          </w:p>
        </w:tc>
      </w:tr>
      <w:tr w14:paraId="18A1900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E741DD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language</w:t>
            </w:r>
          </w:p>
        </w:tc>
        <w:tc>
          <w:tcPr>
            <w:tcW w:w="0" w:type="auto"/>
            <w:shd w:val="clear" w:color="auto" w:fill="auto"/>
            <w:vAlign w:val="center"/>
          </w:tcPr>
          <w:p w14:paraId="13DDDB3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语言或混合语言类型</w:t>
            </w:r>
          </w:p>
        </w:tc>
        <w:tc>
          <w:tcPr>
            <w:tcW w:w="0" w:type="auto"/>
            <w:shd w:val="clear" w:color="auto" w:fill="auto"/>
            <w:vAlign w:val="center"/>
          </w:tcPr>
          <w:p w14:paraId="3CC0900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多语言/T2L 分析</w:t>
            </w:r>
          </w:p>
        </w:tc>
      </w:tr>
      <w:tr w14:paraId="47082BB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5964D2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user_task</w:t>
            </w:r>
          </w:p>
        </w:tc>
        <w:tc>
          <w:tcPr>
            <w:tcW w:w="0" w:type="auto"/>
            <w:shd w:val="clear" w:color="auto" w:fill="auto"/>
            <w:vAlign w:val="center"/>
          </w:tcPr>
          <w:p w14:paraId="408E82A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用户正常任务</w:t>
            </w:r>
          </w:p>
        </w:tc>
        <w:tc>
          <w:tcPr>
            <w:tcW w:w="0" w:type="auto"/>
            <w:shd w:val="clear" w:color="auto" w:fill="auto"/>
            <w:vAlign w:val="center"/>
          </w:tcPr>
          <w:p w14:paraId="087AE02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意图-动作一致性判断</w:t>
            </w:r>
          </w:p>
        </w:tc>
      </w:tr>
      <w:tr w14:paraId="605C3C3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FBFF9B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document_content</w:t>
            </w:r>
          </w:p>
        </w:tc>
        <w:tc>
          <w:tcPr>
            <w:tcW w:w="0" w:type="auto"/>
            <w:shd w:val="clear" w:color="auto" w:fill="auto"/>
            <w:vAlign w:val="center"/>
          </w:tcPr>
          <w:p w14:paraId="426196A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待处理上下文材料</w:t>
            </w:r>
          </w:p>
        </w:tc>
        <w:tc>
          <w:tcPr>
            <w:tcW w:w="0" w:type="auto"/>
            <w:shd w:val="clear" w:color="auto" w:fill="auto"/>
            <w:vAlign w:val="center"/>
          </w:tcPr>
          <w:p w14:paraId="5583F9E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不可信内容检测</w:t>
            </w:r>
          </w:p>
        </w:tc>
      </w:tr>
      <w:tr w14:paraId="0F0B4D6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5DF98C3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unsafe_target_actions</w:t>
            </w:r>
          </w:p>
        </w:tc>
        <w:tc>
          <w:tcPr>
            <w:tcW w:w="0" w:type="auto"/>
            <w:shd w:val="clear" w:color="auto" w:fill="auto"/>
            <w:vAlign w:val="center"/>
          </w:tcPr>
          <w:p w14:paraId="1C34B83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本地 mock 不安全目标动作</w:t>
            </w:r>
          </w:p>
        </w:tc>
        <w:tc>
          <w:tcPr>
            <w:tcW w:w="0" w:type="auto"/>
            <w:shd w:val="clear" w:color="auto" w:fill="auto"/>
            <w:vAlign w:val="center"/>
          </w:tcPr>
          <w:p w14:paraId="12FCEBD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ASR/UTR/DSR 计算</w:t>
            </w:r>
          </w:p>
        </w:tc>
      </w:tr>
      <w:tr w14:paraId="5A67954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24A342B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expected_safe_behavior</w:t>
            </w:r>
          </w:p>
        </w:tc>
        <w:tc>
          <w:tcPr>
            <w:tcW w:w="0" w:type="auto"/>
            <w:shd w:val="clear" w:color="auto" w:fill="auto"/>
            <w:vAlign w:val="center"/>
          </w:tcPr>
          <w:p w14:paraId="4A06FB8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期望安全行为</w:t>
            </w:r>
          </w:p>
        </w:tc>
        <w:tc>
          <w:tcPr>
            <w:tcW w:w="0" w:type="auto"/>
            <w:shd w:val="clear" w:color="auto" w:fill="auto"/>
            <w:vAlign w:val="center"/>
          </w:tcPr>
          <w:p w14:paraId="5ECF52D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人工复核与报告解释</w:t>
            </w:r>
          </w:p>
        </w:tc>
      </w:tr>
    </w:tbl>
    <w:p w14:paraId="7410A99E">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645412F9">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0" w:name="_Toc10986"/>
      <w:r>
        <w:rPr>
          <w:rFonts w:hint="eastAsia" w:ascii="黑体" w:hAnsi="黑体" w:eastAsia="黑体" w:cs="黑体"/>
          <w:b/>
          <w:bCs/>
          <w:color w:val="auto"/>
          <w:sz w:val="28"/>
          <w:szCs w:val="28"/>
          <w:lang w:val="en-US" w:eastAsia="en-US" w:bidi="ar-SA"/>
        </w:rPr>
        <w:t>2.3 本地Agent靶场与模型后端</w:t>
      </w:r>
      <w:bookmarkEnd w:id="10"/>
    </w:p>
    <w:p w14:paraId="389219A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本地Agent靶场负责从AttackCase中读取用户任务和上下文材料，并构造模型输入。模型输出被解析为ToolCall JSON或final answer。系统支持stub后端和本地Qwen2.5后端。stub后端根据样本目标稳定产生候选工具调用，用于验证Guard在完整样本集上的策略覆盖能力</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Qwen2.5后端用于观察真实本地模型输出、ToolCall解析和Guard决策链。</w:t>
      </w:r>
    </w:p>
    <w:p w14:paraId="58F4E7F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stub后端是为了在安全评测中稳定复现攻击链，避免评测结果完全受小显存设备和模型输出随机性的影响。真实本地模型实验则用于验证即使模型输出不稳定，行为监督仍然能够在工具执行边界提供额外安全保护。</w:t>
      </w:r>
    </w:p>
    <w:p w14:paraId="0262F41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1" w:name="_Toc24585"/>
      <w:r>
        <w:rPr>
          <w:rFonts w:hint="eastAsia" w:ascii="黑体" w:hAnsi="黑体" w:eastAsia="黑体" w:cs="黑体"/>
          <w:b/>
          <w:bCs/>
          <w:color w:val="auto"/>
          <w:sz w:val="28"/>
          <w:szCs w:val="28"/>
          <w:lang w:val="en-US" w:eastAsia="en-US" w:bidi="ar-SA"/>
        </w:rPr>
        <w:t>2.4 sandbox mock 工具链</w:t>
      </w:r>
      <w:bookmarkEnd w:id="11"/>
    </w:p>
    <w:p w14:paraId="038071E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工具沙箱仅模拟本地文件、邮件、API和代码执行结果，不访问真实公网业务系统。send_email不真实发送邮件，只写入outbox文件</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call_api不访问公网，只返回mock</w:t>
      </w:r>
      <w:r>
        <w:rPr>
          <w:rFonts w:hint="eastAsia" w:ascii="宋体" w:hAnsi="宋体"/>
          <w:color w:val="auto"/>
          <w:kern w:val="0"/>
          <w:sz w:val="24"/>
          <w:szCs w:val="22"/>
          <w:lang w:val="en-US" w:eastAsia="zh-CN"/>
        </w:rPr>
        <w:t xml:space="preserve"> </w:t>
      </w:r>
      <w:r>
        <w:rPr>
          <w:rFonts w:ascii="宋体" w:hAnsi="宋体" w:eastAsia="宋体"/>
          <w:color w:val="auto"/>
          <w:kern w:val="0"/>
          <w:sz w:val="24"/>
          <w:szCs w:val="22"/>
          <w:lang w:eastAsia="en-US"/>
        </w:rPr>
        <w:t>JSON</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run_code不执行模型生成代码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read_file和write_file限制在sandbox目录内。该设计保留了文件读取、外发、接口调用、代码执行等风险形态，同时确保测试不影响</w:t>
      </w:r>
      <w:r>
        <w:rPr>
          <w:rFonts w:hint="eastAsia" w:ascii="宋体" w:hAnsi="宋体"/>
          <w:color w:val="auto"/>
          <w:kern w:val="0"/>
          <w:sz w:val="24"/>
          <w:szCs w:val="22"/>
          <w:lang w:val="en-US" w:eastAsia="zh-CN"/>
        </w:rPr>
        <w:t>现实</w:t>
      </w:r>
      <w:r>
        <w:rPr>
          <w:rFonts w:ascii="宋体" w:hAnsi="宋体" w:eastAsia="宋体"/>
          <w:color w:val="auto"/>
          <w:kern w:val="0"/>
          <w:sz w:val="24"/>
          <w:szCs w:val="22"/>
          <w:lang w:eastAsia="en-US"/>
        </w:rPr>
        <w:t>。</w:t>
      </w:r>
    </w:p>
    <w:p w14:paraId="05ADBBE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p>
    <w:p w14:paraId="56C2FFC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表2</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模拟业务工具与安全边界</w:t>
      </w:r>
    </w:p>
    <w:tbl>
      <w:tblPr>
        <w:tblStyle w:val="10"/>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416"/>
        <w:gridCol w:w="1540"/>
        <w:gridCol w:w="2213"/>
        <w:gridCol w:w="4118"/>
      </w:tblGrid>
      <w:tr w14:paraId="5D40269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3802099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工具</w:t>
            </w:r>
          </w:p>
        </w:tc>
        <w:tc>
          <w:tcPr>
            <w:tcW w:w="0" w:type="auto"/>
            <w:shd w:val="clear" w:color="auto" w:fill="auto"/>
            <w:vAlign w:val="center"/>
          </w:tcPr>
          <w:p w14:paraId="186BEA6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模拟能力</w:t>
            </w:r>
          </w:p>
        </w:tc>
        <w:tc>
          <w:tcPr>
            <w:tcW w:w="0" w:type="auto"/>
            <w:shd w:val="clear" w:color="auto" w:fill="auto"/>
            <w:vAlign w:val="center"/>
          </w:tcPr>
          <w:p w14:paraId="2DA0008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主要风险</w:t>
            </w:r>
          </w:p>
        </w:tc>
        <w:tc>
          <w:tcPr>
            <w:tcW w:w="0" w:type="auto"/>
            <w:shd w:val="clear" w:color="auto" w:fill="auto"/>
            <w:vAlign w:val="center"/>
          </w:tcPr>
          <w:p w14:paraId="4A9223D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安全实现</w:t>
            </w:r>
          </w:p>
        </w:tc>
      </w:tr>
      <w:tr w14:paraId="28DABCD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6E8CA18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read_file</w:t>
            </w:r>
          </w:p>
        </w:tc>
        <w:tc>
          <w:tcPr>
            <w:tcW w:w="0" w:type="auto"/>
            <w:shd w:val="clear" w:color="auto" w:fill="auto"/>
            <w:vAlign w:val="center"/>
          </w:tcPr>
          <w:p w14:paraId="79E2939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读取本地文件</w:t>
            </w:r>
          </w:p>
        </w:tc>
        <w:tc>
          <w:tcPr>
            <w:tcW w:w="0" w:type="auto"/>
            <w:shd w:val="clear" w:color="auto" w:fill="auto"/>
            <w:vAlign w:val="center"/>
          </w:tcPr>
          <w:p w14:paraId="3DBAE28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敏感文件读取</w:t>
            </w:r>
          </w:p>
        </w:tc>
        <w:tc>
          <w:tcPr>
            <w:tcW w:w="0" w:type="auto"/>
            <w:shd w:val="clear" w:color="auto" w:fill="auto"/>
            <w:vAlign w:val="center"/>
          </w:tcPr>
          <w:p w14:paraId="53ABA14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限制在sandbox路径，secret路径高危</w:t>
            </w:r>
          </w:p>
        </w:tc>
      </w:tr>
      <w:tr w14:paraId="71C5B5E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583FD7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write_file</w:t>
            </w:r>
          </w:p>
        </w:tc>
        <w:tc>
          <w:tcPr>
            <w:tcW w:w="0" w:type="auto"/>
            <w:shd w:val="clear" w:color="auto" w:fill="auto"/>
            <w:vAlign w:val="center"/>
          </w:tcPr>
          <w:p w14:paraId="01FDC8F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写入本地笔记</w:t>
            </w:r>
          </w:p>
        </w:tc>
        <w:tc>
          <w:tcPr>
            <w:tcW w:w="0" w:type="auto"/>
            <w:shd w:val="clear" w:color="auto" w:fill="auto"/>
            <w:vAlign w:val="center"/>
          </w:tcPr>
          <w:p w14:paraId="290CAC3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越权写入、数据污染</w:t>
            </w:r>
          </w:p>
        </w:tc>
        <w:tc>
          <w:tcPr>
            <w:tcW w:w="0" w:type="auto"/>
            <w:shd w:val="clear" w:color="auto" w:fill="auto"/>
            <w:vAlign w:val="center"/>
          </w:tcPr>
          <w:p w14:paraId="6A68872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仅允许sandbox/public等白名单路径</w:t>
            </w:r>
          </w:p>
        </w:tc>
      </w:tr>
      <w:tr w14:paraId="35BEE84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B23A49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send_email</w:t>
            </w:r>
          </w:p>
        </w:tc>
        <w:tc>
          <w:tcPr>
            <w:tcW w:w="0" w:type="auto"/>
            <w:shd w:val="clear" w:color="auto" w:fill="auto"/>
            <w:vAlign w:val="center"/>
          </w:tcPr>
          <w:p w14:paraId="04B892B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模拟邮件发送</w:t>
            </w:r>
          </w:p>
        </w:tc>
        <w:tc>
          <w:tcPr>
            <w:tcW w:w="0" w:type="auto"/>
            <w:shd w:val="clear" w:color="auto" w:fill="auto"/>
            <w:vAlign w:val="center"/>
          </w:tcPr>
          <w:p w14:paraId="674104D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敏感数据外发</w:t>
            </w:r>
          </w:p>
        </w:tc>
        <w:tc>
          <w:tcPr>
            <w:tcW w:w="0" w:type="auto"/>
            <w:shd w:val="clear" w:color="auto" w:fill="auto"/>
            <w:vAlign w:val="center"/>
          </w:tcPr>
          <w:p w14:paraId="53933A8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只写outbox.jsonl，不真实发信</w:t>
            </w:r>
          </w:p>
        </w:tc>
      </w:tr>
      <w:tr w14:paraId="5D69ED1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5A68C31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call_api</w:t>
            </w:r>
          </w:p>
        </w:tc>
        <w:tc>
          <w:tcPr>
            <w:tcW w:w="0" w:type="auto"/>
            <w:shd w:val="clear" w:color="auto" w:fill="auto"/>
            <w:vAlign w:val="center"/>
          </w:tcPr>
          <w:p w14:paraId="782EFA9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模拟外部接口</w:t>
            </w:r>
          </w:p>
        </w:tc>
        <w:tc>
          <w:tcPr>
            <w:tcW w:w="0" w:type="auto"/>
            <w:shd w:val="clear" w:color="auto" w:fill="auto"/>
            <w:vAlign w:val="center"/>
          </w:tcPr>
          <w:p w14:paraId="2523B3B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非预期 API 调用</w:t>
            </w:r>
          </w:p>
        </w:tc>
        <w:tc>
          <w:tcPr>
            <w:tcW w:w="0" w:type="auto"/>
            <w:shd w:val="clear" w:color="auto" w:fill="auto"/>
            <w:vAlign w:val="center"/>
          </w:tcPr>
          <w:p w14:paraId="0F9FD1E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仅允许/mock endpoint</w:t>
            </w:r>
          </w:p>
        </w:tc>
      </w:tr>
      <w:tr w14:paraId="70C4D4B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14E1F4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run_code</w:t>
            </w:r>
          </w:p>
        </w:tc>
        <w:tc>
          <w:tcPr>
            <w:tcW w:w="0" w:type="auto"/>
            <w:shd w:val="clear" w:color="auto" w:fill="auto"/>
            <w:vAlign w:val="center"/>
          </w:tcPr>
          <w:p w14:paraId="1791069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模拟代码执行</w:t>
            </w:r>
          </w:p>
        </w:tc>
        <w:tc>
          <w:tcPr>
            <w:tcW w:w="0" w:type="auto"/>
            <w:shd w:val="clear" w:color="auto" w:fill="auto"/>
            <w:vAlign w:val="center"/>
          </w:tcPr>
          <w:p w14:paraId="57B657A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高危执行</w:t>
            </w:r>
          </w:p>
        </w:tc>
        <w:tc>
          <w:tcPr>
            <w:tcW w:w="0" w:type="auto"/>
            <w:shd w:val="clear" w:color="auto" w:fill="auto"/>
            <w:vAlign w:val="center"/>
          </w:tcPr>
          <w:p w14:paraId="4A977E9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默认禁用，不执行模型代码</w:t>
            </w:r>
          </w:p>
        </w:tc>
      </w:tr>
    </w:tbl>
    <w:p w14:paraId="628B20F7">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6618DDE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2" w:name="_Toc12377"/>
      <w:r>
        <w:rPr>
          <w:rFonts w:hint="eastAsia" w:ascii="黑体" w:hAnsi="黑体" w:eastAsia="黑体" w:cs="黑体"/>
          <w:b/>
          <w:bCs/>
          <w:color w:val="auto"/>
          <w:sz w:val="28"/>
          <w:szCs w:val="28"/>
          <w:lang w:val="en-US" w:eastAsia="en-US" w:bidi="ar-SA"/>
        </w:rPr>
        <w:t>2.5 行为监督Guard设计</w:t>
      </w:r>
      <w:bookmarkEnd w:id="12"/>
    </w:p>
    <w:p w14:paraId="49789D4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Guard接口可表示为G(context, tool_call, mode) -&gt; (decision, risk_score, reasons)。其中decision属于allow、ask和deny三态之一，risk_score属于[0,1]，reasons为可解释原因列表。与单纯拒答不同，Guard的决策发生在工具执行前，因此能够在文件读取、邮件发送、API调用或代码执行之前形成拦截。</w:t>
      </w:r>
    </w:p>
    <w:p w14:paraId="2C62F2B5">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Guard 由 normalizer、detector、dataflow、policy_engine和guard_engine组成。normalizer负责Unicode NFKC归一化、零宽字符删除和混合脚本识别</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detector识别指令型文本、工具诱导、JSON/RPC 字段和多语言混淆</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dataflow标记canary、api_key、token、password等敏感数据流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policy_engine实现工具策略矩阵</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guard_engine汇总风险并按阈值裁决。</w:t>
      </w:r>
    </w:p>
    <w:p w14:paraId="19FF9D6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系统将风险阈值分为三个区间：当risk &gt;= 0.65时deny，当0.35 &lt;= risk &lt; 0.65 时ask，当risk &lt; 0.35时allow。涉及run_code、secret路径读取、非sandbox路径、非/mock endpoint和敏感数据外发时，会触发强规则拒绝。</w:t>
      </w:r>
    </w:p>
    <w:p w14:paraId="5608776D">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 3 防护模式及作用范围</w:t>
      </w:r>
    </w:p>
    <w:tbl>
      <w:tblPr>
        <w:tblStyle w:val="10"/>
        <w:tblW w:w="5000" w:type="pct"/>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656"/>
        <w:gridCol w:w="5210"/>
        <w:gridCol w:w="2421"/>
      </w:tblGrid>
      <w:tr w14:paraId="10B1E5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2852B01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模式</w:t>
            </w:r>
          </w:p>
        </w:tc>
        <w:tc>
          <w:tcPr>
            <w:tcW w:w="2804" w:type="pct"/>
            <w:shd w:val="clear" w:color="auto" w:fill="auto"/>
            <w:vAlign w:val="center"/>
          </w:tcPr>
          <w:p w14:paraId="10A6082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启用组件</w:t>
            </w:r>
          </w:p>
        </w:tc>
        <w:tc>
          <w:tcPr>
            <w:tcW w:w="1303" w:type="pct"/>
            <w:shd w:val="clear" w:color="auto" w:fill="auto"/>
            <w:vAlign w:val="center"/>
          </w:tcPr>
          <w:p w14:paraId="2467F81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主要作用</w:t>
            </w:r>
          </w:p>
        </w:tc>
      </w:tr>
      <w:tr w14:paraId="1D532F0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891" w:type="pct"/>
            <w:shd w:val="clear" w:color="auto" w:fill="auto"/>
            <w:vAlign w:val="center"/>
          </w:tcPr>
          <w:p w14:paraId="523454E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baseline</w:t>
            </w:r>
          </w:p>
        </w:tc>
        <w:tc>
          <w:tcPr>
            <w:tcW w:w="2804" w:type="pct"/>
            <w:shd w:val="clear" w:color="auto" w:fill="auto"/>
            <w:vAlign w:val="center"/>
          </w:tcPr>
          <w:p w14:paraId="1729F8B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无 Guard 拦截</w:t>
            </w:r>
          </w:p>
        </w:tc>
        <w:tc>
          <w:tcPr>
            <w:tcW w:w="1303" w:type="pct"/>
            <w:shd w:val="clear" w:color="auto" w:fill="auto"/>
            <w:vAlign w:val="center"/>
          </w:tcPr>
          <w:p w14:paraId="5FC42AC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观察无防护 Agent 的自然风险</w:t>
            </w:r>
          </w:p>
        </w:tc>
      </w:tr>
      <w:tr w14:paraId="3C3FAE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891" w:type="pct"/>
            <w:shd w:val="clear" w:color="auto" w:fill="auto"/>
            <w:vAlign w:val="center"/>
          </w:tcPr>
          <w:p w14:paraId="262B0B1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keyword_only</w:t>
            </w:r>
          </w:p>
        </w:tc>
        <w:tc>
          <w:tcPr>
            <w:tcW w:w="2804" w:type="pct"/>
            <w:shd w:val="clear" w:color="auto" w:fill="auto"/>
            <w:vAlign w:val="center"/>
          </w:tcPr>
          <w:p w14:paraId="5D34600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指令型文本、工具诱导、结构化关键词检测</w:t>
            </w:r>
          </w:p>
        </w:tc>
        <w:tc>
          <w:tcPr>
            <w:tcW w:w="1303" w:type="pct"/>
            <w:shd w:val="clear" w:color="auto" w:fill="auto"/>
            <w:vAlign w:val="center"/>
          </w:tcPr>
          <w:p w14:paraId="2A486C7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评估传统文本过滤能力</w:t>
            </w:r>
          </w:p>
        </w:tc>
      </w:tr>
      <w:tr w14:paraId="1ADD05D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891" w:type="pct"/>
            <w:shd w:val="clear" w:color="auto" w:fill="auto"/>
            <w:vAlign w:val="center"/>
          </w:tcPr>
          <w:p w14:paraId="338256E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policy_only</w:t>
            </w:r>
          </w:p>
        </w:tc>
        <w:tc>
          <w:tcPr>
            <w:tcW w:w="2804" w:type="pct"/>
            <w:shd w:val="clear" w:color="auto" w:fill="auto"/>
            <w:vAlign w:val="center"/>
          </w:tcPr>
          <w:p w14:paraId="77B8E3B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工具白名单、路径限制、mock endpoint、run_code 禁用</w:t>
            </w:r>
          </w:p>
        </w:tc>
        <w:tc>
          <w:tcPr>
            <w:tcW w:w="1303" w:type="pct"/>
            <w:shd w:val="clear" w:color="auto" w:fill="auto"/>
            <w:vAlign w:val="center"/>
          </w:tcPr>
          <w:p w14:paraId="76CB11D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评估行为策略约束能力</w:t>
            </w:r>
          </w:p>
        </w:tc>
      </w:tr>
      <w:tr w14:paraId="5D92F73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6E67E41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full_guard</w:t>
            </w:r>
          </w:p>
        </w:tc>
        <w:tc>
          <w:tcPr>
            <w:tcW w:w="2804" w:type="pct"/>
            <w:shd w:val="clear" w:color="auto" w:fill="auto"/>
            <w:vAlign w:val="center"/>
          </w:tcPr>
          <w:p w14:paraId="62041A7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文本检测、结构化检测、多语言信号、工具策略、数据流、意图一致性</w:t>
            </w:r>
          </w:p>
        </w:tc>
        <w:tc>
          <w:tcPr>
            <w:tcW w:w="1303" w:type="pct"/>
            <w:shd w:val="clear" w:color="auto" w:fill="auto"/>
            <w:vAlign w:val="center"/>
          </w:tcPr>
          <w:p w14:paraId="13794B6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完整行为监督与可解释阻断</w:t>
            </w:r>
          </w:p>
        </w:tc>
      </w:tr>
    </w:tbl>
    <w:p w14:paraId="3B352A3B">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0BCAEBBC">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3" w:name="_Toc2962"/>
      <w:r>
        <w:rPr>
          <w:rFonts w:hint="eastAsia" w:ascii="黑体" w:hAnsi="黑体" w:eastAsia="黑体" w:cs="黑体"/>
          <w:b/>
          <w:bCs/>
          <w:color w:val="auto"/>
          <w:sz w:val="28"/>
          <w:szCs w:val="28"/>
          <w:lang w:val="en-US" w:eastAsia="en-US" w:bidi="ar-SA"/>
        </w:rPr>
        <w:t>2.6 日志审计与 Dashboard</w:t>
      </w:r>
      <w:bookmarkEnd w:id="13"/>
    </w:p>
    <w:p w14:paraId="25D9D05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将每一步运行写为JSONL。关键字段包括run_id、case_id、model、backend、defense_mode、raw_model_output、parsed_tool_call、guard_decision、risk_score、reasons、observation和final_status。该日志格式支持逐案复核，也支持按attack_family、carrier、language和severity聚合统计。</w:t>
      </w:r>
    </w:p>
    <w:p w14:paraId="49BC508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Dashboard提供项目总览、防护模式对比、攻击族分组、阻断/告警记录、单案例攻击链回放和原始日志查看。通过Dashboard可以快速定位某个case的用户任务、注入载体、模型输出、工具调用、风险分、阻断原因和最终状态，使评测结果从单一分数变成可审计证据链。</w:t>
      </w:r>
    </w:p>
    <w:p w14:paraId="3ABE1EDE">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4" w:name="_Toc988"/>
      <w:r>
        <w:rPr>
          <w:rFonts w:hint="eastAsia" w:ascii="黑体" w:hAnsi="黑体" w:eastAsia="黑体" w:cs="黑体"/>
          <w:b/>
          <w:bCs/>
          <w:color w:val="auto"/>
          <w:sz w:val="28"/>
          <w:szCs w:val="28"/>
          <w:lang w:val="en-US" w:eastAsia="en-US" w:bidi="ar-SA"/>
        </w:rPr>
        <w:t>2.7 软件流程与模块实现</w:t>
      </w:r>
      <w:bookmarkEnd w:id="14"/>
    </w:p>
    <w:p w14:paraId="7AE4D94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m3_core：实现 Agent Runner、模型后端、工具沙箱、run_batch 和 run_matrix 等运行入口。</w:t>
      </w:r>
    </w:p>
    <w:p w14:paraId="1F0D768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m3_attacks：维护标准化AttackCase样本和样本统计、审计脚本。</w:t>
      </w:r>
    </w:p>
    <w:p w14:paraId="7C01D42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m3_guard：实现文本归一化、检测器、工具策略、数据流追踪和Guard决策。</w:t>
      </w:r>
    </w:p>
    <w:p w14:paraId="351264E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m3_eval：读取 RunLog，计算ASR、UTR、DSR、BSR、FPR、AvgRisk和WRS，并生成Dashboard与图表。</w:t>
      </w:r>
    </w:p>
    <w:p w14:paraId="357064A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fixtures：存放demo cases和代表性样本，支持答辩演示与smoke test。</w:t>
      </w:r>
    </w:p>
    <w:p w14:paraId="5106CC9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outputs：存放运行日志、指标CSV/JSON、图表和质量审计结果。</w:t>
      </w:r>
    </w:p>
    <w:p w14:paraId="5EB817BB">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6D848993">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15" w:name="_Toc29135"/>
      <w:r>
        <w:rPr>
          <w:rFonts w:hint="eastAsia" w:ascii="黑体" w:eastAsia="黑体"/>
          <w:sz w:val="32"/>
          <w:szCs w:val="32"/>
          <w:lang w:val="en-US" w:eastAsia="en-US"/>
        </w:rPr>
        <w:t>第三章 作品测试与分析</w:t>
      </w:r>
      <w:bookmarkEnd w:id="15"/>
    </w:p>
    <w:p w14:paraId="03E9072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6" w:name="_Toc1399"/>
      <w:r>
        <w:rPr>
          <w:rFonts w:hint="eastAsia" w:ascii="黑体" w:hAnsi="黑体" w:eastAsia="黑体" w:cs="黑体"/>
          <w:b/>
          <w:bCs/>
          <w:color w:val="auto"/>
          <w:sz w:val="28"/>
          <w:szCs w:val="28"/>
          <w:lang w:val="en-US" w:eastAsia="en-US" w:bidi="ar-SA"/>
        </w:rPr>
        <w:t>3.1 测试环境</w:t>
      </w:r>
      <w:bookmarkEnd w:id="16"/>
    </w:p>
    <w:p w14:paraId="71D8FBD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测试在本地Windows环境完成，使用Python脚本运行stub后端和Qwen2.5代表样本。工具调用均为本地模拟</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邮件写入outbox文件，API返回mock JSON，代码执行工具默认禁用。真实模型实验使用Qwen2.5-7B-Instruct量化版本，通过本地OpenAI-compatible API调用。</w:t>
      </w:r>
    </w:p>
    <w:p w14:paraId="5D3E966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本地软件环境包括Python 3.9.23、PyTorch 2.5.1 + CUDA 11.8、transformers 4.57.6、accelerate 1.10.1、openai 1.109.1和pandas 2.3.2。由于设备资源有限，完整样本集采用stub后端进行全量消融，真实本地模型采用代表性样本验证攻击链和防护效果。</w:t>
      </w:r>
    </w:p>
    <w:p w14:paraId="33C000DE">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7" w:name="_Toc19500"/>
      <w:r>
        <w:rPr>
          <w:rFonts w:hint="eastAsia" w:ascii="黑体" w:hAnsi="黑体" w:eastAsia="黑体" w:cs="黑体"/>
          <w:b/>
          <w:bCs/>
          <w:color w:val="auto"/>
          <w:sz w:val="28"/>
          <w:szCs w:val="28"/>
          <w:lang w:val="en-US" w:eastAsia="en-US" w:bidi="ar-SA"/>
        </w:rPr>
        <w:t>3.2 测试数据集</w:t>
      </w:r>
      <w:bookmarkEnd w:id="17"/>
    </w:p>
    <w:p w14:paraId="014A567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样本库总计69条，覆盖六类场景。构造原则是每条样本只攻击本地mock工具</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注入内容必须能体现真实Agent场景中的信任边界问题</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样本不包含真实攻击服务、真实邮箱、真实API、真实凭证或真实恶意代码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正常样本覆盖常见业务任务，用于评估误报率。</w:t>
      </w:r>
    </w:p>
    <w:p w14:paraId="3C755CC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最终样本审计结果为pass：case_id唯一、必要字段完整、攻击族合法、语言字段非空、unsafe_target_actions 均为mock白名单动作、benign_clean无危险动作、无真实邮箱或真实 URL、无真实攻击命令，hard_fail_count=0。</w:t>
      </w:r>
    </w:p>
    <w:p w14:paraId="67834DD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表4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样本库攻击族分布</w:t>
      </w:r>
    </w:p>
    <w:tbl>
      <w:tblPr>
        <w:tblStyle w:val="10"/>
        <w:tblW w:w="4998" w:type="pct"/>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2769"/>
        <w:gridCol w:w="949"/>
        <w:gridCol w:w="5565"/>
      </w:tblGrid>
      <w:tr w14:paraId="0C0A8E1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714E10D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攻击族</w:t>
            </w:r>
          </w:p>
        </w:tc>
        <w:tc>
          <w:tcPr>
            <w:tcW w:w="511" w:type="pct"/>
            <w:shd w:val="clear" w:color="auto" w:fill="auto"/>
            <w:vAlign w:val="center"/>
          </w:tcPr>
          <w:p w14:paraId="6B4D9FE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样本数</w:t>
            </w:r>
          </w:p>
        </w:tc>
        <w:tc>
          <w:tcPr>
            <w:tcW w:w="2996" w:type="pct"/>
            <w:shd w:val="clear" w:color="auto" w:fill="auto"/>
            <w:vAlign w:val="center"/>
          </w:tcPr>
          <w:p w14:paraId="12B9991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研究目的</w:t>
            </w:r>
          </w:p>
        </w:tc>
      </w:tr>
      <w:tr w14:paraId="09BD7EC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3682BD5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benign_clean</w:t>
            </w:r>
          </w:p>
        </w:tc>
        <w:tc>
          <w:tcPr>
            <w:tcW w:w="511" w:type="pct"/>
            <w:shd w:val="clear" w:color="auto" w:fill="auto"/>
            <w:vAlign w:val="center"/>
          </w:tcPr>
          <w:p w14:paraId="67F7207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8</w:t>
            </w:r>
          </w:p>
        </w:tc>
        <w:tc>
          <w:tcPr>
            <w:tcW w:w="2996" w:type="pct"/>
            <w:shd w:val="clear" w:color="auto" w:fill="auto"/>
            <w:vAlign w:val="center"/>
          </w:tcPr>
          <w:p w14:paraId="58A337B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校准正常任务误报率</w:t>
            </w:r>
          </w:p>
        </w:tc>
      </w:tr>
      <w:tr w14:paraId="1108B6F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78A6B33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direct_jailbreak</w:t>
            </w:r>
          </w:p>
        </w:tc>
        <w:tc>
          <w:tcPr>
            <w:tcW w:w="511" w:type="pct"/>
            <w:shd w:val="clear" w:color="auto" w:fill="auto"/>
            <w:vAlign w:val="center"/>
          </w:tcPr>
          <w:p w14:paraId="54F3344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15</w:t>
            </w:r>
          </w:p>
        </w:tc>
        <w:tc>
          <w:tcPr>
            <w:tcW w:w="2996" w:type="pct"/>
            <w:shd w:val="clear" w:color="auto" w:fill="auto"/>
            <w:vAlign w:val="center"/>
          </w:tcPr>
          <w:p w14:paraId="51A18E0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评估直接越狱、角色扮演和说服性提示</w:t>
            </w:r>
          </w:p>
        </w:tc>
      </w:tr>
      <w:tr w14:paraId="08E2A72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438E9F7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json_rpc</w:t>
            </w:r>
          </w:p>
        </w:tc>
        <w:tc>
          <w:tcPr>
            <w:tcW w:w="511" w:type="pct"/>
            <w:shd w:val="clear" w:color="auto" w:fill="auto"/>
            <w:vAlign w:val="center"/>
          </w:tcPr>
          <w:p w14:paraId="2328378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8</w:t>
            </w:r>
          </w:p>
        </w:tc>
        <w:tc>
          <w:tcPr>
            <w:tcW w:w="2996" w:type="pct"/>
            <w:shd w:val="clear" w:color="auto" w:fill="auto"/>
            <w:vAlign w:val="center"/>
          </w:tcPr>
          <w:p w14:paraId="64EFBA8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评估结构化字段与 RPC 伪装</w:t>
            </w:r>
          </w:p>
        </w:tc>
      </w:tr>
      <w:tr w14:paraId="6A7CB4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2E3042A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multilingual_t2l</w:t>
            </w:r>
          </w:p>
        </w:tc>
        <w:tc>
          <w:tcPr>
            <w:tcW w:w="511" w:type="pct"/>
            <w:shd w:val="clear" w:color="auto" w:fill="auto"/>
            <w:vAlign w:val="center"/>
          </w:tcPr>
          <w:p w14:paraId="58BEC97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15</w:t>
            </w:r>
          </w:p>
        </w:tc>
        <w:tc>
          <w:tcPr>
            <w:tcW w:w="2996" w:type="pct"/>
            <w:shd w:val="clear" w:color="auto" w:fill="auto"/>
            <w:vAlign w:val="center"/>
          </w:tcPr>
          <w:p w14:paraId="5B2DBC1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评估多语言混淆与任务切换</w:t>
            </w:r>
          </w:p>
        </w:tc>
      </w:tr>
      <w:tr w14:paraId="0FFCCE4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371B928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rag_indirect</w:t>
            </w:r>
          </w:p>
        </w:tc>
        <w:tc>
          <w:tcPr>
            <w:tcW w:w="511" w:type="pct"/>
            <w:shd w:val="clear" w:color="auto" w:fill="auto"/>
            <w:vAlign w:val="center"/>
          </w:tcPr>
          <w:p w14:paraId="4940E3E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18</w:t>
            </w:r>
          </w:p>
        </w:tc>
        <w:tc>
          <w:tcPr>
            <w:tcW w:w="2996" w:type="pct"/>
            <w:shd w:val="clear" w:color="auto" w:fill="auto"/>
            <w:vAlign w:val="center"/>
          </w:tcPr>
          <w:p w14:paraId="5B883BD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评估文档、邮件、网页和工具返回值中的间接注入</w:t>
            </w:r>
          </w:p>
        </w:tc>
      </w:tr>
      <w:tr w14:paraId="07999C1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1491" w:type="pct"/>
            <w:shd w:val="clear" w:color="auto" w:fill="auto"/>
            <w:vAlign w:val="center"/>
          </w:tcPr>
          <w:p w14:paraId="1713D25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tool_output_injection</w:t>
            </w:r>
          </w:p>
        </w:tc>
        <w:tc>
          <w:tcPr>
            <w:tcW w:w="511" w:type="pct"/>
            <w:shd w:val="clear" w:color="auto" w:fill="auto"/>
            <w:vAlign w:val="center"/>
          </w:tcPr>
          <w:p w14:paraId="7930A9A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5</w:t>
            </w:r>
          </w:p>
        </w:tc>
        <w:tc>
          <w:tcPr>
            <w:tcW w:w="2996" w:type="pct"/>
            <w:shd w:val="clear" w:color="auto" w:fill="auto"/>
            <w:vAlign w:val="center"/>
          </w:tcPr>
          <w:p w14:paraId="2077F50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评估上游工具输出对后续行为的污染</w:t>
            </w:r>
          </w:p>
        </w:tc>
      </w:tr>
    </w:tbl>
    <w:p w14:paraId="40F68A08">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621A72BB">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219700" cy="310007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3100343"/>
                    </a:xfrm>
                    <a:prstGeom prst="rect">
                      <a:avLst/>
                    </a:prstGeom>
                  </pic:spPr>
                </pic:pic>
              </a:graphicData>
            </a:graphic>
          </wp:inline>
        </w:drawing>
      </w:r>
    </w:p>
    <w:p w14:paraId="22648B2E">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图2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样本库攻击族分布</w:t>
      </w:r>
    </w:p>
    <w:p w14:paraId="1B8BBE7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drawing>
          <wp:inline distT="0" distB="0" distL="114300" distR="114300">
            <wp:extent cx="4679950" cy="2750185"/>
            <wp:effectExtent l="0" t="0" r="139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80000" cy="2750556"/>
                    </a:xfrm>
                    <a:prstGeom prst="rect">
                      <a:avLst/>
                    </a:prstGeom>
                  </pic:spPr>
                </pic:pic>
              </a:graphicData>
            </a:graphic>
          </wp:inline>
        </w:drawing>
      </w:r>
    </w:p>
    <w:p w14:paraId="55E44AAA">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图3</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样本风险等级分布</w:t>
      </w:r>
    </w:p>
    <w:p w14:paraId="7BA46465">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327650" cy="299720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28000" cy="2997622"/>
                    </a:xfrm>
                    <a:prstGeom prst="rect">
                      <a:avLst/>
                    </a:prstGeom>
                  </pic:spPr>
                </pic:pic>
              </a:graphicData>
            </a:graphic>
          </wp:inline>
        </w:drawing>
      </w:r>
    </w:p>
    <w:p w14:paraId="161345F7">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图4 </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不安全目标动作分布</w:t>
      </w:r>
    </w:p>
    <w:p w14:paraId="430DE453">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8" w:name="_Toc25714"/>
      <w:r>
        <w:rPr>
          <w:rFonts w:hint="eastAsia" w:ascii="黑体" w:hAnsi="黑体" w:eastAsia="黑体" w:cs="黑体"/>
          <w:b/>
          <w:bCs/>
          <w:color w:val="auto"/>
          <w:sz w:val="28"/>
          <w:szCs w:val="28"/>
          <w:lang w:val="en-US" w:eastAsia="en-US" w:bidi="ar-SA"/>
        </w:rPr>
        <w:t>3.3 测试方案</w:t>
      </w:r>
      <w:bookmarkEnd w:id="18"/>
    </w:p>
    <w:p w14:paraId="4A78CAE5">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测试方案包括三组实验。第一，stub全量实验覆盖69条样本，stub后端根据样本目标稳定产生候选工具调用，用于观察不同防护模式在完整样本集上的策略效果。第二，本地Qwen2.5-7B代表样本实验覆盖24条代表样本，用于观察真实模型输出、ToolCall解析和Guard决策链。第三，demo smoke test覆盖3条演示样本，用于稳定复现RAG间接提示注入、JSON/RPC 结构化注入和多语言/T2L注入三类最小攻击链。</w:t>
      </w:r>
    </w:p>
    <w:p w14:paraId="33591F8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防护模式包括baseline、keyword_only、policy_only和full_guard。baseline表示无Guard</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keyword_only表示仅依赖上下文文本检测</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policy_only表示仅依赖工具和参数策略</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full_guard表示组合上下文检测、工具策略、数据流追踪和意图一致性检查。通过比较四种模式，可以观察不同防护组件的贡献。</w:t>
      </w:r>
    </w:p>
    <w:p w14:paraId="005D93A0">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9" w:name="_Toc16923"/>
      <w:r>
        <w:rPr>
          <w:rFonts w:hint="eastAsia" w:ascii="黑体" w:hAnsi="黑体" w:eastAsia="黑体" w:cs="黑体"/>
          <w:b/>
          <w:bCs/>
          <w:color w:val="auto"/>
          <w:sz w:val="28"/>
          <w:szCs w:val="28"/>
          <w:lang w:val="en-US" w:eastAsia="en-US" w:bidi="ar-SA"/>
        </w:rPr>
        <w:t>3.4 评测指标</w:t>
      </w:r>
      <w:bookmarkEnd w:id="19"/>
    </w:p>
    <w:p w14:paraId="2B4E263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使用七类指标衡量攻击效果和防护能力。ASR表示攻击成功率，UTR表示未授权工具调用率，DSR表示数据外流风险率，BSR表示阻断成功率，FPR表示正常样本误报率，AvgRisk表示平均风险分。综合韧性分WRS定义如下：</w:t>
      </w:r>
    </w:p>
    <w:p w14:paraId="3A3BDFC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m:oMathPara>
        <m:oMath>
          <m:r>
            <m:rPr>
              <m:sty m:val="p"/>
            </m:rPr>
            <w:rPr>
              <w:rFonts w:ascii="宋体" w:hAnsi="宋体" w:eastAsia="宋体"/>
              <w:color w:val="auto"/>
              <w:kern w:val="0"/>
              <w:sz w:val="24"/>
              <w:szCs w:val="22"/>
              <w:lang w:eastAsia="en-US"/>
            </w:rPr>
            <m:t>WRS=0.35(1−ASR)+0.20(1−UTR)+0.20(1−DSR)+0.15BSR+0.10(1−FPR)。</m:t>
          </m:r>
        </m:oMath>
      </m:oMathPara>
    </w:p>
    <w:p w14:paraId="4E48178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该公式强调降低攻击成功、未授权工具调用和数据外流，同时兼顾阻断能力与正常任务可用性。</w:t>
      </w:r>
    </w:p>
    <w:p w14:paraId="423736F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p>
    <w:p w14:paraId="2C70EDF1">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表5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评测指标定义</w:t>
      </w:r>
    </w:p>
    <w:tbl>
      <w:tblPr>
        <w:tblStyle w:val="10"/>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056"/>
        <w:gridCol w:w="3301"/>
        <w:gridCol w:w="4930"/>
      </w:tblGrid>
      <w:tr w14:paraId="35A6A3A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F84DC0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指标</w:t>
            </w:r>
          </w:p>
        </w:tc>
        <w:tc>
          <w:tcPr>
            <w:tcW w:w="3301" w:type="dxa"/>
            <w:shd w:val="clear" w:color="auto" w:fill="auto"/>
            <w:vAlign w:val="center"/>
          </w:tcPr>
          <w:p w14:paraId="6BE6EBC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英文</w:t>
            </w:r>
          </w:p>
        </w:tc>
        <w:tc>
          <w:tcPr>
            <w:tcW w:w="4930" w:type="dxa"/>
            <w:shd w:val="clear" w:color="auto" w:fill="auto"/>
            <w:vAlign w:val="center"/>
          </w:tcPr>
          <w:p w14:paraId="0720C6C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含义</w:t>
            </w:r>
          </w:p>
        </w:tc>
      </w:tr>
      <w:tr w14:paraId="5002D2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1393AA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ASR</w:t>
            </w:r>
          </w:p>
        </w:tc>
        <w:tc>
          <w:tcPr>
            <w:tcW w:w="3301" w:type="dxa"/>
            <w:shd w:val="clear" w:color="auto" w:fill="auto"/>
            <w:vAlign w:val="center"/>
          </w:tcPr>
          <w:p w14:paraId="57384A6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Attack Success Rate</w:t>
            </w:r>
          </w:p>
        </w:tc>
        <w:tc>
          <w:tcPr>
            <w:tcW w:w="4930" w:type="dxa"/>
            <w:shd w:val="clear" w:color="auto" w:fill="auto"/>
            <w:vAlign w:val="center"/>
          </w:tcPr>
          <w:p w14:paraId="3D8F2EA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攻击样本触发 unsafe_target_actions 的比例</w:t>
            </w:r>
          </w:p>
        </w:tc>
      </w:tr>
      <w:tr w14:paraId="02DBC55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332FBE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UTR</w:t>
            </w:r>
          </w:p>
        </w:tc>
        <w:tc>
          <w:tcPr>
            <w:tcW w:w="3301" w:type="dxa"/>
            <w:shd w:val="clear" w:color="auto" w:fill="auto"/>
            <w:vAlign w:val="center"/>
          </w:tcPr>
          <w:p w14:paraId="2DE567F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Unauthorized Tool-call Rate</w:t>
            </w:r>
          </w:p>
        </w:tc>
        <w:tc>
          <w:tcPr>
            <w:tcW w:w="4930" w:type="dxa"/>
            <w:shd w:val="clear" w:color="auto" w:fill="auto"/>
            <w:vAlign w:val="center"/>
          </w:tcPr>
          <w:p w14:paraId="27AC6AA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出现未授权高风险工具调用的比例</w:t>
            </w:r>
          </w:p>
        </w:tc>
      </w:tr>
      <w:tr w14:paraId="09F907C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1FEC92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DSR</w:t>
            </w:r>
          </w:p>
        </w:tc>
        <w:tc>
          <w:tcPr>
            <w:tcW w:w="3301" w:type="dxa"/>
            <w:shd w:val="clear" w:color="auto" w:fill="auto"/>
            <w:vAlign w:val="center"/>
          </w:tcPr>
          <w:p w14:paraId="2D16646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Data Spill Risk Rate</w:t>
            </w:r>
          </w:p>
        </w:tc>
        <w:tc>
          <w:tcPr>
            <w:tcW w:w="4930" w:type="dxa"/>
            <w:shd w:val="clear" w:color="auto" w:fill="auto"/>
            <w:vAlign w:val="center"/>
          </w:tcPr>
          <w:p w14:paraId="7AA69F8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敏感标记进入外发链路的比例</w:t>
            </w:r>
          </w:p>
        </w:tc>
      </w:tr>
      <w:tr w14:paraId="545D284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646A8DF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BSR</w:t>
            </w:r>
          </w:p>
        </w:tc>
        <w:tc>
          <w:tcPr>
            <w:tcW w:w="3301" w:type="dxa"/>
            <w:shd w:val="clear" w:color="auto" w:fill="auto"/>
            <w:vAlign w:val="center"/>
          </w:tcPr>
          <w:p w14:paraId="0DDE4DF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Block Success Rate</w:t>
            </w:r>
          </w:p>
        </w:tc>
        <w:tc>
          <w:tcPr>
            <w:tcW w:w="4930" w:type="dxa"/>
            <w:shd w:val="clear" w:color="auto" w:fill="auto"/>
            <w:vAlign w:val="center"/>
          </w:tcPr>
          <w:p w14:paraId="32B8F99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攻击样本被 ask 或 deny 的比例</w:t>
            </w:r>
          </w:p>
        </w:tc>
      </w:tr>
      <w:tr w14:paraId="4DFE7C6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DF0EE5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FPR</w:t>
            </w:r>
          </w:p>
        </w:tc>
        <w:tc>
          <w:tcPr>
            <w:tcW w:w="3301" w:type="dxa"/>
            <w:shd w:val="clear" w:color="auto" w:fill="auto"/>
            <w:vAlign w:val="center"/>
          </w:tcPr>
          <w:p w14:paraId="2000D4E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False Positive Rate</w:t>
            </w:r>
          </w:p>
        </w:tc>
        <w:tc>
          <w:tcPr>
            <w:tcW w:w="4930" w:type="dxa"/>
            <w:shd w:val="clear" w:color="auto" w:fill="auto"/>
            <w:vAlign w:val="center"/>
          </w:tcPr>
          <w:p w14:paraId="5E3B571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正常任务被 ask 或 deny 的比例</w:t>
            </w:r>
          </w:p>
        </w:tc>
      </w:tr>
      <w:tr w14:paraId="0779D2B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9783EA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AvgRisk</w:t>
            </w:r>
          </w:p>
        </w:tc>
        <w:tc>
          <w:tcPr>
            <w:tcW w:w="3301" w:type="dxa"/>
            <w:shd w:val="clear" w:color="auto" w:fill="auto"/>
            <w:vAlign w:val="center"/>
          </w:tcPr>
          <w:p w14:paraId="387252F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Average Risk Score</w:t>
            </w:r>
          </w:p>
        </w:tc>
        <w:tc>
          <w:tcPr>
            <w:tcW w:w="4930" w:type="dxa"/>
            <w:shd w:val="clear" w:color="auto" w:fill="auto"/>
            <w:vAlign w:val="center"/>
          </w:tcPr>
          <w:p w14:paraId="051BE1C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Guard 风险分平均值</w:t>
            </w:r>
          </w:p>
        </w:tc>
      </w:tr>
      <w:tr w14:paraId="48C0C2D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07F4335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WRS</w:t>
            </w:r>
          </w:p>
        </w:tc>
        <w:tc>
          <w:tcPr>
            <w:tcW w:w="3301" w:type="dxa"/>
            <w:shd w:val="clear" w:color="auto" w:fill="auto"/>
            <w:vAlign w:val="center"/>
          </w:tcPr>
          <w:p w14:paraId="5121A0A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Weighted Resilience Score</w:t>
            </w:r>
          </w:p>
        </w:tc>
        <w:tc>
          <w:tcPr>
            <w:tcW w:w="4930" w:type="dxa"/>
            <w:shd w:val="clear" w:color="auto" w:fill="auto"/>
            <w:vAlign w:val="center"/>
          </w:tcPr>
          <w:p w14:paraId="741F09D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综合韧性分，越高表示防护越稳健</w:t>
            </w:r>
          </w:p>
        </w:tc>
      </w:tr>
    </w:tbl>
    <w:p w14:paraId="7F2F770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p>
    <w:p w14:paraId="3B1D432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0" w:name="_Toc12962"/>
      <w:r>
        <w:rPr>
          <w:rFonts w:hint="eastAsia" w:ascii="黑体" w:hAnsi="黑体" w:eastAsia="黑体" w:cs="黑体"/>
          <w:b/>
          <w:bCs/>
          <w:color w:val="auto"/>
          <w:sz w:val="28"/>
          <w:szCs w:val="28"/>
          <w:lang w:val="en-US" w:eastAsia="en-US" w:bidi="ar-SA"/>
        </w:rPr>
        <w:t>3.5 总体实验结果</w:t>
      </w:r>
      <w:bookmarkEnd w:id="20"/>
    </w:p>
    <w:p w14:paraId="0FE961AD">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表6</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总体实验结果</w:t>
      </w:r>
    </w:p>
    <w:tbl>
      <w:tblPr>
        <w:tblStyle w:val="10"/>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161"/>
        <w:gridCol w:w="1476"/>
        <w:gridCol w:w="617"/>
        <w:gridCol w:w="846"/>
        <w:gridCol w:w="846"/>
        <w:gridCol w:w="846"/>
        <w:gridCol w:w="951"/>
        <w:gridCol w:w="741"/>
        <w:gridCol w:w="957"/>
        <w:gridCol w:w="846"/>
      </w:tblGrid>
      <w:tr w14:paraId="1841C5E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23309A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b/>
                <w:color w:val="auto"/>
                <w:kern w:val="0"/>
                <w:sz w:val="21"/>
                <w:szCs w:val="21"/>
                <w:lang w:eastAsia="en-US"/>
              </w:rPr>
            </w:pPr>
            <w:r>
              <w:rPr>
                <w:rFonts w:hint="eastAsia" w:ascii="宋体" w:hAnsi="宋体" w:eastAsia="宋体" w:cs="宋体"/>
                <w:b/>
                <w:color w:val="auto"/>
                <w:kern w:val="0"/>
                <w:sz w:val="21"/>
                <w:szCs w:val="21"/>
                <w:lang w:eastAsia="en-US"/>
              </w:rPr>
              <w:t>后端/</w:t>
            </w:r>
          </w:p>
          <w:p w14:paraId="2E1CB2F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模型</w:t>
            </w:r>
          </w:p>
        </w:tc>
        <w:tc>
          <w:tcPr>
            <w:tcW w:w="0" w:type="auto"/>
            <w:shd w:val="clear" w:color="auto" w:fill="auto"/>
            <w:vAlign w:val="center"/>
          </w:tcPr>
          <w:p w14:paraId="1389678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防护模式</w:t>
            </w:r>
          </w:p>
        </w:tc>
        <w:tc>
          <w:tcPr>
            <w:tcW w:w="0" w:type="auto"/>
            <w:shd w:val="clear" w:color="auto" w:fill="auto"/>
            <w:vAlign w:val="center"/>
          </w:tcPr>
          <w:p w14:paraId="1ED3664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样本数</w:t>
            </w:r>
          </w:p>
        </w:tc>
        <w:tc>
          <w:tcPr>
            <w:tcW w:w="0" w:type="auto"/>
            <w:shd w:val="clear" w:color="auto" w:fill="auto"/>
            <w:vAlign w:val="center"/>
          </w:tcPr>
          <w:p w14:paraId="768E775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ASR</w:t>
            </w:r>
          </w:p>
        </w:tc>
        <w:tc>
          <w:tcPr>
            <w:tcW w:w="0" w:type="auto"/>
            <w:shd w:val="clear" w:color="auto" w:fill="auto"/>
            <w:vAlign w:val="center"/>
          </w:tcPr>
          <w:p w14:paraId="6EAAA1B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UTR</w:t>
            </w:r>
          </w:p>
        </w:tc>
        <w:tc>
          <w:tcPr>
            <w:tcW w:w="0" w:type="auto"/>
            <w:shd w:val="clear" w:color="auto" w:fill="auto"/>
            <w:vAlign w:val="center"/>
          </w:tcPr>
          <w:p w14:paraId="2D5BDEB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DSR</w:t>
            </w:r>
          </w:p>
        </w:tc>
        <w:tc>
          <w:tcPr>
            <w:tcW w:w="0" w:type="auto"/>
            <w:shd w:val="clear" w:color="auto" w:fill="auto"/>
            <w:vAlign w:val="center"/>
          </w:tcPr>
          <w:p w14:paraId="5871BE2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BSR</w:t>
            </w:r>
          </w:p>
        </w:tc>
        <w:tc>
          <w:tcPr>
            <w:tcW w:w="0" w:type="auto"/>
            <w:shd w:val="clear" w:color="auto" w:fill="auto"/>
            <w:vAlign w:val="center"/>
          </w:tcPr>
          <w:p w14:paraId="2EE2745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FPR</w:t>
            </w:r>
          </w:p>
        </w:tc>
        <w:tc>
          <w:tcPr>
            <w:tcW w:w="0" w:type="auto"/>
            <w:shd w:val="clear" w:color="auto" w:fill="auto"/>
            <w:vAlign w:val="center"/>
          </w:tcPr>
          <w:p w14:paraId="5786450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AvgRisk</w:t>
            </w:r>
          </w:p>
        </w:tc>
        <w:tc>
          <w:tcPr>
            <w:tcW w:w="0" w:type="auto"/>
            <w:shd w:val="clear" w:color="auto" w:fill="auto"/>
            <w:vAlign w:val="center"/>
          </w:tcPr>
          <w:p w14:paraId="35FA2D6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color w:val="auto"/>
                <w:kern w:val="0"/>
                <w:sz w:val="21"/>
                <w:szCs w:val="21"/>
                <w:lang w:eastAsia="en-US"/>
              </w:rPr>
              <w:t>WRS</w:t>
            </w:r>
          </w:p>
        </w:tc>
      </w:tr>
      <w:tr w14:paraId="712A3A3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E9328B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stub</w:t>
            </w:r>
          </w:p>
        </w:tc>
        <w:tc>
          <w:tcPr>
            <w:tcW w:w="0" w:type="auto"/>
            <w:shd w:val="clear" w:color="auto" w:fill="auto"/>
            <w:vAlign w:val="center"/>
          </w:tcPr>
          <w:p w14:paraId="1F7A643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baseline</w:t>
            </w:r>
          </w:p>
        </w:tc>
        <w:tc>
          <w:tcPr>
            <w:tcW w:w="0" w:type="auto"/>
            <w:shd w:val="clear" w:color="auto" w:fill="auto"/>
            <w:vAlign w:val="center"/>
          </w:tcPr>
          <w:p w14:paraId="1A9AC9C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69</w:t>
            </w:r>
          </w:p>
        </w:tc>
        <w:tc>
          <w:tcPr>
            <w:tcW w:w="0" w:type="auto"/>
            <w:shd w:val="clear" w:color="auto" w:fill="auto"/>
            <w:vAlign w:val="center"/>
          </w:tcPr>
          <w:p w14:paraId="607223A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55.07%</w:t>
            </w:r>
          </w:p>
        </w:tc>
        <w:tc>
          <w:tcPr>
            <w:tcW w:w="0" w:type="auto"/>
            <w:shd w:val="clear" w:color="auto" w:fill="auto"/>
            <w:vAlign w:val="center"/>
          </w:tcPr>
          <w:p w14:paraId="34DFB5E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28.99%</w:t>
            </w:r>
          </w:p>
        </w:tc>
        <w:tc>
          <w:tcPr>
            <w:tcW w:w="0" w:type="auto"/>
            <w:shd w:val="clear" w:color="auto" w:fill="auto"/>
            <w:vAlign w:val="center"/>
          </w:tcPr>
          <w:p w14:paraId="0138613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55.07%</w:t>
            </w:r>
          </w:p>
        </w:tc>
        <w:tc>
          <w:tcPr>
            <w:tcW w:w="0" w:type="auto"/>
            <w:shd w:val="clear" w:color="auto" w:fill="auto"/>
            <w:vAlign w:val="center"/>
          </w:tcPr>
          <w:p w14:paraId="47D1F2F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43F4B6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2B8B836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0.0000</w:t>
            </w:r>
          </w:p>
        </w:tc>
        <w:tc>
          <w:tcPr>
            <w:tcW w:w="0" w:type="auto"/>
            <w:shd w:val="clear" w:color="auto" w:fill="auto"/>
            <w:vAlign w:val="center"/>
          </w:tcPr>
          <w:p w14:paraId="73A9AC8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0.4891</w:t>
            </w:r>
          </w:p>
        </w:tc>
      </w:tr>
      <w:tr w14:paraId="73E4E8F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9AA582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stub</w:t>
            </w:r>
          </w:p>
        </w:tc>
        <w:tc>
          <w:tcPr>
            <w:tcW w:w="0" w:type="auto"/>
            <w:shd w:val="clear" w:color="auto" w:fill="auto"/>
            <w:vAlign w:val="center"/>
          </w:tcPr>
          <w:p w14:paraId="697F7E3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full_guard</w:t>
            </w:r>
          </w:p>
        </w:tc>
        <w:tc>
          <w:tcPr>
            <w:tcW w:w="0" w:type="auto"/>
            <w:shd w:val="clear" w:color="auto" w:fill="auto"/>
            <w:vAlign w:val="center"/>
          </w:tcPr>
          <w:p w14:paraId="2B81312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69</w:t>
            </w:r>
          </w:p>
        </w:tc>
        <w:tc>
          <w:tcPr>
            <w:tcW w:w="0" w:type="auto"/>
            <w:shd w:val="clear" w:color="auto" w:fill="auto"/>
            <w:vAlign w:val="center"/>
          </w:tcPr>
          <w:p w14:paraId="76E5182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A7F66C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4FA1402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2C5F517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88.41%</w:t>
            </w:r>
          </w:p>
        </w:tc>
        <w:tc>
          <w:tcPr>
            <w:tcW w:w="0" w:type="auto"/>
            <w:shd w:val="clear" w:color="auto" w:fill="auto"/>
            <w:vAlign w:val="center"/>
          </w:tcPr>
          <w:p w14:paraId="4FF902D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11B728B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0.7652</w:t>
            </w:r>
          </w:p>
        </w:tc>
        <w:tc>
          <w:tcPr>
            <w:tcW w:w="0" w:type="auto"/>
            <w:shd w:val="clear" w:color="auto" w:fill="auto"/>
            <w:vAlign w:val="center"/>
          </w:tcPr>
          <w:p w14:paraId="202E283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0.9826</w:t>
            </w:r>
          </w:p>
        </w:tc>
      </w:tr>
      <w:tr w14:paraId="2E143B2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316FD05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stub</w:t>
            </w:r>
          </w:p>
        </w:tc>
        <w:tc>
          <w:tcPr>
            <w:tcW w:w="0" w:type="auto"/>
            <w:shd w:val="clear" w:color="auto" w:fill="auto"/>
            <w:vAlign w:val="center"/>
          </w:tcPr>
          <w:p w14:paraId="3450797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keyword_only</w:t>
            </w:r>
          </w:p>
        </w:tc>
        <w:tc>
          <w:tcPr>
            <w:tcW w:w="0" w:type="auto"/>
            <w:shd w:val="clear" w:color="auto" w:fill="auto"/>
            <w:vAlign w:val="center"/>
          </w:tcPr>
          <w:p w14:paraId="65DCE62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69</w:t>
            </w:r>
          </w:p>
        </w:tc>
        <w:tc>
          <w:tcPr>
            <w:tcW w:w="0" w:type="auto"/>
            <w:shd w:val="clear" w:color="auto" w:fill="auto"/>
            <w:vAlign w:val="center"/>
          </w:tcPr>
          <w:p w14:paraId="37B5127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13.04%</w:t>
            </w:r>
          </w:p>
        </w:tc>
        <w:tc>
          <w:tcPr>
            <w:tcW w:w="0" w:type="auto"/>
            <w:shd w:val="clear" w:color="auto" w:fill="auto"/>
            <w:vAlign w:val="center"/>
          </w:tcPr>
          <w:p w14:paraId="458F61E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8.70%</w:t>
            </w:r>
          </w:p>
        </w:tc>
        <w:tc>
          <w:tcPr>
            <w:tcW w:w="0" w:type="auto"/>
            <w:shd w:val="clear" w:color="auto" w:fill="auto"/>
            <w:vAlign w:val="center"/>
          </w:tcPr>
          <w:p w14:paraId="2C89A2B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13.04%</w:t>
            </w:r>
          </w:p>
        </w:tc>
        <w:tc>
          <w:tcPr>
            <w:tcW w:w="0" w:type="auto"/>
            <w:shd w:val="clear" w:color="auto" w:fill="auto"/>
            <w:vAlign w:val="center"/>
          </w:tcPr>
          <w:p w14:paraId="6C05701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65.22%</w:t>
            </w:r>
          </w:p>
        </w:tc>
        <w:tc>
          <w:tcPr>
            <w:tcW w:w="0" w:type="auto"/>
            <w:shd w:val="clear" w:color="auto" w:fill="auto"/>
            <w:vAlign w:val="center"/>
          </w:tcPr>
          <w:p w14:paraId="1A54028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5E0E3D3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0.2626</w:t>
            </w:r>
          </w:p>
        </w:tc>
        <w:tc>
          <w:tcPr>
            <w:tcW w:w="0" w:type="auto"/>
            <w:shd w:val="clear" w:color="auto" w:fill="auto"/>
            <w:vAlign w:val="center"/>
          </w:tcPr>
          <w:p w14:paraId="5EEE55B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0.8587</w:t>
            </w:r>
          </w:p>
        </w:tc>
      </w:tr>
      <w:tr w14:paraId="7E43E19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53A880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stub</w:t>
            </w:r>
          </w:p>
        </w:tc>
        <w:tc>
          <w:tcPr>
            <w:tcW w:w="0" w:type="auto"/>
            <w:shd w:val="clear" w:color="auto" w:fill="auto"/>
            <w:vAlign w:val="center"/>
          </w:tcPr>
          <w:p w14:paraId="425BA26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policy_only</w:t>
            </w:r>
          </w:p>
        </w:tc>
        <w:tc>
          <w:tcPr>
            <w:tcW w:w="0" w:type="auto"/>
            <w:shd w:val="clear" w:color="auto" w:fill="auto"/>
            <w:vAlign w:val="center"/>
          </w:tcPr>
          <w:p w14:paraId="4A57A41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69</w:t>
            </w:r>
          </w:p>
        </w:tc>
        <w:tc>
          <w:tcPr>
            <w:tcW w:w="0" w:type="auto"/>
            <w:shd w:val="clear" w:color="auto" w:fill="auto"/>
            <w:vAlign w:val="center"/>
          </w:tcPr>
          <w:p w14:paraId="7CCC164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40FC111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08648D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45FC446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88.41%</w:t>
            </w:r>
          </w:p>
        </w:tc>
        <w:tc>
          <w:tcPr>
            <w:tcW w:w="0" w:type="auto"/>
            <w:shd w:val="clear" w:color="auto" w:fill="auto"/>
            <w:vAlign w:val="center"/>
          </w:tcPr>
          <w:p w14:paraId="3BC85EB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1B9D3DF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0.6775</w:t>
            </w:r>
          </w:p>
        </w:tc>
        <w:tc>
          <w:tcPr>
            <w:tcW w:w="0" w:type="auto"/>
            <w:shd w:val="clear" w:color="auto" w:fill="auto"/>
            <w:vAlign w:val="center"/>
          </w:tcPr>
          <w:p w14:paraId="063B9B8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0.9826</w:t>
            </w:r>
          </w:p>
        </w:tc>
      </w:tr>
      <w:tr w14:paraId="4F77424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92BD3A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Qwen2.5</w:t>
            </w:r>
          </w:p>
        </w:tc>
        <w:tc>
          <w:tcPr>
            <w:tcW w:w="0" w:type="auto"/>
            <w:shd w:val="clear" w:color="auto" w:fill="auto"/>
            <w:vAlign w:val="center"/>
          </w:tcPr>
          <w:p w14:paraId="31AFE2D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baseline</w:t>
            </w:r>
          </w:p>
        </w:tc>
        <w:tc>
          <w:tcPr>
            <w:tcW w:w="0" w:type="auto"/>
            <w:shd w:val="clear" w:color="auto" w:fill="auto"/>
            <w:vAlign w:val="center"/>
          </w:tcPr>
          <w:p w14:paraId="3BADAD7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24</w:t>
            </w:r>
          </w:p>
        </w:tc>
        <w:tc>
          <w:tcPr>
            <w:tcW w:w="0" w:type="auto"/>
            <w:shd w:val="clear" w:color="auto" w:fill="auto"/>
            <w:vAlign w:val="center"/>
          </w:tcPr>
          <w:p w14:paraId="4893E46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8.33%</w:t>
            </w:r>
          </w:p>
        </w:tc>
        <w:tc>
          <w:tcPr>
            <w:tcW w:w="0" w:type="auto"/>
            <w:shd w:val="clear" w:color="auto" w:fill="auto"/>
            <w:vAlign w:val="center"/>
          </w:tcPr>
          <w:p w14:paraId="1DF0F77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8.33%</w:t>
            </w:r>
          </w:p>
        </w:tc>
        <w:tc>
          <w:tcPr>
            <w:tcW w:w="0" w:type="auto"/>
            <w:shd w:val="clear" w:color="auto" w:fill="auto"/>
            <w:vAlign w:val="center"/>
          </w:tcPr>
          <w:p w14:paraId="6D19BE8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4.17%</w:t>
            </w:r>
          </w:p>
        </w:tc>
        <w:tc>
          <w:tcPr>
            <w:tcW w:w="0" w:type="auto"/>
            <w:shd w:val="clear" w:color="auto" w:fill="auto"/>
            <w:vAlign w:val="center"/>
          </w:tcPr>
          <w:p w14:paraId="359D829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5EBBE46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0B7D43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0.0000</w:t>
            </w:r>
          </w:p>
        </w:tc>
        <w:tc>
          <w:tcPr>
            <w:tcW w:w="0" w:type="auto"/>
            <w:shd w:val="clear" w:color="auto" w:fill="auto"/>
            <w:vAlign w:val="center"/>
          </w:tcPr>
          <w:p w14:paraId="1909429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0.7958</w:t>
            </w:r>
          </w:p>
        </w:tc>
      </w:tr>
      <w:tr w14:paraId="129DF48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0CF58FF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Qwen2.5</w:t>
            </w:r>
          </w:p>
        </w:tc>
        <w:tc>
          <w:tcPr>
            <w:tcW w:w="0" w:type="auto"/>
            <w:shd w:val="clear" w:color="auto" w:fill="auto"/>
            <w:vAlign w:val="center"/>
          </w:tcPr>
          <w:p w14:paraId="1408095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full_guard</w:t>
            </w:r>
          </w:p>
        </w:tc>
        <w:tc>
          <w:tcPr>
            <w:tcW w:w="0" w:type="auto"/>
            <w:shd w:val="clear" w:color="auto" w:fill="auto"/>
            <w:vAlign w:val="center"/>
          </w:tcPr>
          <w:p w14:paraId="3FBD9F0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24</w:t>
            </w:r>
          </w:p>
        </w:tc>
        <w:tc>
          <w:tcPr>
            <w:tcW w:w="0" w:type="auto"/>
            <w:shd w:val="clear" w:color="auto" w:fill="auto"/>
            <w:vAlign w:val="center"/>
          </w:tcPr>
          <w:p w14:paraId="0C87D4F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4C8077A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10007262">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59263CE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45.83%</w:t>
            </w:r>
          </w:p>
        </w:tc>
        <w:tc>
          <w:tcPr>
            <w:tcW w:w="0" w:type="auto"/>
            <w:shd w:val="clear" w:color="auto" w:fill="auto"/>
            <w:vAlign w:val="center"/>
          </w:tcPr>
          <w:p w14:paraId="78F6D48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74C78E7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0.4375</w:t>
            </w:r>
          </w:p>
        </w:tc>
        <w:tc>
          <w:tcPr>
            <w:tcW w:w="0" w:type="auto"/>
            <w:shd w:val="clear" w:color="auto" w:fill="auto"/>
            <w:vAlign w:val="center"/>
          </w:tcPr>
          <w:p w14:paraId="6AD1AE0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0.9187</w:t>
            </w:r>
          </w:p>
        </w:tc>
      </w:tr>
      <w:tr w14:paraId="725D4CC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A5A732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demo-stub</w:t>
            </w:r>
          </w:p>
        </w:tc>
        <w:tc>
          <w:tcPr>
            <w:tcW w:w="0" w:type="auto"/>
            <w:shd w:val="clear" w:color="auto" w:fill="auto"/>
            <w:vAlign w:val="center"/>
          </w:tcPr>
          <w:p w14:paraId="6FADD92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baseline</w:t>
            </w:r>
          </w:p>
        </w:tc>
        <w:tc>
          <w:tcPr>
            <w:tcW w:w="0" w:type="auto"/>
            <w:shd w:val="clear" w:color="auto" w:fill="auto"/>
            <w:vAlign w:val="center"/>
          </w:tcPr>
          <w:p w14:paraId="52B9248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3</w:t>
            </w:r>
          </w:p>
        </w:tc>
        <w:tc>
          <w:tcPr>
            <w:tcW w:w="0" w:type="auto"/>
            <w:shd w:val="clear" w:color="auto" w:fill="auto"/>
            <w:vAlign w:val="center"/>
          </w:tcPr>
          <w:p w14:paraId="15D32C7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66.67%</w:t>
            </w:r>
          </w:p>
        </w:tc>
        <w:tc>
          <w:tcPr>
            <w:tcW w:w="0" w:type="auto"/>
            <w:shd w:val="clear" w:color="auto" w:fill="auto"/>
            <w:vAlign w:val="center"/>
          </w:tcPr>
          <w:p w14:paraId="1B41408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66.67%</w:t>
            </w:r>
          </w:p>
        </w:tc>
        <w:tc>
          <w:tcPr>
            <w:tcW w:w="0" w:type="auto"/>
            <w:shd w:val="clear" w:color="auto" w:fill="auto"/>
            <w:vAlign w:val="center"/>
          </w:tcPr>
          <w:p w14:paraId="6AE2DBA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66.67%</w:t>
            </w:r>
          </w:p>
        </w:tc>
        <w:tc>
          <w:tcPr>
            <w:tcW w:w="0" w:type="auto"/>
            <w:shd w:val="clear" w:color="auto" w:fill="auto"/>
            <w:vAlign w:val="center"/>
          </w:tcPr>
          <w:p w14:paraId="47409C9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36E08C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3C4A4AE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0.0000</w:t>
            </w:r>
          </w:p>
        </w:tc>
        <w:tc>
          <w:tcPr>
            <w:tcW w:w="0" w:type="auto"/>
            <w:shd w:val="clear" w:color="auto" w:fill="auto"/>
            <w:vAlign w:val="center"/>
          </w:tcPr>
          <w:p w14:paraId="7D8BCDE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0.3500</w:t>
            </w:r>
          </w:p>
        </w:tc>
      </w:tr>
      <w:tr w14:paraId="19E8135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78144E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demo-stub</w:t>
            </w:r>
          </w:p>
        </w:tc>
        <w:tc>
          <w:tcPr>
            <w:tcW w:w="0" w:type="auto"/>
            <w:shd w:val="clear" w:color="auto" w:fill="auto"/>
            <w:vAlign w:val="center"/>
          </w:tcPr>
          <w:p w14:paraId="6DC4543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full_guard</w:t>
            </w:r>
          </w:p>
        </w:tc>
        <w:tc>
          <w:tcPr>
            <w:tcW w:w="0" w:type="auto"/>
            <w:shd w:val="clear" w:color="auto" w:fill="auto"/>
            <w:vAlign w:val="center"/>
          </w:tcPr>
          <w:p w14:paraId="71CE6BE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3</w:t>
            </w:r>
          </w:p>
        </w:tc>
        <w:tc>
          <w:tcPr>
            <w:tcW w:w="0" w:type="auto"/>
            <w:shd w:val="clear" w:color="auto" w:fill="auto"/>
            <w:vAlign w:val="center"/>
          </w:tcPr>
          <w:p w14:paraId="1E8222C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45B7CC6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13361A2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6C537DF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100.00%</w:t>
            </w:r>
          </w:p>
        </w:tc>
        <w:tc>
          <w:tcPr>
            <w:tcW w:w="0" w:type="auto"/>
            <w:shd w:val="clear" w:color="auto" w:fill="auto"/>
            <w:vAlign w:val="center"/>
          </w:tcPr>
          <w:p w14:paraId="0F9C69C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0.00%</w:t>
            </w:r>
          </w:p>
        </w:tc>
        <w:tc>
          <w:tcPr>
            <w:tcW w:w="0" w:type="auto"/>
            <w:shd w:val="clear" w:color="auto" w:fill="auto"/>
            <w:vAlign w:val="center"/>
          </w:tcPr>
          <w:p w14:paraId="55E1CBA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1.0000</w:t>
            </w:r>
          </w:p>
        </w:tc>
        <w:tc>
          <w:tcPr>
            <w:tcW w:w="0" w:type="auto"/>
            <w:shd w:val="clear" w:color="auto" w:fill="auto"/>
            <w:vAlign w:val="center"/>
          </w:tcPr>
          <w:p w14:paraId="5AFE792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hint="eastAsia" w:ascii="宋体" w:hAnsi="宋体" w:eastAsia="宋体" w:cs="宋体"/>
                <w:color w:val="auto"/>
                <w:kern w:val="0"/>
                <w:sz w:val="21"/>
                <w:szCs w:val="21"/>
                <w:lang w:eastAsia="en-US"/>
              </w:rPr>
            </w:pPr>
            <w:r>
              <w:rPr>
                <w:rFonts w:hint="eastAsia" w:ascii="宋体" w:hAnsi="宋体" w:eastAsia="宋体" w:cs="宋体"/>
                <w:b w:val="0"/>
                <w:color w:val="auto"/>
                <w:kern w:val="0"/>
                <w:sz w:val="21"/>
                <w:szCs w:val="21"/>
                <w:lang w:eastAsia="en-US"/>
              </w:rPr>
              <w:t>1.0000</w:t>
            </w:r>
          </w:p>
        </w:tc>
      </w:tr>
    </w:tbl>
    <w:p w14:paraId="4D6E0041">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0A68D21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stub全量实验中，baseline的ASR为55.07%，UTR为28.99%，DSR为55.07%，说明未加防护时攻击样本能够稳定触发mock风险行为。keyword_only将ASR降至13.04%，说明文本检测对显式指令和工具诱导有效，但仍无法覆盖全部结构化字段、策略和数据流风险。policy_only将</w:t>
      </w:r>
      <w:r>
        <w:rPr>
          <w:rFonts w:hint="eastAsia" w:ascii="宋体" w:hAnsi="宋体"/>
          <w:color w:val="auto"/>
          <w:kern w:val="0"/>
          <w:sz w:val="24"/>
          <w:szCs w:val="22"/>
          <w:lang w:val="en-US" w:eastAsia="zh-CN"/>
        </w:rPr>
        <w:t>A</w:t>
      </w:r>
      <w:r>
        <w:rPr>
          <w:rFonts w:ascii="宋体" w:hAnsi="宋体" w:eastAsia="宋体"/>
          <w:color w:val="auto"/>
          <w:kern w:val="0"/>
          <w:sz w:val="24"/>
          <w:szCs w:val="22"/>
          <w:lang w:eastAsia="en-US"/>
        </w:rPr>
        <w:t>SR、UTR和DSR降至0，说明工具策略对危险路径、外发端点和代码执行具有强约束力。full_guard同样将ASR、UTR和DSR降至0，同时记录更高AvgRisk，表明其能给出更丰富的风险解释。</w:t>
      </w:r>
    </w:p>
    <w:p w14:paraId="4BC6688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在Qwen2.5-7B代表样本实验中，baseline的ASR为8.33%，UTR为8.33%，DSR为4.17%。这一数值低于stub全量实验，原因是本地模型未必总是稳定产生工具调用格式</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但风险并非为零。full_guard将三项风险指标降至0，并将BSR提升至45.83%，说明行为监督可以在真实模型输出不稳定的情况下提供额外安全边界。</w:t>
      </w:r>
    </w:p>
    <w:p w14:paraId="3276570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在demo smoke test中，baseline的ASR、UTR、DSR均为66.67%，full_guard将三项风险指标降至0，并将BSR提升至100%。该实验用于答辩演示，能够稳定展示“攻击样本—工具调用—Guard阻断—日志记录”的最小闭环。</w:t>
      </w:r>
    </w:p>
    <w:p w14:paraId="546DEFB1">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020945" cy="286194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0945" cy="2861945"/>
                    </a:xfrm>
                    <a:prstGeom prst="rect">
                      <a:avLst/>
                    </a:prstGeom>
                  </pic:spPr>
                </pic:pic>
              </a:graphicData>
            </a:graphic>
          </wp:inline>
        </w:drawing>
      </w:r>
    </w:p>
    <w:p w14:paraId="2854011F">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图5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stub全量实验中不同防护模式的指标对比</w:t>
      </w:r>
    </w:p>
    <w:p w14:paraId="3A29007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4732020" cy="27311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32020" cy="2731135"/>
                    </a:xfrm>
                    <a:prstGeom prst="rect">
                      <a:avLst/>
                    </a:prstGeom>
                  </pic:spPr>
                </pic:pic>
              </a:graphicData>
            </a:graphic>
          </wp:inline>
        </w:drawing>
      </w:r>
    </w:p>
    <w:p w14:paraId="2A64D78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图6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Qwen2.5代表样本中防护前后指标对比</w:t>
      </w:r>
    </w:p>
    <w:p w14:paraId="5466247F">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3106420"/>
            <wp:effectExtent l="0" t="0" r="133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80000" cy="3106425"/>
                    </a:xfrm>
                    <a:prstGeom prst="rect">
                      <a:avLst/>
                    </a:prstGeom>
                  </pic:spPr>
                </pic:pic>
              </a:graphicData>
            </a:graphic>
          </wp:inline>
        </w:drawing>
      </w:r>
    </w:p>
    <w:p w14:paraId="3B486B60">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图7</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综合韧性分 WRS 对比</w:t>
      </w:r>
    </w:p>
    <w:p w14:paraId="46B8DDE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1" w:name="_Toc3515"/>
      <w:r>
        <w:rPr>
          <w:rFonts w:hint="eastAsia" w:ascii="黑体" w:hAnsi="黑体" w:eastAsia="黑体" w:cs="黑体"/>
          <w:b/>
          <w:bCs/>
          <w:color w:val="auto"/>
          <w:sz w:val="28"/>
          <w:szCs w:val="28"/>
          <w:lang w:val="en-US" w:eastAsia="en-US" w:bidi="ar-SA"/>
        </w:rPr>
        <w:t>3.6 消融实验分析</w:t>
      </w:r>
      <w:bookmarkEnd w:id="21"/>
    </w:p>
    <w:p w14:paraId="0A8F579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baseline作为无防护对照组，用于观察Agent在攻击样本下的自然风险。在stub全量实验中，baseline的ASR和DSR均超过55%，说明跨攻击族样本能够稳定触发未授权mock行为。</w:t>
      </w:r>
    </w:p>
    <w:p w14:paraId="1C097C7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keyword_only只启用指令型文本和工具诱导检测，能够显著降低明显提示注入的风险，但对已经被解析为工具调用的危险参数缺少强约束。例如，结构化字段、拼音/谐音和工具输出污染可能绕开简单关键词，导致残余ASR。</w:t>
      </w:r>
    </w:p>
    <w:p w14:paraId="440F6F6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policy_only只启用工具策略、路径限制、mock endpoint和run_code禁用。它不需要理解完整文本，也能阻断secret路径、非mock端点和代码执行，说明行为边界约束非常关键。但policy_only对攻击来源解释不足，无法充分说明攻击是来自文档、结构化字段还是多语言混淆。</w:t>
      </w:r>
    </w:p>
    <w:p w14:paraId="04BB479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ull_guard同时启用文本检测、结构化检测、多语言信号、工具策略、数据流追踪和意图一致性检查。它不仅能够将ASR、UTR、DSR降至0，还能输出reasons用于审计。相比policy_only，full_guard的AvgRisk更高，说明它记录了更多上下文风险证据，适合作为最终方案。</w:t>
      </w:r>
    </w:p>
    <w:p w14:paraId="1A06559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2" w:name="_Toc23254"/>
      <w:r>
        <w:rPr>
          <w:rFonts w:hint="eastAsia" w:ascii="黑体" w:hAnsi="黑体" w:eastAsia="黑体" w:cs="黑体"/>
          <w:b/>
          <w:bCs/>
          <w:color w:val="auto"/>
          <w:sz w:val="28"/>
          <w:szCs w:val="28"/>
          <w:lang w:val="en-US" w:eastAsia="en-US" w:bidi="ar-SA"/>
        </w:rPr>
        <w:t>3.7 按攻击族分析</w:t>
      </w:r>
      <w:bookmarkEnd w:id="22"/>
    </w:p>
    <w:p w14:paraId="26ED9057">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表7 </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攻击族维度的风险变化（stub全量实验）</w:t>
      </w:r>
    </w:p>
    <w:tbl>
      <w:tblPr>
        <w:tblStyle w:val="10"/>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461"/>
        <w:gridCol w:w="1471"/>
        <w:gridCol w:w="1471"/>
        <w:gridCol w:w="1468"/>
        <w:gridCol w:w="1563"/>
        <w:gridCol w:w="1853"/>
      </w:tblGrid>
      <w:tr w14:paraId="4D495A7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29C2E39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攻击族</w:t>
            </w:r>
          </w:p>
        </w:tc>
        <w:tc>
          <w:tcPr>
            <w:tcW w:w="0" w:type="auto"/>
            <w:shd w:val="clear" w:color="auto" w:fill="auto"/>
            <w:vAlign w:val="center"/>
          </w:tcPr>
          <w:p w14:paraId="77C5A36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Baseline ASR</w:t>
            </w:r>
          </w:p>
        </w:tc>
        <w:tc>
          <w:tcPr>
            <w:tcW w:w="0" w:type="auto"/>
            <w:shd w:val="clear" w:color="auto" w:fill="auto"/>
            <w:vAlign w:val="center"/>
          </w:tcPr>
          <w:p w14:paraId="7B4966A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Baseline DSR</w:t>
            </w:r>
          </w:p>
        </w:tc>
        <w:tc>
          <w:tcPr>
            <w:tcW w:w="0" w:type="auto"/>
            <w:shd w:val="clear" w:color="auto" w:fill="auto"/>
            <w:vAlign w:val="center"/>
          </w:tcPr>
          <w:p w14:paraId="2EAB761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Full Guard ASR</w:t>
            </w:r>
          </w:p>
        </w:tc>
        <w:tc>
          <w:tcPr>
            <w:tcW w:w="0" w:type="auto"/>
            <w:shd w:val="clear" w:color="auto" w:fill="auto"/>
            <w:vAlign w:val="center"/>
          </w:tcPr>
          <w:p w14:paraId="2AD7877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Full Guard BSR</w:t>
            </w:r>
          </w:p>
        </w:tc>
        <w:tc>
          <w:tcPr>
            <w:tcW w:w="0" w:type="auto"/>
            <w:shd w:val="clear" w:color="auto" w:fill="auto"/>
            <w:vAlign w:val="center"/>
          </w:tcPr>
          <w:p w14:paraId="6C6830B0">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color w:val="auto"/>
                <w:kern w:val="0"/>
                <w:sz w:val="24"/>
                <w:szCs w:val="24"/>
                <w:lang w:eastAsia="en-US"/>
              </w:rPr>
              <w:t>Full Guard AvgRisk</w:t>
            </w:r>
          </w:p>
        </w:tc>
      </w:tr>
      <w:tr w14:paraId="2B9537F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24C69DE">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正常任务</w:t>
            </w:r>
          </w:p>
        </w:tc>
        <w:tc>
          <w:tcPr>
            <w:tcW w:w="0" w:type="auto"/>
            <w:shd w:val="clear" w:color="auto" w:fill="auto"/>
            <w:vAlign w:val="center"/>
          </w:tcPr>
          <w:p w14:paraId="214915B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548DB38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4E1172D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32E53D1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3A3B7A9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0.0000</w:t>
            </w:r>
          </w:p>
        </w:tc>
      </w:tr>
      <w:tr w14:paraId="4851A28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58AEBFF9">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直接越狱</w:t>
            </w:r>
          </w:p>
        </w:tc>
        <w:tc>
          <w:tcPr>
            <w:tcW w:w="0" w:type="auto"/>
            <w:shd w:val="clear" w:color="auto" w:fill="auto"/>
            <w:vAlign w:val="center"/>
          </w:tcPr>
          <w:p w14:paraId="246236E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5A4C289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7AF8C74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3B0F3AC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26CF3AF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0.6500</w:t>
            </w:r>
          </w:p>
        </w:tc>
      </w:tr>
      <w:tr w14:paraId="344CD68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25CF185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JSON/RPC</w:t>
            </w:r>
          </w:p>
        </w:tc>
        <w:tc>
          <w:tcPr>
            <w:tcW w:w="0" w:type="auto"/>
            <w:shd w:val="clear" w:color="auto" w:fill="auto"/>
            <w:vAlign w:val="center"/>
          </w:tcPr>
          <w:p w14:paraId="0B676F1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0C06BD78">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4DFABA8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2B343F1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4CFE622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0.9437</w:t>
            </w:r>
          </w:p>
        </w:tc>
      </w:tr>
      <w:tr w14:paraId="0FA9C52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3F68607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多语言/T2L</w:t>
            </w:r>
          </w:p>
        </w:tc>
        <w:tc>
          <w:tcPr>
            <w:tcW w:w="0" w:type="auto"/>
            <w:shd w:val="clear" w:color="auto" w:fill="auto"/>
            <w:vAlign w:val="center"/>
          </w:tcPr>
          <w:p w14:paraId="482FC184">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2C95842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61BF450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01635CB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746D57E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0.9533</w:t>
            </w:r>
          </w:p>
        </w:tc>
      </w:tr>
      <w:tr w14:paraId="11F5D43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0EE6593B">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RAG间接注入</w:t>
            </w:r>
          </w:p>
        </w:tc>
        <w:tc>
          <w:tcPr>
            <w:tcW w:w="0" w:type="auto"/>
            <w:shd w:val="clear" w:color="auto" w:fill="auto"/>
            <w:vAlign w:val="center"/>
          </w:tcPr>
          <w:p w14:paraId="6E357A0C">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646AA9EA">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70B0994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704C52B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51D66076">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0.9694</w:t>
            </w:r>
          </w:p>
        </w:tc>
      </w:tr>
      <w:tr w14:paraId="46EE9E8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3E941CF1">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工具输出注入</w:t>
            </w:r>
          </w:p>
        </w:tc>
        <w:tc>
          <w:tcPr>
            <w:tcW w:w="0" w:type="auto"/>
            <w:shd w:val="clear" w:color="auto" w:fill="auto"/>
            <w:vAlign w:val="center"/>
          </w:tcPr>
          <w:p w14:paraId="6F683ACF">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021352CD">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1494A193">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0.00%</w:t>
            </w:r>
          </w:p>
        </w:tc>
        <w:tc>
          <w:tcPr>
            <w:tcW w:w="0" w:type="auto"/>
            <w:shd w:val="clear" w:color="auto" w:fill="auto"/>
            <w:vAlign w:val="center"/>
          </w:tcPr>
          <w:p w14:paraId="5DF757A5">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100.00%</w:t>
            </w:r>
          </w:p>
        </w:tc>
        <w:tc>
          <w:tcPr>
            <w:tcW w:w="0" w:type="auto"/>
            <w:shd w:val="clear" w:color="auto" w:fill="auto"/>
            <w:vAlign w:val="center"/>
          </w:tcPr>
          <w:p w14:paraId="49540647">
            <w:pPr>
              <w:keepNext w:val="0"/>
              <w:keepLines w:val="0"/>
              <w:pageBreakBefore w:val="0"/>
              <w:widowControl/>
              <w:shd w:val="clear"/>
              <w:kinsoku/>
              <w:wordWrap/>
              <w:overflowPunct/>
              <w:topLinePunct w:val="0"/>
              <w:autoSpaceDE/>
              <w:autoSpaceDN/>
              <w:bidi w:val="0"/>
              <w:adjustRightInd/>
              <w:snapToGrid/>
              <w:spacing w:after="0" w:line="360" w:lineRule="auto"/>
              <w:ind w:left="0"/>
              <w:jc w:val="center"/>
              <w:textAlignment w:val="auto"/>
              <w:rPr>
                <w:rFonts w:ascii="宋体" w:hAnsi="宋体"/>
                <w:color w:val="auto"/>
                <w:kern w:val="0"/>
                <w:sz w:val="24"/>
                <w:szCs w:val="24"/>
                <w:lang w:eastAsia="en-US"/>
              </w:rPr>
            </w:pPr>
            <w:r>
              <w:rPr>
                <w:rFonts w:ascii="宋体" w:hAnsi="宋体" w:eastAsia="宋体"/>
                <w:b w:val="0"/>
                <w:color w:val="auto"/>
                <w:kern w:val="0"/>
                <w:sz w:val="24"/>
                <w:szCs w:val="24"/>
                <w:lang w:eastAsia="en-US"/>
              </w:rPr>
              <w:t>0.7500</w:t>
            </w:r>
          </w:p>
        </w:tc>
      </w:tr>
    </w:tbl>
    <w:p w14:paraId="013A96F7">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44F8511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按攻击族观察可以发现，不同攻击类型对防护组件的依赖不同。RAG间接注入和工具输出注入更依赖不可信来源检测</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JSON/RPC 注入更依赖结构化字段检测和意图一致性检查</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多语言/T2L注入需要归一化、多语言信号和工具策略共同发挥作用。Full Guard的稳定性来自多种检测信号的互补，而不是单一关键词列表。</w:t>
      </w:r>
    </w:p>
    <w:p w14:paraId="3F19002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benign_clean样本在各组实验中FPR均为0，说明当前版本的规则没有对普通总结、翻译、公开文件读取、公共笔记写入等正常任务产生明显误拦。需要注意的是，FPR的解释仍依赖clean样本覆盖范围，后续应继续扩充真实业务风格的clean case。</w:t>
      </w:r>
    </w:p>
    <w:p w14:paraId="69C4911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3180080"/>
            <wp:effectExtent l="0" t="0" r="133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3180311"/>
                    </a:xfrm>
                    <a:prstGeom prst="rect">
                      <a:avLst/>
                    </a:prstGeom>
                  </pic:spPr>
                </pic:pic>
              </a:graphicData>
            </a:graphic>
          </wp:inline>
        </w:drawing>
      </w:r>
    </w:p>
    <w:p w14:paraId="4C7A1ED5">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图8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攻击族维度的风险与阻断效果</w:t>
      </w:r>
    </w:p>
    <w:p w14:paraId="49020B72">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3" w:name="_Toc27398"/>
      <w:r>
        <w:rPr>
          <w:rFonts w:hint="eastAsia" w:ascii="黑体" w:hAnsi="黑体" w:eastAsia="黑体" w:cs="黑体"/>
          <w:b/>
          <w:bCs/>
          <w:color w:val="auto"/>
          <w:sz w:val="28"/>
          <w:szCs w:val="28"/>
          <w:lang w:val="en-US" w:eastAsia="en-US" w:bidi="ar-SA"/>
        </w:rPr>
        <w:t>3.8 阻断原因与日志稳定性分析</w:t>
      </w:r>
      <w:bookmarkEnd w:id="23"/>
    </w:p>
    <w:p w14:paraId="01B55C7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Qwen2.5代表样本的blocked_records显示，最常见的阻断原因包括high_risk_tool、non_sandbox_path、tool_lure_send_email、suspicious_unicode_obfuscation、tool_lure_read_file、mixed_cjk_latin_tool_lure、multilingual_tool_lure和secret_path_access。这说明Guard并非只依赖单一关键词，而是综合考虑工具类型、路径边界、结构化字段、多语言诱导和敏感数据流。</w:t>
      </w:r>
    </w:p>
    <w:p w14:paraId="06135AE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日志审计结果显示，Qwen2.5代表样本共涉及24个case、62行日志，存在4个parse_error警告，case_id分别为JSONRPC-006、JSONRPC-008、RAG-PI-016和RAG-PI-018</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error_count为0。这些警告主要来自模型输出非标准工具名或JSON控制字符，反映了本地模型输出格式的不稳定性。系统通过保留raw_model_output、parse_error和parsed_tool_call字段，使这类问题可被审计而不是被隐藏。</w:t>
      </w:r>
    </w:p>
    <w:p w14:paraId="1CDFA800">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471795" cy="3322320"/>
            <wp:effectExtent l="0" t="0" r="146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3322886"/>
                    </a:xfrm>
                    <a:prstGeom prst="rect">
                      <a:avLst/>
                    </a:prstGeom>
                  </pic:spPr>
                </pic:pic>
              </a:graphicData>
            </a:graphic>
          </wp:inline>
        </w:drawing>
      </w:r>
    </w:p>
    <w:p w14:paraId="3BFC21D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图9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Qwen2.5代表样本中的Guard阻断原因Top</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10</w:t>
      </w:r>
    </w:p>
    <w:p w14:paraId="016D2A9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011420" cy="295592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11420" cy="2955925"/>
                    </a:xfrm>
                    <a:prstGeom prst="rect">
                      <a:avLst/>
                    </a:prstGeom>
                  </pic:spPr>
                </pic:pic>
              </a:graphicData>
            </a:graphic>
          </wp:inline>
        </w:drawing>
      </w:r>
    </w:p>
    <w:p w14:paraId="7BED905A">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图10</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Qwen2.5代表样本日志稳定性审计</w:t>
      </w:r>
    </w:p>
    <w:p w14:paraId="74E3E8D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4" w:name="_Toc23522"/>
      <w:r>
        <w:rPr>
          <w:rFonts w:hint="eastAsia" w:ascii="黑体" w:hAnsi="黑体" w:eastAsia="黑体" w:cs="黑体"/>
          <w:b/>
          <w:bCs/>
          <w:color w:val="auto"/>
          <w:sz w:val="28"/>
          <w:szCs w:val="28"/>
          <w:lang w:val="en-US" w:eastAsia="en-US" w:bidi="ar-SA"/>
        </w:rPr>
        <w:t>3.9 代表性案例分析</w:t>
      </w:r>
      <w:bookmarkEnd w:id="24"/>
    </w:p>
    <w:p w14:paraId="3B148D24">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5" w:name="_Toc19768"/>
      <w:r>
        <w:rPr>
          <w:rFonts w:ascii="宋体" w:hAnsi="宋体" w:eastAsia="宋体" w:cs="Times New Roman"/>
          <w:b/>
          <w:bCs/>
          <w:color w:val="auto"/>
          <w:sz w:val="24"/>
          <w:szCs w:val="22"/>
          <w:lang w:val="en-US" w:eastAsia="en-US" w:bidi="ar-SA"/>
        </w:rPr>
        <w:t>3.9.1 RAG 间接提示注入案例</w:t>
      </w:r>
      <w:bookmarkEnd w:id="25"/>
    </w:p>
    <w:p w14:paraId="2376DD5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RAG案例中，用户请求总结供应商风险报告，攻击内容隐藏在Markdown文档注释或报告片段中。隐藏内容诱导模型在总结前读取canary secret并尝试发送mock邮件。该案例模拟了真实RAG应用中外部文档既是数据，又可能被模型误判为指令</w:t>
      </w:r>
      <w:r>
        <w:rPr>
          <w:rFonts w:hint="eastAsia" w:ascii="宋体" w:hAnsi="宋体"/>
          <w:color w:val="auto"/>
          <w:kern w:val="0"/>
          <w:sz w:val="24"/>
          <w:szCs w:val="22"/>
          <w:lang w:val="en-US" w:eastAsia="zh-CN"/>
        </w:rPr>
        <w:t>等</w:t>
      </w:r>
      <w:r>
        <w:rPr>
          <w:rFonts w:ascii="宋体" w:hAnsi="宋体" w:eastAsia="宋体"/>
          <w:color w:val="auto"/>
          <w:kern w:val="0"/>
          <w:sz w:val="24"/>
          <w:szCs w:val="22"/>
          <w:lang w:eastAsia="en-US"/>
        </w:rPr>
        <w:t>最常见的风险。</w:t>
      </w:r>
    </w:p>
    <w:p w14:paraId="542FC89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在baseline模式下，模型可能把文档注释中的先执行维护步骤理解为任务流程的一部分，从而触发read_file或send_email等mock工具。full_guard则通过untrusted_source_instruction、tool_lure、secret_path_access、tool_arguments_contain_sensitive_data和intent_action_mismatch等原因阻断工具调用。该案例说明，不可信文档必须被上下文隔离，只能作为事实材料处理，不能改变工具调用计划。</w:t>
      </w:r>
    </w:p>
    <w:p w14:paraId="6B93D079">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6" w:name="_Toc29925"/>
      <w:r>
        <w:rPr>
          <w:rFonts w:ascii="宋体" w:hAnsi="宋体" w:eastAsia="宋体" w:cs="Times New Roman"/>
          <w:b/>
          <w:bCs/>
          <w:color w:val="auto"/>
          <w:sz w:val="24"/>
          <w:szCs w:val="22"/>
          <w:lang w:val="en-US" w:eastAsia="en-US" w:bidi="ar-SA"/>
        </w:rPr>
        <w:t>3.9.2 JSON/RPC 结构化注入案例</w:t>
      </w:r>
      <w:bookmarkEnd w:id="26"/>
    </w:p>
    <w:p w14:paraId="3009A72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JSON/RPC案例中，用户任务通常是翻译、字段抽取或数据格式转换，但输入中的data.next_step、method、params、execute、function_call等字段被设计成伪工具步骤。模型如果过度信任字段名，就可能把普通数据字段提升为可执行指令。</w:t>
      </w:r>
    </w:p>
    <w:p w14:paraId="29FBB81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full_guard对这类样本同时检查结构化字段、工具诱导词和意图-动作一致性。当用户任务是翻译或抽取，而候选工具调用却指向call_api、read_file或send_email时，Guard会提高风险分并给出structured_injection_detected、structured_field_method、structured_field_params、intent_action_mismatch等原因。</w:t>
      </w:r>
    </w:p>
    <w:p w14:paraId="41AB1B84">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7" w:name="_Toc29826"/>
      <w:r>
        <w:rPr>
          <w:rFonts w:ascii="宋体" w:hAnsi="宋体" w:eastAsia="宋体" w:cs="Times New Roman"/>
          <w:b/>
          <w:bCs/>
          <w:color w:val="auto"/>
          <w:sz w:val="24"/>
          <w:szCs w:val="22"/>
          <w:lang w:val="en-US" w:eastAsia="en-US" w:bidi="ar-SA"/>
        </w:rPr>
        <w:t>3.9.3 多语言/T2L 注入案例</w:t>
      </w:r>
      <w:bookmarkEnd w:id="27"/>
    </w:p>
    <w:p w14:paraId="63C88A7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多语言/T2L案例中，攻击内容通过中英混合、拼音、谐音、繁简混写、日韩俄片段或回译风格隐藏在翻译任务、标签映射或JSON字段中。其目标是绕过单语关键词检测，并诱导模型执行非任务相关工具动作。</w:t>
      </w:r>
    </w:p>
    <w:p w14:paraId="7606F39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full_guard通过Unicode归一化、零宽字符清理、混合脚本检测、多语言工具诱导识别和工具策略约束共同降低风险。demo smoke test中，多语言/T2L样本在baseline下可稳定触发mock风险行为，在full_guard下被阻断，说明组合策略对跨语言混淆具有更强鲁棒性。</w:t>
      </w:r>
    </w:p>
    <w:p w14:paraId="13B50F2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8" w:name="_Toc5295"/>
      <w:r>
        <w:rPr>
          <w:rFonts w:hint="eastAsia" w:ascii="黑体" w:hAnsi="黑体" w:eastAsia="黑体" w:cs="黑体"/>
          <w:b/>
          <w:bCs/>
          <w:color w:val="auto"/>
          <w:sz w:val="28"/>
          <w:szCs w:val="28"/>
          <w:lang w:val="en-US" w:eastAsia="en-US" w:bidi="ar-SA"/>
        </w:rPr>
        <w:t>3.10 实验结论与局限性</w:t>
      </w:r>
      <w:bookmarkEnd w:id="28"/>
    </w:p>
    <w:p w14:paraId="6509B48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综合实验表明，M³-PI Guard能够在本地红队靶场中有效降低提示注入导致的未授权工具调用和数据外流风险。stub全量实验用于验证策略覆盖能力，Qwen2.5代表样本用于验证真实模型链路，demo smoke test用于稳定复现答辩场景。三组实验共同说明行为级Guard可以为工具集成智能体提供比最终文本过滤更前置、更可解释的安全边界。</w:t>
      </w:r>
    </w:p>
    <w:p w14:paraId="0FEE248B">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hint="eastAsia" w:ascii="宋体" w:hAnsi="宋体"/>
          <w:color w:val="auto"/>
          <w:kern w:val="0"/>
          <w:sz w:val="24"/>
          <w:szCs w:val="22"/>
          <w:lang w:val="en-US" w:eastAsia="zh-CN"/>
        </w:rPr>
        <w:t>当前</w:t>
      </w:r>
      <w:r>
        <w:rPr>
          <w:rFonts w:ascii="宋体" w:hAnsi="宋体" w:eastAsia="宋体"/>
          <w:color w:val="auto"/>
          <w:kern w:val="0"/>
          <w:sz w:val="24"/>
          <w:szCs w:val="22"/>
          <w:lang w:eastAsia="en-US"/>
        </w:rPr>
        <w:t>实验仍有局限</w:t>
      </w:r>
      <w:r>
        <w:rPr>
          <w:rFonts w:hint="eastAsia" w:ascii="宋体" w:hAnsi="宋体"/>
          <w:color w:val="auto"/>
          <w:kern w:val="0"/>
          <w:sz w:val="24"/>
          <w:szCs w:val="22"/>
          <w:lang w:eastAsia="zh-CN"/>
        </w:rPr>
        <w:t>，</w:t>
      </w:r>
      <w:r>
        <w:rPr>
          <w:rFonts w:hint="eastAsia" w:ascii="宋体" w:hAnsi="宋体"/>
          <w:color w:val="auto"/>
          <w:kern w:val="0"/>
          <w:sz w:val="24"/>
          <w:szCs w:val="22"/>
          <w:lang w:val="en-US" w:eastAsia="zh-CN"/>
        </w:rPr>
        <w:t>体现在</w:t>
      </w:r>
      <w:r>
        <w:rPr>
          <w:rFonts w:ascii="宋体" w:hAnsi="宋体" w:eastAsia="宋体"/>
          <w:color w:val="auto"/>
          <w:kern w:val="0"/>
          <w:sz w:val="24"/>
          <w:szCs w:val="22"/>
          <w:lang w:eastAsia="en-US"/>
        </w:rPr>
        <w:t>样本主要为合成数据，虽然覆盖了多类攻击族，但与真实业务系统的复杂数据分布仍有差距</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本地Qwen2.5代表实验受限于消费级8GB显存，样本规模较小</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Guard以规则和策略为主，面对深度语义改写、跨模态隐藏文本或上下文长期记忆污染时仍需增强</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WRS权重仍需</w:t>
      </w:r>
      <w:r>
        <w:rPr>
          <w:rFonts w:hint="eastAsia" w:ascii="宋体" w:hAnsi="宋体"/>
          <w:color w:val="auto"/>
          <w:kern w:val="0"/>
          <w:sz w:val="24"/>
          <w:szCs w:val="22"/>
          <w:lang w:val="en-US" w:eastAsia="zh-CN"/>
        </w:rPr>
        <w:t>要</w:t>
      </w:r>
      <w:r>
        <w:rPr>
          <w:rFonts w:ascii="宋体" w:hAnsi="宋体" w:eastAsia="宋体"/>
          <w:color w:val="auto"/>
          <w:kern w:val="0"/>
          <w:sz w:val="24"/>
          <w:szCs w:val="22"/>
          <w:lang w:eastAsia="en-US"/>
        </w:rPr>
        <w:t>更多实证校准。</w:t>
      </w:r>
    </w:p>
    <w:p w14:paraId="7F738C0F">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1902F900">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29" w:name="_Toc3660"/>
      <w:r>
        <w:rPr>
          <w:rFonts w:hint="eastAsia" w:ascii="黑体" w:eastAsia="黑体"/>
          <w:sz w:val="32"/>
          <w:szCs w:val="32"/>
          <w:lang w:val="en-US" w:eastAsia="en-US"/>
        </w:rPr>
        <w:t>第四章 创新性说明</w:t>
      </w:r>
      <w:bookmarkEnd w:id="29"/>
    </w:p>
    <w:p w14:paraId="3B7F0C8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30" w:name="_Toc11642"/>
      <w:r>
        <w:rPr>
          <w:rFonts w:hint="eastAsia" w:ascii="黑体" w:hAnsi="黑体" w:eastAsia="黑体" w:cs="黑体"/>
          <w:b/>
          <w:bCs/>
          <w:color w:val="auto"/>
          <w:sz w:val="28"/>
          <w:szCs w:val="28"/>
          <w:lang w:val="en-US" w:eastAsia="en-US" w:bidi="ar-SA"/>
        </w:rPr>
        <w:t>4.1 从文本输出安全转向工具链行为安全</w:t>
      </w:r>
      <w:bookmarkEnd w:id="30"/>
    </w:p>
    <w:p w14:paraId="2FD26B3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本作品最重要的创新是改变评测对象。传统大模型安全评测通常把最终文本回答作为主要观察目标，判断模型是否输出危险内容。M³-PI Guard则把工具动作</w:t>
      </w:r>
      <w:r>
        <w:rPr>
          <w:rFonts w:hint="eastAsia" w:ascii="宋体" w:hAnsi="宋体"/>
          <w:color w:val="auto"/>
          <w:kern w:val="0"/>
          <w:sz w:val="24"/>
          <w:szCs w:val="22"/>
          <w:lang w:val="en-US" w:eastAsia="zh-CN"/>
        </w:rPr>
        <w:t>也考虑在内</w:t>
      </w:r>
      <w:r>
        <w:rPr>
          <w:rFonts w:hint="eastAsia" w:ascii="宋体" w:hAnsi="宋体"/>
          <w:color w:val="auto"/>
          <w:kern w:val="0"/>
          <w:sz w:val="24"/>
          <w:szCs w:val="22"/>
          <w:lang w:eastAsia="zh-CN"/>
        </w:rPr>
        <w:t>，</w:t>
      </w:r>
      <w:r>
        <w:rPr>
          <w:rFonts w:hint="eastAsia" w:ascii="宋体" w:hAnsi="宋体"/>
          <w:color w:val="auto"/>
          <w:kern w:val="0"/>
          <w:sz w:val="24"/>
          <w:szCs w:val="22"/>
          <w:lang w:val="en-US" w:eastAsia="zh-CN"/>
        </w:rPr>
        <w:t>虽然</w:t>
      </w:r>
      <w:r>
        <w:rPr>
          <w:rFonts w:ascii="宋体" w:hAnsi="宋体" w:eastAsia="宋体"/>
          <w:color w:val="auto"/>
          <w:kern w:val="0"/>
          <w:sz w:val="24"/>
          <w:szCs w:val="22"/>
          <w:lang w:eastAsia="en-US"/>
        </w:rPr>
        <w:t>模型最终回答看似正常，</w:t>
      </w:r>
      <w:r>
        <w:rPr>
          <w:rFonts w:hint="eastAsia" w:ascii="宋体" w:hAnsi="宋体"/>
          <w:color w:val="auto"/>
          <w:kern w:val="0"/>
          <w:sz w:val="24"/>
          <w:szCs w:val="22"/>
          <w:lang w:val="en-US" w:eastAsia="zh-CN"/>
        </w:rPr>
        <w:t>但</w:t>
      </w:r>
      <w:r>
        <w:rPr>
          <w:rFonts w:ascii="宋体" w:hAnsi="宋体" w:eastAsia="宋体"/>
          <w:color w:val="auto"/>
          <w:kern w:val="0"/>
          <w:sz w:val="24"/>
          <w:szCs w:val="22"/>
          <w:lang w:eastAsia="en-US"/>
        </w:rPr>
        <w:t>只要中间链路触发了未授权工具调用，也应被视为安全失败。这种视角更贴近真实智能体部署，因为在工具执行型系统中，风险往往发生在回答生成之前。</w:t>
      </w:r>
    </w:p>
    <w:p w14:paraId="7FDCD989">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1" w:name="_Toc7312"/>
      <w:r>
        <w:rPr>
          <w:rFonts w:hint="eastAsia" w:ascii="黑体" w:hAnsi="黑体" w:eastAsia="黑体" w:cs="黑体"/>
          <w:b/>
          <w:bCs/>
          <w:color w:val="auto"/>
          <w:sz w:val="28"/>
          <w:szCs w:val="28"/>
          <w:lang w:val="en-US" w:eastAsia="en-US" w:bidi="ar-SA"/>
        </w:rPr>
        <w:t>4.2 跨攻击族统一 AttackCase建模</w:t>
      </w:r>
      <w:bookmarkEnd w:id="31"/>
    </w:p>
    <w:p w14:paraId="722A1AF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直接越狱、间接提示注入、多语言混淆、JSON/RPC字段欺骗和工具输出污染在表现形式上差异很大，但它们共享同一个本质</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不可信文本试图改变模型的操作边界。本作品使用统一AttackCase Schema描述这些样本，使不同攻击族可以在同一运行器、同一日志格式和同一指标体系下比较。</w:t>
      </w:r>
    </w:p>
    <w:p w14:paraId="6FFB52C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2" w:name="_Toc22358"/>
      <w:r>
        <w:rPr>
          <w:rFonts w:hint="eastAsia" w:ascii="黑体" w:hAnsi="黑体" w:eastAsia="黑体" w:cs="黑体"/>
          <w:b/>
          <w:bCs/>
          <w:color w:val="auto"/>
          <w:sz w:val="28"/>
          <w:szCs w:val="28"/>
          <w:lang w:val="en-US" w:eastAsia="en-US" w:bidi="ar-SA"/>
        </w:rPr>
        <w:t>4.3 上下文检测、工具策略与数据流融合</w:t>
      </w:r>
      <w:bookmarkEnd w:id="32"/>
    </w:p>
    <w:p w14:paraId="2139AF0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单纯关键词检测容易被多语言、结构化字段和上下文嵌套绕过</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单纯工具策略虽然能阻断危险端点和路径，却难以解释攻击来源。M³-PI Guard将两者与数据流追踪结合</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先检测上下文中的指令性文本和工具诱导，再检查工具名称、参数、路径、端点和敏感标记流向，最后结合用户任务判断意图-动作一致性。</w:t>
      </w:r>
    </w:p>
    <w:p w14:paraId="08CC17BA">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3" w:name="_Toc1309"/>
      <w:r>
        <w:rPr>
          <w:rFonts w:hint="eastAsia" w:ascii="黑体" w:hAnsi="黑体" w:eastAsia="黑体" w:cs="黑体"/>
          <w:b/>
          <w:bCs/>
          <w:color w:val="auto"/>
          <w:sz w:val="28"/>
          <w:szCs w:val="28"/>
          <w:lang w:val="en-US" w:eastAsia="en-US" w:bidi="ar-SA"/>
        </w:rPr>
        <w:t>4.4 可解释allow/ask/deny行为决策</w:t>
      </w:r>
      <w:bookmarkEnd w:id="33"/>
    </w:p>
    <w:p w14:paraId="48AFD44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系统是是采用allow、ask、deny三态策略。对明确越权、敏感数据外发、非sandbox路径和代码执行使用deny</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对不确定但存在外部副作用的动作使用ask</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对正常任务保持allow。每次决策都记录risk_score和reasons，便于审计、复盘和展示。</w:t>
      </w:r>
    </w:p>
    <w:p w14:paraId="403B90F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4" w:name="_Toc16112"/>
      <w:r>
        <w:rPr>
          <w:rFonts w:hint="eastAsia" w:ascii="黑体" w:hAnsi="黑体" w:eastAsia="黑体" w:cs="黑体"/>
          <w:b/>
          <w:bCs/>
          <w:color w:val="auto"/>
          <w:sz w:val="28"/>
          <w:szCs w:val="28"/>
          <w:lang w:val="en-US" w:eastAsia="en-US" w:bidi="ar-SA"/>
        </w:rPr>
        <w:t>4.5 安全、可复现的本地红队靶场</w:t>
      </w:r>
      <w:bookmarkEnd w:id="34"/>
    </w:p>
    <w:p w14:paraId="0F37FB5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本作品使用本地mock工具保留行为形态，同时避免真实危害。这样既能展示</w:t>
      </w:r>
      <w:r>
        <w:rPr>
          <w:rFonts w:hint="eastAsia" w:ascii="宋体" w:hAnsi="宋体"/>
          <w:color w:val="auto"/>
          <w:kern w:val="0"/>
          <w:sz w:val="24"/>
          <w:szCs w:val="22"/>
          <w:lang w:val="en-US" w:eastAsia="zh-CN"/>
        </w:rPr>
        <w:t>在</w:t>
      </w:r>
      <w:r>
        <w:rPr>
          <w:rFonts w:ascii="宋体" w:hAnsi="宋体" w:eastAsia="宋体"/>
          <w:color w:val="auto"/>
          <w:kern w:val="0"/>
          <w:sz w:val="24"/>
          <w:szCs w:val="22"/>
          <w:lang w:eastAsia="en-US"/>
        </w:rPr>
        <w:t>没有防护，Agent会尝试</w:t>
      </w:r>
      <w:r>
        <w:rPr>
          <w:rFonts w:hint="eastAsia" w:ascii="宋体" w:hAnsi="宋体"/>
          <w:color w:val="auto"/>
          <w:kern w:val="0"/>
          <w:sz w:val="24"/>
          <w:szCs w:val="22"/>
          <w:lang w:val="en-US" w:eastAsia="zh-CN"/>
        </w:rPr>
        <w:t>何种</w:t>
      </w:r>
      <w:r>
        <w:rPr>
          <w:rFonts w:ascii="宋体" w:hAnsi="宋体" w:eastAsia="宋体"/>
          <w:color w:val="auto"/>
          <w:kern w:val="0"/>
          <w:sz w:val="24"/>
          <w:szCs w:val="22"/>
          <w:lang w:eastAsia="en-US"/>
        </w:rPr>
        <w:t>动作</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又不会访问真实邮箱、真实API或真实secret，适合教学、竞赛、早期系统验证和企业上线前自测。</w:t>
      </w:r>
    </w:p>
    <w:p w14:paraId="57C5585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5" w:name="_Toc28596"/>
      <w:r>
        <w:rPr>
          <w:rFonts w:hint="eastAsia" w:ascii="黑体" w:hAnsi="黑体" w:eastAsia="黑体" w:cs="黑体"/>
          <w:b/>
          <w:bCs/>
          <w:color w:val="auto"/>
          <w:sz w:val="28"/>
          <w:szCs w:val="28"/>
          <w:lang w:val="en-US" w:eastAsia="en-US" w:bidi="ar-SA"/>
        </w:rPr>
        <w:t>4.6 消融实验与证据链设计</w:t>
      </w:r>
      <w:bookmarkEnd w:id="35"/>
    </w:p>
    <w:p w14:paraId="0751DF9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作品不仅给出最终防护结果，还提供baseline、keyword_only、policy_only和full_guard四种模式的消融实验。AttackCase记录攻击意图和预期安全行为，RunLog记录模型输出、工具调用、Guard决策和风险原因，指标文件和图表展示全局效果，Dashboard 支持单案例回放，形成从样本到结论的可审计证据链。</w:t>
      </w:r>
    </w:p>
    <w:p w14:paraId="4880AC78">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05B9A1D6">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36" w:name="_Toc2975"/>
      <w:r>
        <w:rPr>
          <w:rFonts w:hint="eastAsia" w:ascii="黑体" w:eastAsia="黑体"/>
          <w:sz w:val="32"/>
          <w:szCs w:val="32"/>
          <w:lang w:val="en-US" w:eastAsia="en-US"/>
        </w:rPr>
        <w:t>第五章 总结</w:t>
      </w:r>
      <w:bookmarkEnd w:id="36"/>
    </w:p>
    <w:p w14:paraId="2DFF38E0">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7" w:name="_Toc4712"/>
      <w:r>
        <w:rPr>
          <w:rFonts w:hint="eastAsia" w:ascii="黑体" w:hAnsi="黑体" w:eastAsia="黑体" w:cs="黑体"/>
          <w:b/>
          <w:bCs/>
          <w:color w:val="auto"/>
          <w:sz w:val="28"/>
          <w:szCs w:val="28"/>
          <w:lang w:val="en-US" w:eastAsia="en-US" w:bidi="ar-SA"/>
        </w:rPr>
        <w:t>5.1 工作总结</w:t>
      </w:r>
      <w:bookmarkEnd w:id="37"/>
    </w:p>
    <w:p w14:paraId="429F4A4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作品实现</w:t>
      </w:r>
      <w:r>
        <w:rPr>
          <w:rFonts w:hint="eastAsia" w:ascii="宋体" w:hAnsi="宋体"/>
          <w:color w:val="auto"/>
          <w:kern w:val="0"/>
          <w:sz w:val="24"/>
          <w:szCs w:val="22"/>
          <w:lang w:val="en-US" w:eastAsia="zh-CN"/>
        </w:rPr>
        <w:t>了</w:t>
      </w:r>
      <w:r>
        <w:rPr>
          <w:rFonts w:ascii="宋体" w:hAnsi="宋体" w:eastAsia="宋体"/>
          <w:color w:val="auto"/>
          <w:kern w:val="0"/>
          <w:sz w:val="24"/>
          <w:szCs w:val="22"/>
          <w:lang w:eastAsia="en-US"/>
        </w:rPr>
        <w:t>面向工具调用智能体的提示注入红队评测与行为监督系统M³-PIGuard。系统围绕工具执行边界构建完整闭环</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红队样本生成不可信上下文，Agent靶场产生候选工具调用，Guard在执行前进行风险裁决，mock工具在本地安全模拟行为，评测模块把运行日志转化为可量化指标，Dashboard支持阻断记录和单案例回放。</w:t>
      </w:r>
    </w:p>
    <w:p w14:paraId="25C4C58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实验结果表明，full_guard能显著降低ASR、UTR和DSR，并提供可解释的阻断原因。在69条stub全量样本中，baseline的ASR和DSR均为55.07%，full_guard将ASR、UTR、DSR均降至0</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在24条Qwen2.5代表样本中，full_guard同样将ASR、UTR、DSR降至0</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在3条demo smoke test中，full_guard的BSR达到100%。这些结果说明行为监督是工具集成大模型智能体安全评测的重要补充。</w:t>
      </w:r>
    </w:p>
    <w:p w14:paraId="5929BE1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8" w:name="_Toc32482"/>
      <w:r>
        <w:rPr>
          <w:rFonts w:hint="eastAsia" w:ascii="黑体" w:hAnsi="黑体" w:eastAsia="黑体" w:cs="黑体"/>
          <w:b/>
          <w:bCs/>
          <w:color w:val="auto"/>
          <w:sz w:val="28"/>
          <w:szCs w:val="28"/>
          <w:lang w:val="en-US" w:eastAsia="en-US" w:bidi="ar-SA"/>
        </w:rPr>
        <w:t>5.2 应用价值</w:t>
      </w:r>
      <w:bookmarkEnd w:id="38"/>
    </w:p>
    <w:p w14:paraId="1702865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本作品可作为大模型智能体应用上线前的本地红队评测工具，用于发现RAG文档、结构化字段、多语言输入和工具输出中的提示注入风险。由于系统不依赖真实外部服务，攻击目标均为mock工具，因此适合在教学、竞赛、企业内部验证和防护策略原型设计中使用。</w:t>
      </w:r>
    </w:p>
    <w:p w14:paraId="01B78E8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作品中的数据模型、日志结构和指标体系具有可扩展性。未来可以把run_matrix与更多开源Agent框架对接，把Guard作为工具调用代理层使用，也可以将Dashboard扩展为长期实验管理和审计平台。</w:t>
      </w:r>
    </w:p>
    <w:p w14:paraId="322A5C33">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9" w:name="_Toc17830"/>
      <w:r>
        <w:rPr>
          <w:rFonts w:hint="eastAsia" w:ascii="黑体" w:hAnsi="黑体" w:eastAsia="黑体" w:cs="黑体"/>
          <w:b/>
          <w:bCs/>
          <w:color w:val="auto"/>
          <w:sz w:val="28"/>
          <w:szCs w:val="28"/>
          <w:lang w:val="en-US" w:eastAsia="en-US" w:bidi="ar-SA"/>
        </w:rPr>
        <w:t>5.3 局限性与后续工作</w:t>
      </w:r>
      <w:bookmarkEnd w:id="39"/>
    </w:p>
    <w:p w14:paraId="0314C8C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后续工作包括扩展更真实的benign_clean样本，增强FPR的解释力</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引入语义级检测模型，覆盖更深层的重写、嵌套和说服性攻击</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加入多模态隐藏提示注入，例如图片、OCR文本和PDF版式中的隐蔽指令</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扩大本地模型与不同开源Agent框架的横向对比</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对WRS权重进行更多实证校准，使综合韧性分更适合不同业务场景。</w:t>
      </w:r>
    </w:p>
    <w:p w14:paraId="3729794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总体来看，本作品在保证安全边界的前提下，展示了提示注入从文本输出风险向工具行为风险迁移的过程，并提供了一套可复现、可审计、可扩展的本地红队评测与行为监督方案。</w:t>
      </w:r>
    </w:p>
    <w:p w14:paraId="55B14135">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2D5B5EEF">
      <w:pPr>
        <w:pStyle w:val="2"/>
        <w:keepNext w:val="0"/>
        <w:keepLines w:val="0"/>
        <w:pageBreakBefore w:val="0"/>
        <w:kinsoku/>
        <w:wordWrap/>
        <w:overflowPunct/>
        <w:topLinePunct w:val="0"/>
        <w:bidi w:val="0"/>
        <w:textAlignment w:val="auto"/>
        <w:rPr>
          <w:rFonts w:hint="eastAsia" w:ascii="黑体" w:eastAsia="黑体"/>
          <w:sz w:val="32"/>
          <w:szCs w:val="32"/>
          <w:lang w:val="en-US" w:eastAsia="en-US"/>
        </w:rPr>
      </w:pPr>
      <w:bookmarkStart w:id="40" w:name="_Toc24749"/>
      <w:r>
        <w:rPr>
          <w:rFonts w:hint="eastAsia" w:ascii="黑体" w:eastAsia="黑体"/>
          <w:sz w:val="32"/>
          <w:szCs w:val="32"/>
          <w:lang w:val="en-US" w:eastAsia="en-US"/>
        </w:rPr>
        <w:t>参考文献</w:t>
      </w:r>
      <w:bookmarkEnd w:id="40"/>
    </w:p>
    <w:p w14:paraId="1B374B26">
      <w:pPr>
        <w:spacing w:line="360" w:lineRule="auto"/>
      </w:pPr>
      <w:r>
        <w:rPr>
          <w:rFonts w:ascii="宋体" w:hAnsi="宋体" w:eastAsia="宋体"/>
          <w:sz w:val="24"/>
        </w:rPr>
        <w:t>[1]Perez F, Ribeiro I. Ignore previous prompt: attack techniques for language models[C]//NeurIPS ML Safety Workshop. 2022.</w:t>
      </w:r>
    </w:p>
    <w:p w14:paraId="6DD85FE2">
      <w:pPr>
        <w:spacing w:line="360" w:lineRule="auto"/>
      </w:pPr>
      <w:r>
        <w:rPr>
          <w:rFonts w:ascii="宋体" w:hAnsi="宋体" w:eastAsia="宋体"/>
          <w:sz w:val="24"/>
        </w:rPr>
        <w:t>[2]Greshake K, Abdelnabi S, Mishra S, et al. Not what you've signed up for: compromising real-world LLM-integrated applications with indirect prompt injection[C]//Proceedings of the 16th ACM Workshop on Artificial Intelligence and Security. New York: ACM, 2023: 79-90.</w:t>
      </w:r>
    </w:p>
    <w:p w14:paraId="353EC313">
      <w:pPr>
        <w:spacing w:line="360" w:lineRule="auto"/>
      </w:pPr>
      <w:r>
        <w:rPr>
          <w:rFonts w:ascii="宋体" w:hAnsi="宋体" w:eastAsia="宋体"/>
          <w:sz w:val="24"/>
        </w:rPr>
        <w:t>[3]OWASP Foundation. OWASP top 10 for large language model applications[EB/OL]. 2025.</w:t>
      </w:r>
    </w:p>
    <w:p w14:paraId="3E9C8111">
      <w:pPr>
        <w:spacing w:line="360" w:lineRule="auto"/>
      </w:pPr>
      <w:r>
        <w:rPr>
          <w:rFonts w:ascii="宋体" w:hAnsi="宋体" w:eastAsia="宋体"/>
          <w:sz w:val="24"/>
        </w:rPr>
        <w:t>[4]Yao S, Zhao J, Yu D, et al. ReAct: synergizing reasoning and acting in language models[C]//International Conference on Learning Representations. 2023.</w:t>
      </w:r>
    </w:p>
    <w:p w14:paraId="28B5B7B8">
      <w:pPr>
        <w:spacing w:line="360" w:lineRule="auto"/>
      </w:pPr>
      <w:r>
        <w:rPr>
          <w:rFonts w:ascii="宋体" w:hAnsi="宋体" w:eastAsia="宋体"/>
          <w:sz w:val="24"/>
        </w:rPr>
        <w:t>[5]Kumar S S, Cummings M, Stimpson A. Strengthening LLM trust boundaries: a survey of prompt injection attacks[C]//Proceedings of the IEEE 4th International Conference on Human-Machine Systems. 2024: 1-6.</w:t>
      </w:r>
    </w:p>
    <w:p w14:paraId="2421BFFA">
      <w:pPr>
        <w:spacing w:line="360" w:lineRule="auto"/>
      </w:pPr>
      <w:r>
        <w:rPr>
          <w:rFonts w:ascii="宋体" w:hAnsi="宋体" w:eastAsia="宋体"/>
          <w:sz w:val="24"/>
        </w:rPr>
        <w:t>[6]Pryzant R, Iter D, Li J, et al. Automatic prompt optimization with gradient descent and beam search[C]//Proceedings of the Conference on Empirical Methods in Natural Language Processing. Singapore: Association for Computational Linguistics, 2023: 7957-7968.</w:t>
      </w:r>
    </w:p>
    <w:p w14:paraId="395E0D90">
      <w:pPr>
        <w:spacing w:line="360" w:lineRule="auto"/>
      </w:pPr>
      <w:r>
        <w:rPr>
          <w:rFonts w:ascii="宋体" w:hAnsi="宋体" w:eastAsia="宋体"/>
          <w:sz w:val="24"/>
        </w:rPr>
        <w:t>[7]Wallace E, Feng S, Kandpal N, et al. Universal adversarial triggers for attacking and analyzing NLP[C]//Proceedings of EMNLP-IJCNLP. Hong Kong: Association for Computational Linguistics, 2019: 2153-2162.</w:t>
      </w:r>
    </w:p>
    <w:p w14:paraId="6805B770">
      <w:pPr>
        <w:spacing w:line="360" w:lineRule="auto"/>
      </w:pPr>
      <w:r>
        <w:rPr>
          <w:rFonts w:ascii="宋体" w:hAnsi="宋体" w:eastAsia="宋体"/>
          <w:sz w:val="24"/>
        </w:rPr>
        <w:t>[8]Zeng Y, Lin H, Zhang J, et al. How Johnny can persuade LLMs to jailbreak them: rethinking persuasion to challenge AI safety by humanizing LLMs[C]//Proceedings of the 62nd Annual Meeting of the ACL. Bangkok: Association for Computational Linguistics, 2024: 14322-14350.</w:t>
      </w:r>
    </w:p>
    <w:p w14:paraId="57734521">
      <w:pPr>
        <w:spacing w:line="360" w:lineRule="auto"/>
      </w:pPr>
      <w:r>
        <w:rPr>
          <w:rFonts w:ascii="宋体" w:hAnsi="宋体" w:eastAsia="宋体"/>
          <w:sz w:val="24"/>
        </w:rPr>
        <w:t>[9]Li L, Ma R, Guo Q, Xue X, Qiu X. BERT-attack: adversarial attack against BERT using BERT[C]//Proceedings of EMNLP. 2020: 6193-6202.</w:t>
      </w:r>
    </w:p>
    <w:p w14:paraId="353C605B">
      <w:pPr>
        <w:spacing w:line="360" w:lineRule="auto"/>
      </w:pPr>
      <w:r>
        <w:rPr>
          <w:rFonts w:ascii="宋体" w:hAnsi="宋体" w:eastAsia="宋体"/>
          <w:sz w:val="24"/>
        </w:rPr>
        <w:t>[10]Naik A, Ravichander A, Sadeh N, Rose C, Neubig G. Stress test evaluation for natural language inference[EB/OL]. arXiv:1806.00692, 2018.</w:t>
      </w:r>
    </w:p>
    <w:p w14:paraId="391D87D0">
      <w:pPr>
        <w:spacing w:line="360" w:lineRule="auto"/>
      </w:pPr>
      <w:r>
        <w:rPr>
          <w:rFonts w:ascii="宋体" w:hAnsi="宋体" w:eastAsia="宋体"/>
          <w:sz w:val="24"/>
        </w:rPr>
        <w:t>[11]Ding P, Kuang J, Ma D, et al. A wolf in sheep's clothing: generalized nested jailbreak prompts can fool large language models easily[C]//Proceedings of NAACL-HLT. Mexico City: Association for Computational Linguistics, 2024: 2136-2153.</w:t>
      </w:r>
    </w:p>
    <w:p w14:paraId="44B7593D">
      <w:pPr>
        <w:spacing w:line="360" w:lineRule="auto"/>
      </w:pPr>
      <w:r>
        <w:rPr>
          <w:rFonts w:ascii="宋体" w:hAnsi="宋体" w:eastAsia="宋体"/>
          <w:sz w:val="24"/>
        </w:rPr>
        <w:t>[12]Muliarevych O. Enhancing system security: LLM-driven defense against prompt injection vulnerabilities[C]//Proceedings of the IEEE 17th International Conference on Advanced Trends in Radioelectronics, Telecommunications and Computer Engineering. 2024: 420-423.</w:t>
      </w:r>
    </w:p>
    <w:p w14:paraId="7A49CA6E">
      <w:pPr>
        <w:spacing w:line="360" w:lineRule="auto"/>
      </w:pPr>
      <w:r>
        <w:rPr>
          <w:rFonts w:ascii="宋体" w:hAnsi="宋体" w:eastAsia="宋体"/>
          <w:sz w:val="24"/>
        </w:rPr>
        <w:t>[13]Yip D W, Esmradi A, Chan C F. A novel evaluation framework for assessing resilience against prompt injection attacks in large language models[C]//Proceedings of the IEEE Asia-Pacific Conference on Computer Science and Data Engineering. 2023: 1-5.</w:t>
      </w:r>
    </w:p>
    <w:p w14:paraId="00FC5CBE">
      <w:pPr>
        <w:spacing w:line="360" w:lineRule="auto"/>
      </w:pPr>
      <w:r>
        <w:rPr>
          <w:rFonts w:ascii="宋体" w:hAnsi="宋体" w:eastAsia="宋体"/>
          <w:sz w:val="24"/>
        </w:rPr>
        <w:t>[14]Zhan Q, Liang Z, Ying Z, Kang D. InjecAgent: benchmarking indirect prompt injections in tool-integrated large language model agents[C]//Findings of the Association for Computational Linguistics: ACL. Bangkok: Association for Computational Linguistics, 2024: 10471-10506.</w:t>
      </w:r>
    </w:p>
    <w:p w14:paraId="26FEDEF0">
      <w:pPr>
        <w:spacing w:line="360" w:lineRule="auto"/>
      </w:pPr>
      <w:r>
        <w:rPr>
          <w:rFonts w:ascii="宋体" w:hAnsi="宋体" w:eastAsia="宋体"/>
          <w:sz w:val="24"/>
        </w:rPr>
        <w:t>[15]Sun Z, Miceli-Barone A V. Scaling behavior of machine translation with large language models under prompt injection attacks[C]//Proceedings of the Workshop on Scaling Behavior of Large Language Models. Malta: Association for Computational Linguistics, 2024: 9-23.</w:t>
      </w:r>
    </w:p>
    <w:p w14:paraId="3E994FB1">
      <w:pPr>
        <w:spacing w:line="360" w:lineRule="auto"/>
      </w:pPr>
      <w:r>
        <w:rPr>
          <w:rFonts w:ascii="宋体" w:hAnsi="宋体" w:eastAsia="宋体"/>
          <w:sz w:val="24"/>
        </w:rPr>
        <w:t>[16]Miceli-Barone A V, Sun Z. A test suite of prompt injection attacks for LLM-based machine translation[C]//Proceedings of the Ninth Conference on Machine Translation. Miami: Association for Computational Linguistics, 2024: 380-450.</w:t>
      </w:r>
    </w:p>
    <w:p w14:paraId="20E2F217">
      <w:pPr>
        <w:spacing w:line="360" w:lineRule="auto"/>
      </w:pPr>
      <w:r>
        <w:rPr>
          <w:rFonts w:ascii="宋体" w:hAnsi="宋体" w:eastAsia="宋体"/>
          <w:sz w:val="24"/>
        </w:rPr>
        <w:t>[17]Wichers N, Denison C, Beirami A. Gradient-based language model red teaming[C]//Proceedings of EACL. Malta: Association for Computational Linguistics, 2024: 2862-2881.</w:t>
      </w:r>
    </w:p>
    <w:p w14:paraId="72D2A40F">
      <w:pPr>
        <w:spacing w:line="360" w:lineRule="auto"/>
      </w:pPr>
      <w:r>
        <w:rPr>
          <w:rFonts w:ascii="宋体" w:hAnsi="宋体" w:eastAsia="宋体"/>
          <w:sz w:val="24"/>
        </w:rPr>
        <w:t>[18]Shen X, Chen Z, Backes M, Shen Y, Zhang Y. Do anything now: characterizing and evaluating in-the-wild jailbreak prompts on large language models[C]//Proceedings of the ACM SIGSAC Conference on Computer and Communications Security. New York: ACM, 2024: 1671-1685.</w:t>
      </w:r>
    </w:p>
    <w:p w14:paraId="1A00F833">
      <w:pPr>
        <w:spacing w:line="360" w:lineRule="auto"/>
      </w:pPr>
      <w:r>
        <w:rPr>
          <w:rFonts w:ascii="宋体" w:hAnsi="宋体" w:eastAsia="宋体"/>
          <w:sz w:val="24"/>
        </w:rPr>
        <w:t>[19]Li L, Guan H, Qiu J, Spratling M. One prompt word is enough to boost adversarial robustness for pre-trained vision-language models[C]//Proceedings of the IEEE/CVF Conference on Computer Vision and Pattern Recognition. 2024: 24408-24419.</w:t>
      </w:r>
    </w:p>
    <w:p w14:paraId="7A936F61">
      <w:pPr>
        <w:spacing w:line="360" w:lineRule="auto"/>
      </w:pPr>
      <w:r>
        <w:rPr>
          <w:rFonts w:ascii="宋体" w:hAnsi="宋体" w:eastAsia="宋体"/>
          <w:sz w:val="24"/>
        </w:rPr>
        <w:t>[20]Sharma R K, Gupta V, Grossman D. Defending language models against image-based prompt attacks via user-provided specifications[C]//Proceedings of the IEEE Security and Privacy Workshops. 2024: 112-131.</w:t>
      </w:r>
    </w:p>
    <w:p w14:paraId="3567010C">
      <w:pPr>
        <w:spacing w:line="360" w:lineRule="auto"/>
      </w:pPr>
      <w:r>
        <w:rPr>
          <w:rFonts w:ascii="宋体" w:hAnsi="宋体" w:eastAsia="宋体"/>
          <w:sz w:val="24"/>
        </w:rPr>
        <w:t>[21]Greshake K, Abdelnabi S, Mishra S, Endres C, Holz T, Fritz M. Not what you've signed up for: compromising real-world LLM-integrated applications with indirect prompt injection[C]//Proceedings of the 16th ACM Workshop on Artificial Intelligence and Security. New York: ACM, 2023: 79-90.</w:t>
      </w:r>
    </w:p>
    <w:p w14:paraId="2CFD670C">
      <w:pPr>
        <w:rPr>
          <w:lang w:eastAsia="en-US"/>
        </w:rPr>
      </w:pPr>
    </w:p>
    <w:sectPr>
      <w:headerReference r:id="rId4" w:type="default"/>
      <w:footerReference r:id="rId5" w:type="default"/>
      <w:pgSz w:w="11906" w:h="16838"/>
      <w:pgMar w:top="1417" w:right="1361" w:bottom="1247" w:left="147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2C04EB5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F78CE">
    <w:pPr>
      <w:tabs>
        <w:tab w:val="center" w:pos="4680"/>
        <w:tab w:val="right" w:pos="9360"/>
      </w:tabs>
      <w:spacing w:after="0" w:line="240" w:lineRule="auto"/>
      <w:jc w:val="center"/>
      <w:rPr>
        <w:rFonts w:hint="eastAsia" w:ascii="宋体" w:hAnsi="宋体" w:eastAsia="宋体" w:cs="宋体"/>
        <w:sz w:val="24"/>
        <w:szCs w:val="22"/>
        <w:lang w:val="en-US" w:eastAsia="en-US" w:bidi="ar-SA"/>
      </w:rPr>
    </w:pPr>
    <w:r>
      <w:rPr>
        <w:rFonts w:hint="eastAsia" w:ascii="宋体" w:hAnsi="宋体" w:eastAsia="宋体" w:cs="宋体"/>
        <w:sz w:val="18"/>
        <w:szCs w:val="22"/>
        <w:lang w:val="en-US" w:eastAsia="en-US" w:bidi="ar-SA"/>
      </w:rPr>
      <w:t xml:space="preserve">第 </w:t>
    </w:r>
    <w:r>
      <w:rPr>
        <w:rFonts w:hint="eastAsia" w:ascii="宋体" w:hAnsi="宋体" w:eastAsia="宋体" w:cs="宋体"/>
        <w:sz w:val="18"/>
        <w:szCs w:val="22"/>
        <w:lang w:val="en-US" w:eastAsia="en-US" w:bidi="ar-SA"/>
      </w:rPr>
      <w:fldChar w:fldCharType="begin"/>
    </w:r>
    <w:r>
      <w:rPr>
        <w:rFonts w:hint="eastAsia" w:ascii="宋体" w:hAnsi="宋体" w:eastAsia="宋体" w:cs="宋体"/>
        <w:sz w:val="18"/>
        <w:szCs w:val="22"/>
        <w:lang w:val="en-US" w:eastAsia="en-US" w:bidi="ar-SA"/>
      </w:rPr>
      <w:instrText xml:space="preserve">PAGE</w:instrText>
    </w:r>
    <w:r>
      <w:rPr>
        <w:rFonts w:hint="eastAsia" w:ascii="宋体" w:hAnsi="宋体" w:eastAsia="宋体" w:cs="宋体"/>
        <w:sz w:val="18"/>
        <w:szCs w:val="22"/>
        <w:lang w:val="en-US" w:eastAsia="en-US" w:bidi="ar-SA"/>
      </w:rPr>
      <w:fldChar w:fldCharType="separate"/>
    </w:r>
    <w:r>
      <w:rPr>
        <w:rFonts w:hint="eastAsia" w:ascii="宋体" w:hAnsi="宋体" w:eastAsia="宋体" w:cs="宋体"/>
        <w:sz w:val="18"/>
        <w:szCs w:val="22"/>
        <w:lang w:val="en-US" w:eastAsia="en-US" w:bidi="ar-SA"/>
      </w:rPr>
      <w:t>1</w:t>
    </w:r>
    <w:r>
      <w:rPr>
        <w:rFonts w:hint="eastAsia" w:ascii="宋体" w:hAnsi="宋体" w:eastAsia="宋体" w:cs="宋体"/>
        <w:sz w:val="18"/>
        <w:szCs w:val="22"/>
        <w:lang w:val="en-US" w:eastAsia="en-US" w:bidi="ar-SA"/>
      </w:rPr>
      <w:fldChar w:fldCharType="end"/>
    </w:r>
    <w:r>
      <w:rPr>
        <w:rFonts w:hint="eastAsia" w:ascii="宋体" w:hAnsi="宋体" w:eastAsia="宋体" w:cs="宋体"/>
        <w:sz w:val="18"/>
        <w:szCs w:val="22"/>
        <w:lang w:val="en-US" w:eastAsia="en-US" w:bidi="ar-SA"/>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F402">
    <w:pPr>
      <w:tabs>
        <w:tab w:val="center" w:pos="4680"/>
        <w:tab w:val="right" w:pos="9360"/>
      </w:tabs>
      <w:spacing w:after="0" w:line="240" w:lineRule="auto"/>
      <w:rPr>
        <w:rFonts w:ascii="宋体" w:hAnsi="宋体" w:eastAsia="宋体" w:cs="Times New Roman"/>
        <w:sz w:val="24"/>
        <w:szCs w:val="22"/>
        <w:lang w:val="en-US" w:eastAsia="en-US" w:bidi="ar-S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77279"/>
    <w:rsid w:val="00283AEB"/>
    <w:rsid w:val="002D2C68"/>
    <w:rsid w:val="003E28F4"/>
    <w:rsid w:val="004017A4"/>
    <w:rsid w:val="00404C1B"/>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A0845"/>
    <w:rsid w:val="007E7F65"/>
    <w:rsid w:val="00804CF0"/>
    <w:rsid w:val="008233AA"/>
    <w:rsid w:val="00840819"/>
    <w:rsid w:val="00847112"/>
    <w:rsid w:val="0087039D"/>
    <w:rsid w:val="00882AD1"/>
    <w:rsid w:val="00954634"/>
    <w:rsid w:val="009A0979"/>
    <w:rsid w:val="009C1255"/>
    <w:rsid w:val="009F377B"/>
    <w:rsid w:val="00A247AB"/>
    <w:rsid w:val="00A77804"/>
    <w:rsid w:val="00AA1D81"/>
    <w:rsid w:val="00B21CBA"/>
    <w:rsid w:val="00B36150"/>
    <w:rsid w:val="00B4751C"/>
    <w:rsid w:val="00B62FE5"/>
    <w:rsid w:val="00B74C5D"/>
    <w:rsid w:val="00BB4589"/>
    <w:rsid w:val="00BD34E2"/>
    <w:rsid w:val="00BE16EA"/>
    <w:rsid w:val="00C56672"/>
    <w:rsid w:val="00C75B57"/>
    <w:rsid w:val="00CE5C25"/>
    <w:rsid w:val="00D570F5"/>
    <w:rsid w:val="00DB169B"/>
    <w:rsid w:val="00DC1EF7"/>
    <w:rsid w:val="00DE6D7B"/>
    <w:rsid w:val="00DF78E7"/>
    <w:rsid w:val="00E0516B"/>
    <w:rsid w:val="00E47070"/>
    <w:rsid w:val="00E94B67"/>
    <w:rsid w:val="00E957F2"/>
    <w:rsid w:val="00EB12B1"/>
    <w:rsid w:val="00F72284"/>
    <w:rsid w:val="00F7709C"/>
    <w:rsid w:val="00F85321"/>
    <w:rsid w:val="00F913E8"/>
    <w:rsid w:val="0127533C"/>
    <w:rsid w:val="02D7069C"/>
    <w:rsid w:val="03AC12AA"/>
    <w:rsid w:val="049B394B"/>
    <w:rsid w:val="07106873"/>
    <w:rsid w:val="07794418"/>
    <w:rsid w:val="078D0F73"/>
    <w:rsid w:val="07DC537F"/>
    <w:rsid w:val="09A50351"/>
    <w:rsid w:val="0B7D2F2A"/>
    <w:rsid w:val="0D9D24E2"/>
    <w:rsid w:val="0F056591"/>
    <w:rsid w:val="0F0C791F"/>
    <w:rsid w:val="100625C1"/>
    <w:rsid w:val="10703EDE"/>
    <w:rsid w:val="10CF6E57"/>
    <w:rsid w:val="12062D4C"/>
    <w:rsid w:val="12274A70"/>
    <w:rsid w:val="12704669"/>
    <w:rsid w:val="154C4F1A"/>
    <w:rsid w:val="156340C6"/>
    <w:rsid w:val="18D019BE"/>
    <w:rsid w:val="198021CE"/>
    <w:rsid w:val="1A037B71"/>
    <w:rsid w:val="1AB570BD"/>
    <w:rsid w:val="1D61352C"/>
    <w:rsid w:val="1D8F1E47"/>
    <w:rsid w:val="1E62121F"/>
    <w:rsid w:val="1F106FB8"/>
    <w:rsid w:val="20967991"/>
    <w:rsid w:val="22603DB2"/>
    <w:rsid w:val="234C7EE9"/>
    <w:rsid w:val="23CB16FF"/>
    <w:rsid w:val="24635DDC"/>
    <w:rsid w:val="24970035"/>
    <w:rsid w:val="25BC2484"/>
    <w:rsid w:val="25C64874"/>
    <w:rsid w:val="27D33279"/>
    <w:rsid w:val="28CF3D13"/>
    <w:rsid w:val="296510B4"/>
    <w:rsid w:val="2AE0393A"/>
    <w:rsid w:val="2CD5539D"/>
    <w:rsid w:val="2CDC2BCF"/>
    <w:rsid w:val="2E4C168F"/>
    <w:rsid w:val="2E766A9D"/>
    <w:rsid w:val="2F900653"/>
    <w:rsid w:val="305D7B83"/>
    <w:rsid w:val="32470AEB"/>
    <w:rsid w:val="32702F51"/>
    <w:rsid w:val="341113B0"/>
    <w:rsid w:val="343447A0"/>
    <w:rsid w:val="35143245"/>
    <w:rsid w:val="35AB75E3"/>
    <w:rsid w:val="371B2276"/>
    <w:rsid w:val="38BF587F"/>
    <w:rsid w:val="38E11BE1"/>
    <w:rsid w:val="39F74BA5"/>
    <w:rsid w:val="3A78307D"/>
    <w:rsid w:val="3ADB6274"/>
    <w:rsid w:val="3AF92B9E"/>
    <w:rsid w:val="3B3D2A8B"/>
    <w:rsid w:val="3B9052B1"/>
    <w:rsid w:val="3C1E28BD"/>
    <w:rsid w:val="3D6562C9"/>
    <w:rsid w:val="3DE90CA8"/>
    <w:rsid w:val="3DF62949"/>
    <w:rsid w:val="3F9904AC"/>
    <w:rsid w:val="40721429"/>
    <w:rsid w:val="41E2438C"/>
    <w:rsid w:val="4251506E"/>
    <w:rsid w:val="42F75C15"/>
    <w:rsid w:val="432602A9"/>
    <w:rsid w:val="43972F54"/>
    <w:rsid w:val="46925C93"/>
    <w:rsid w:val="4732546E"/>
    <w:rsid w:val="47394A4E"/>
    <w:rsid w:val="4766336A"/>
    <w:rsid w:val="4A857FAB"/>
    <w:rsid w:val="4A9A12C0"/>
    <w:rsid w:val="4AC37F0A"/>
    <w:rsid w:val="4C194E4E"/>
    <w:rsid w:val="4E3B04FE"/>
    <w:rsid w:val="4FA26915"/>
    <w:rsid w:val="50E0418D"/>
    <w:rsid w:val="510A2FB8"/>
    <w:rsid w:val="524B33E5"/>
    <w:rsid w:val="525E6983"/>
    <w:rsid w:val="52B551A5"/>
    <w:rsid w:val="54272508"/>
    <w:rsid w:val="55F940F1"/>
    <w:rsid w:val="56731B2D"/>
    <w:rsid w:val="567F2B2A"/>
    <w:rsid w:val="56903F5F"/>
    <w:rsid w:val="57266671"/>
    <w:rsid w:val="58CE0D6F"/>
    <w:rsid w:val="5979517E"/>
    <w:rsid w:val="5A495721"/>
    <w:rsid w:val="5A6C083F"/>
    <w:rsid w:val="5AD22D98"/>
    <w:rsid w:val="5E72408D"/>
    <w:rsid w:val="62782E5E"/>
    <w:rsid w:val="63506F50"/>
    <w:rsid w:val="63B76FCF"/>
    <w:rsid w:val="67B37DFF"/>
    <w:rsid w:val="6A024D1C"/>
    <w:rsid w:val="6A4F4B22"/>
    <w:rsid w:val="6AE83F12"/>
    <w:rsid w:val="6D3E42BD"/>
    <w:rsid w:val="6DAD4F9F"/>
    <w:rsid w:val="6E8B1784"/>
    <w:rsid w:val="71072C18"/>
    <w:rsid w:val="72EB0A43"/>
    <w:rsid w:val="730C094E"/>
    <w:rsid w:val="74F3598D"/>
    <w:rsid w:val="759B75AD"/>
    <w:rsid w:val="75B74C0D"/>
    <w:rsid w:val="77B533CE"/>
    <w:rsid w:val="79D7587D"/>
    <w:rsid w:val="7BDF0BD3"/>
    <w:rsid w:val="7D9B3066"/>
    <w:rsid w:val="7F82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link w:val="15"/>
    <w:qFormat/>
    <w:uiPriority w:val="0"/>
    <w:pPr>
      <w:tabs>
        <w:tab w:val="center" w:pos="4153"/>
        <w:tab w:val="right" w:pos="8306"/>
      </w:tabs>
      <w:snapToGrid w:val="0"/>
      <w:jc w:val="left"/>
    </w:pPr>
    <w:rPr>
      <w:sz w:val="18"/>
      <w:szCs w:val="18"/>
      <w:lang w:val="zh-CN"/>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lang w:val="zh-CN"/>
    </w:rPr>
  </w:style>
  <w:style w:type="paragraph" w:styleId="7">
    <w:name w:val="toc 1"/>
    <w:basedOn w:val="1"/>
    <w:next w:val="1"/>
    <w:qFormat/>
    <w:uiPriority w:val="39"/>
    <w:rPr>
      <w:sz w:val="28"/>
    </w:rPr>
  </w:style>
  <w:style w:type="paragraph" w:styleId="8">
    <w:name w:val="toc 2"/>
    <w:basedOn w:val="1"/>
    <w:next w:val="1"/>
    <w:qFormat/>
    <w:uiPriority w:val="0"/>
    <w:pPr>
      <w:ind w:left="420" w:leftChars="200"/>
    </w:pPr>
  </w:style>
  <w:style w:type="table" w:styleId="10">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styleId="13">
    <w:name w:val="Hyperlink"/>
    <w:qFormat/>
    <w:uiPriority w:val="99"/>
    <w:rPr>
      <w:color w:val="000066"/>
      <w:u w:val="none"/>
    </w:rPr>
  </w:style>
  <w:style w:type="character" w:customStyle="1" w:styleId="14">
    <w:name w:val="页眉 字符"/>
    <w:link w:val="6"/>
    <w:qFormat/>
    <w:uiPriority w:val="0"/>
    <w:rPr>
      <w:kern w:val="2"/>
      <w:sz w:val="18"/>
      <w:szCs w:val="18"/>
    </w:rPr>
  </w:style>
  <w:style w:type="character" w:customStyle="1" w:styleId="15">
    <w:name w:val="页脚 字符"/>
    <w:link w:val="5"/>
    <w:qFormat/>
    <w:uiPriority w:val="0"/>
    <w:rPr>
      <w:kern w:val="2"/>
      <w:sz w:val="18"/>
      <w:szCs w:val="18"/>
    </w:rPr>
  </w:style>
  <w:style w:type="character" w:customStyle="1" w:styleId="16">
    <w:name w:val="标题 1 字符"/>
    <w:link w:val="2"/>
    <w:qFormat/>
    <w:uiPriority w:val="0"/>
    <w:rPr>
      <w:b/>
      <w:bCs/>
      <w:kern w:val="44"/>
      <w:sz w:val="44"/>
      <w:szCs w:val="44"/>
    </w:rPr>
  </w:style>
  <w:style w:type="paragraph" w:customStyle="1" w:styleId="17">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6029</Words>
  <Characters>8620</Characters>
  <Lines>10</Lines>
  <Paragraphs>2</Paragraphs>
  <TotalTime>0</TotalTime>
  <ScaleCrop>false</ScaleCrop>
  <LinksUpToDate>false</LinksUpToDate>
  <CharactersWithSpaces>9016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sanshi712</cp:lastModifiedBy>
  <cp:lastPrinted>2026-05-21T05:09:00Z</cp:lastPrinted>
  <dcterms:modified xsi:type="dcterms:W3CDTF">2026-06-12T08:21:00Z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D635C3DC01244193AB0380003CC4F53D_13</vt:lpwstr>
  </property>
  <property fmtid="{D5CDD505-2E9C-101B-9397-08002B2CF9AE}" pid="4" name="KSOTemplateDocerSaveRecord">
    <vt:lpwstr>eyJoZGlkIjoiYzFjODliNTBjMWM2ZWJiNmRlNzlmNmRkYzY0OTQyZmMiLCJ1c2VySWQiOiIzMTg0MzUxMDMifQ==</vt:lpwstr>
  </property>
</Properties>
</file>