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rFonts w:ascii="SimSun" w:hAnsi="SimSun" w:eastAsia="SimSun"/>
          <w:b w:val="0"/>
          <w:sz w:val="28"/>
        </w:rPr>
        <w:t>附件 2：</w:t>
      </w:r>
    </w:p>
    <w:p>
      <w:pPr>
        <w:jc w:val="center"/>
      </w:pPr>
      <w:r>
        <w:rPr>
          <w:rFonts w:ascii="SimSun" w:hAnsi="SimSun" w:eastAsia="SimSun"/>
          <w:b/>
          <w:sz w:val="32"/>
        </w:rPr>
        <w:t>第十九届全国大学生信息安全竞赛（作品赛）</w:t>
      </w:r>
    </w:p>
    <w:p>
      <w:pPr>
        <w:jc w:val="center"/>
      </w:pPr>
      <w:r>
        <w:rPr>
          <w:rFonts w:ascii="SimSun" w:hAnsi="SimSun" w:eastAsia="SimSun"/>
          <w:b/>
          <w:sz w:val="32"/>
        </w:rPr>
        <w:t>暨第三届“长城杯”网数智安全大赛（作品赛）</w:t>
      </w:r>
    </w:p>
    <w:p>
      <w:pPr>
        <w:jc w:val="center"/>
      </w:pPr>
      <w:r>
        <w:rPr>
          <w:rFonts w:ascii="SimSun" w:hAnsi="SimSun" w:eastAsia="SimSun"/>
          <w:b/>
          <w:sz w:val="44"/>
        </w:rPr>
        <w:t>作品报告</w:t>
      </w:r>
    </w:p>
    <w:p>
      <w:pPr>
        <w:spacing w:after="80"/>
        <w:jc w:val="center"/>
      </w:pPr>
      <w:r>
        <w:rPr>
          <w:rFonts w:ascii="SimSun" w:hAnsi="SimSun" w:eastAsia="SimSun"/>
          <w:b w:val="0"/>
          <w:sz w:val="28"/>
        </w:rPr>
        <w:t>赛道类型：命题赛道（自由赛道未选）</w:t>
      </w:r>
    </w:p>
    <w:p>
      <w:pPr>
        <w:spacing w:after="80"/>
        <w:jc w:val="center"/>
      </w:pPr>
      <w:r>
        <w:rPr>
          <w:rFonts w:ascii="SimSun" w:hAnsi="SimSun" w:eastAsia="SimSun"/>
          <w:b/>
          <w:sz w:val="30"/>
        </w:rPr>
        <w:t>作品名称：M³-PI Guard：面向工具调用智能体的提示注入行为监督系统</w:t>
      </w:r>
    </w:p>
    <w:p>
      <w:pPr>
        <w:spacing w:after="80"/>
        <w:jc w:val="center"/>
      </w:pPr>
      <w:r>
        <w:rPr>
          <w:rFonts w:ascii="SimSun" w:hAnsi="SimSun" w:eastAsia="SimSun"/>
          <w:b w:val="0"/>
          <w:sz w:val="28"/>
        </w:rPr>
        <w:t>Email：</w:t>
      </w:r>
    </w:p>
    <w:p>
      <w:pPr>
        <w:spacing w:after="80"/>
        <w:jc w:val="center"/>
      </w:pPr>
      <w:r>
        <w:rPr>
          <w:rFonts w:ascii="SimSun" w:hAnsi="SimSun" w:eastAsia="SimSun"/>
          <w:b w:val="0"/>
          <w:sz w:val="28"/>
        </w:rPr>
        <w:t>提交日期：2026.6.11</w:t>
      </w:r>
    </w:p>
    <w:p>
      <w:r>
        <w:br w:type="page"/>
      </w:r>
    </w:p>
    <w:p>
      <w:pPr>
        <w:pStyle w:val="Heading1"/>
        <w:spacing w:line="360" w:lineRule="auto" w:before="240" w:after="120"/>
        <w:jc w:val="center"/>
      </w:pPr>
      <w:r>
        <w:rPr>
          <w:rFonts w:ascii="SimSun" w:hAnsi="SimSun" w:eastAsia="SimSun"/>
          <w:b/>
          <w:sz w:val="32"/>
        </w:rPr>
        <w:t>填写说明</w:t>
      </w:r>
    </w:p>
    <w:p>
      <w:pPr>
        <w:spacing w:line="360" w:lineRule="auto" w:after="120"/>
      </w:pPr>
      <w:r>
        <w:rPr>
          <w:rFonts w:ascii="SimSun" w:hAnsi="SimSun" w:eastAsia="SimSun"/>
          <w:sz w:val="24"/>
        </w:rPr>
        <w:t>1. 所有参赛项目必须为一个基本完整的设计。作品报告书旨在能够清晰准确地阐述（或图示）该参赛队的参赛项目（或方案）。</w:t>
      </w:r>
    </w:p>
    <w:p>
      <w:pPr>
        <w:spacing w:line="360" w:lineRule="auto" w:after="120"/>
      </w:pPr>
      <w:r>
        <w:rPr>
          <w:rFonts w:ascii="SimSun" w:hAnsi="SimSun" w:eastAsia="SimSun"/>
          <w:sz w:val="24"/>
        </w:rPr>
        <w:t>2. 作品报告采用 A4 纸撰写。除标题外，所有内容必需为宋体、小四号字、1.5 倍行距。</w:t>
      </w:r>
    </w:p>
    <w:p>
      <w:pPr>
        <w:spacing w:line="360" w:lineRule="auto" w:after="120"/>
      </w:pPr>
      <w:r>
        <w:rPr>
          <w:rFonts w:ascii="SimSun" w:hAnsi="SimSun" w:eastAsia="SimSun"/>
          <w:sz w:val="24"/>
        </w:rPr>
        <w:t>3. 作品报告中各项目说明文字部分仅供参考，作品报告书撰写完毕后，请删除所有说明文字。(本页不删除)</w:t>
      </w:r>
    </w:p>
    <w:p>
      <w:pPr>
        <w:spacing w:line="360" w:lineRule="auto" w:after="120"/>
      </w:pPr>
      <w:r>
        <w:rPr>
          <w:rFonts w:ascii="SimSun" w:hAnsi="SimSun" w:eastAsia="SimSun"/>
          <w:sz w:val="24"/>
        </w:rPr>
        <w:t>4. 作品报告模板里已经列的内容仅供参考，作者可以在此基础上增加内容或对文档结构进行微调。</w:t>
      </w:r>
    </w:p>
    <w:p>
      <w:pPr>
        <w:spacing w:line="360" w:lineRule="auto" w:after="120"/>
      </w:pPr>
      <w:r>
        <w:rPr>
          <w:rFonts w:ascii="SimSun" w:hAnsi="SimSun" w:eastAsia="SimSun"/>
          <w:sz w:val="24"/>
        </w:rPr>
        <w:t>5. 为保证网评的公平、公正，作品报告中应避免出现作者所在学校、院系和指导教师等泄露身份的信息。</w:t>
      </w:r>
    </w:p>
    <w:p>
      <w:r>
        <w:br w:type="page"/>
      </w:r>
    </w:p>
    <w:p>
      <w:pPr>
        <w:pStyle w:val="Heading1"/>
        <w:spacing w:line="360" w:lineRule="auto" w:before="240" w:after="120"/>
        <w:jc w:val="center"/>
      </w:pPr>
      <w:r>
        <w:rPr>
          <w:rFonts w:ascii="SimSun" w:hAnsi="SimSun" w:eastAsia="SimSun"/>
          <w:b/>
          <w:sz w:val="32"/>
        </w:rPr>
        <w:t>目 录</w:t>
      </w:r>
    </w:p>
    <w:p>
      <w:pPr>
        <w:spacing w:line="360" w:lineRule="auto"/>
      </w:pPr>
      <w:r>
        <w:rPr>
          <w:rFonts w:ascii="SimSun" w:hAnsi="SimSun" w:eastAsia="SimSun"/>
          <w:sz w:val="24"/>
        </w:rPr>
        <w:t>摘要</w:t>
      </w:r>
      <w:r>
        <w:rPr>
          <w:rFonts w:ascii="SimSun" w:hAnsi="SimSun" w:eastAsia="SimSun"/>
          <w:sz w:val="24"/>
        </w:rPr>
        <w:t>...................................................4</w:t>
      </w:r>
    </w:p>
    <w:p>
      <w:pPr>
        <w:spacing w:line="360" w:lineRule="auto"/>
      </w:pPr>
      <w:r>
        <w:rPr>
          <w:rFonts w:ascii="SimSun" w:hAnsi="SimSun" w:eastAsia="SimSun"/>
          <w:sz w:val="24"/>
        </w:rPr>
        <w:t>Abstract</w:t>
      </w:r>
      <w:r>
        <w:rPr>
          <w:rFonts w:ascii="SimSun" w:hAnsi="SimSun" w:eastAsia="SimSun"/>
          <w:sz w:val="24"/>
        </w:rPr>
        <w:t>.......................................5</w:t>
      </w:r>
    </w:p>
    <w:p>
      <w:pPr>
        <w:spacing w:line="360" w:lineRule="auto"/>
      </w:pPr>
      <w:r>
        <w:rPr>
          <w:rFonts w:ascii="SimSun" w:hAnsi="SimSun" w:eastAsia="SimSun"/>
          <w:sz w:val="24"/>
        </w:rPr>
        <w:t>第一章 作品概述</w:t>
      </w:r>
      <w:r>
        <w:rPr>
          <w:rFonts w:ascii="SimSun" w:hAnsi="SimSun" w:eastAsia="SimSun"/>
          <w:sz w:val="24"/>
        </w:rPr>
        <w:t>.......................................6</w:t>
      </w:r>
    </w:p>
    <w:p>
      <w:pPr>
        <w:spacing w:line="360" w:lineRule="auto"/>
      </w:pPr>
      <w:r>
        <w:rPr>
          <w:rFonts w:ascii="SimSun" w:hAnsi="SimSun" w:eastAsia="SimSun"/>
          <w:sz w:val="24"/>
        </w:rPr>
        <w:t>第二章 作品设计与实现</w:t>
      </w:r>
      <w:r>
        <w:rPr>
          <w:rFonts w:ascii="SimSun" w:hAnsi="SimSun" w:eastAsia="SimSun"/>
          <w:sz w:val="24"/>
        </w:rPr>
        <w:t>.................................9</w:t>
      </w:r>
    </w:p>
    <w:p>
      <w:pPr>
        <w:spacing w:line="360" w:lineRule="auto"/>
      </w:pPr>
      <w:r>
        <w:rPr>
          <w:rFonts w:ascii="SimSun" w:hAnsi="SimSun" w:eastAsia="SimSun"/>
          <w:sz w:val="24"/>
        </w:rPr>
        <w:t>第三章 作品测试与分析</w:t>
      </w:r>
      <w:r>
        <w:rPr>
          <w:rFonts w:ascii="SimSun" w:hAnsi="SimSun" w:eastAsia="SimSun"/>
          <w:sz w:val="24"/>
        </w:rPr>
        <w:t>.................................13</w:t>
      </w:r>
    </w:p>
    <w:p>
      <w:pPr>
        <w:spacing w:line="360" w:lineRule="auto"/>
      </w:pPr>
      <w:r>
        <w:rPr>
          <w:rFonts w:ascii="SimSun" w:hAnsi="SimSun" w:eastAsia="SimSun"/>
          <w:sz w:val="24"/>
        </w:rPr>
        <w:t>第四章 创新性说明</w:t>
      </w:r>
      <w:r>
        <w:rPr>
          <w:rFonts w:ascii="SimSun" w:hAnsi="SimSun" w:eastAsia="SimSun"/>
          <w:sz w:val="24"/>
        </w:rPr>
        <w:t>.....................................23</w:t>
      </w:r>
    </w:p>
    <w:p>
      <w:pPr>
        <w:spacing w:line="360" w:lineRule="auto"/>
      </w:pPr>
      <w:r>
        <w:rPr>
          <w:rFonts w:ascii="SimSun" w:hAnsi="SimSun" w:eastAsia="SimSun"/>
          <w:sz w:val="24"/>
        </w:rPr>
        <w:t>第五章 总结</w:t>
      </w:r>
      <w:r>
        <w:rPr>
          <w:rFonts w:ascii="SimSun" w:hAnsi="SimSun" w:eastAsia="SimSun"/>
          <w:sz w:val="24"/>
        </w:rPr>
        <w:t>...........................................25</w:t>
      </w:r>
    </w:p>
    <w:p>
      <w:pPr>
        <w:spacing w:line="360" w:lineRule="auto"/>
      </w:pPr>
      <w:r>
        <w:rPr>
          <w:rFonts w:ascii="SimSun" w:hAnsi="SimSun" w:eastAsia="SimSun"/>
          <w:sz w:val="24"/>
        </w:rPr>
        <w:t>参考文献</w:t>
      </w:r>
      <w:r>
        <w:rPr>
          <w:rFonts w:ascii="SimSun" w:hAnsi="SimSun" w:eastAsia="SimSun"/>
          <w:sz w:val="24"/>
        </w:rPr>
        <w:t>...............................................27</w:t>
      </w:r>
    </w:p>
    <w:p>
      <w:r>
        <w:br w:type="page"/>
      </w:r>
    </w:p>
    <w:p>
      <w:pPr>
        <w:pStyle w:val="Heading1"/>
        <w:spacing w:line="360" w:lineRule="auto" w:before="240" w:after="120"/>
        <w:jc w:val="center"/>
      </w:pPr>
      <w:r>
        <w:rPr>
          <w:rFonts w:ascii="SimSun" w:hAnsi="SimSun" w:eastAsia="SimSun"/>
          <w:b/>
          <w:sz w:val="32"/>
        </w:rPr>
        <w:t>摘 要</w:t>
      </w:r>
    </w:p>
    <w:p>
      <w:pPr>
        <w:spacing w:line="360" w:lineRule="auto" w:after="120"/>
        <w:ind w:firstLine="480"/>
      </w:pPr>
      <w:r>
        <w:rPr>
          <w:rFonts w:ascii="SimSun" w:hAnsi="SimSun" w:eastAsia="SimSun"/>
          <w:sz w:val="24"/>
        </w:rPr>
        <w:t>大模型智能体正在从“回答问题”的语言模型演化为能够调用文件系统、消息服务、外部接口和代码执行器的行动系统。提示注入攻击也随之发生迁移：攻击者不再只追求诱导模型输出不当文本，而是试图让模型在工具链中触发未授权行为，例如读取敏感文件、外发 canary 数据、调用非预期接口或在错误上下文中写入文件。已有越狱和提示注入研究已经证明了自然语言指令、间接文档、结构化字段和多语言混淆对模型安全边界的影响，但面向工具集成智能体的本地可复现评测框架、跨攻击族统一样本模式以及行为级阻断指标仍不充分。</w:t>
      </w:r>
    </w:p>
    <w:p>
      <w:pPr>
        <w:spacing w:line="360" w:lineRule="auto" w:after="120"/>
        <w:ind w:firstLine="480"/>
      </w:pPr>
      <w:r>
        <w:rPr>
          <w:rFonts w:ascii="SimSun" w:hAnsi="SimSun" w:eastAsia="SimSun"/>
          <w:sz w:val="24"/>
        </w:rPr>
        <w:t>本作品提出 M³-PI Guard，一个面向工具集成大模型智能体的提示注入红队评测与行为监督原型。系统构建了 69 条标准化 AttackCase 样本，覆盖直接越狱、RAG 间接提示注入、多语言/T2L、JSON/RPC 结构化注入、工具输出注入和正常任务；实现了本地 sandbox mock 工具链，模拟 read_file、write_file、send_email、call_api 和 run_code 五类高风险动作；并设计了结合指令性文本检测、结构化字段分析、多语言混淆信号、工具策略、路径/端点约束、数据流追踪和意图-动作一致性检查的行为监督机制。</w:t>
      </w:r>
    </w:p>
    <w:p>
      <w:pPr>
        <w:spacing w:line="360" w:lineRule="auto" w:after="120"/>
        <w:ind w:firstLine="480"/>
      </w:pPr>
      <w:r>
        <w:rPr>
          <w:rFonts w:ascii="SimSun" w:hAnsi="SimSun" w:eastAsia="SimSun"/>
          <w:sz w:val="24"/>
        </w:rPr>
        <w:t>实验结果表明，在 69 条全量 stub 样本中，baseline 的 ASR 为 55.07%、UTR 为 28.99%、DSR 为 55.07%，full_guard 将 ASR、UTR 和 DSR 均降至 0，并保持 0 的误报率；在 24 条本地 Qwen2.5-7B 代表样本中，baseline 的 ASR 为 8.33%、DSR 为 4.17%，full_guard 同样将 ASR、UTR 和 DSR 降至 0；在 3 条 demo smoke test 中，baseline 的 ASR、UTR、DSR 均为 66.67%，full_guard 的阻断成功率达到 100%。本作品的核心价值在于将大模型安全评测对象从“最终输出文本”扩展到“工具链行为”，提供可复现、可审计、无真实危害的本地红队靶场与指标体系。</w:t>
      </w:r>
    </w:p>
    <w:p>
      <w:r>
        <w:rPr>
          <w:rFonts w:ascii="SimSun" w:hAnsi="SimSun" w:eastAsia="SimSun"/>
          <w:b/>
          <w:sz w:val="24"/>
        </w:rPr>
        <w:t>关键词：大模型智能体；提示注入；间接提示注入；红队评测；工具调用安全；行为监督；RAG 安全</w:t>
      </w:r>
    </w:p>
    <w:p>
      <w:r>
        <w:br w:type="page"/>
      </w:r>
    </w:p>
    <w:p>
      <w:pPr>
        <w:pStyle w:val="Heading1"/>
        <w:spacing w:line="360" w:lineRule="auto" w:before="240" w:after="120"/>
        <w:jc w:val="center"/>
      </w:pPr>
      <w:r>
        <w:rPr>
          <w:rFonts w:ascii="SimSun" w:hAnsi="SimSun" w:eastAsia="SimSun"/>
          <w:b/>
          <w:sz w:val="32"/>
        </w:rPr>
        <w:t>Abstract</w:t>
      </w:r>
    </w:p>
    <w:p>
      <w:pPr>
        <w:spacing w:line="360" w:lineRule="auto" w:after="120"/>
      </w:pPr>
      <w:r>
        <w:rPr>
          <w:rFonts w:ascii="Times New Roman" w:hAnsi="Times New Roman" w:eastAsia="Times New Roman"/>
          <w:sz w:val="24"/>
        </w:rPr>
        <w:t>Large language model applications are rapidly evolving from conversational systems into tool-integrated agents that can access files, send messages, call APIs, and execute task workflows. This transition changes the security objective of prompt-injection evaluation: the central risk is no longer limited to unsafe textual responses, but also includes unauthorized tool actions in an agentic execution chain.</w:t>
      </w:r>
    </w:p>
    <w:p>
      <w:pPr>
        <w:spacing w:line="360" w:lineRule="auto" w:after="120"/>
      </w:pPr>
      <w:r>
        <w:rPr>
          <w:rFonts w:ascii="Times New Roman" w:hAnsi="Times New Roman" w:eastAsia="Times New Roman"/>
          <w:sz w:val="24"/>
        </w:rPr>
        <w:t>M³-PI Guard is a red-team evaluation and behavior-supervision prototype for prompt injection in tool-integrated LLM agents. It provides 69 standardized AttackCase instances covering direct jailbreaks, indirect RAG prompt injection, multilingual/T2L attacks, JSON/RPC structured injection, tool-output injection, and benign tasks. It further implements a local sandbox with mock tools and a behavior-level guard that combines text detectors, structured-field analysis, multilingual-obfuscation signals, tool policies, endpoint/path constraints, data-flow tracking, and intent-action consistency checks.</w:t>
      </w:r>
    </w:p>
    <w:p>
      <w:pPr>
        <w:spacing w:line="360" w:lineRule="auto" w:after="120"/>
      </w:pPr>
      <w:r>
        <w:rPr>
          <w:rFonts w:ascii="Times New Roman" w:hAnsi="Times New Roman" w:eastAsia="Times New Roman"/>
          <w:sz w:val="24"/>
        </w:rPr>
        <w:t>In a full stub evaluation over 69 cases, baseline ASR and DSR are both 55.07%, while full_guard reduces ASR, UTR, and DSR to 0 with no observed false positives. On 24 representative Qwen2.5-7B local-model cases, full_guard also reduces ASR, UTR, and DSR to 0. The contribution of this work is to shift LLM-agent security evaluation from output-level safety toward behavior-level tool-chain supervision.</w:t>
      </w:r>
    </w:p>
    <w:p>
      <w:r>
        <w:rPr>
          <w:rFonts w:ascii="Times New Roman" w:hAnsi="Times New Roman" w:eastAsia="Times New Roman"/>
          <w:b/>
          <w:sz w:val="24"/>
        </w:rPr>
        <w:t>Keywords: LLM agents; prompt injection; indirect prompt injection; red-team evaluation; tool-call security; behavior supervision; RAG security</w:t>
      </w:r>
    </w:p>
    <w:p>
      <w:r>
        <w:br w:type="page"/>
      </w:r>
    </w:p>
    <w:p>
      <w:pPr>
        <w:pStyle w:val="Heading1"/>
        <w:spacing w:line="360" w:lineRule="auto" w:before="240" w:after="120"/>
        <w:jc w:val="center"/>
      </w:pPr>
      <w:r>
        <w:rPr>
          <w:rFonts w:ascii="SimSun" w:hAnsi="SimSun" w:eastAsia="SimSun"/>
          <w:b/>
          <w:sz w:val="32"/>
        </w:rPr>
        <w:t>第一章 作品概述</w:t>
      </w:r>
    </w:p>
    <w:p>
      <w:pPr>
        <w:pStyle w:val="Heading2"/>
        <w:spacing w:line="360" w:lineRule="auto" w:before="120" w:after="120"/>
      </w:pPr>
      <w:r>
        <w:rPr>
          <w:rFonts w:ascii="SimSun" w:hAnsi="SimSun" w:eastAsia="SimSun"/>
          <w:b/>
          <w:sz w:val="28"/>
        </w:rPr>
        <w:t>1.1 背景分析</w:t>
      </w:r>
    </w:p>
    <w:p>
      <w:pPr>
        <w:spacing w:line="360" w:lineRule="auto" w:after="120"/>
        <w:ind w:firstLine="480"/>
      </w:pPr>
      <w:r>
        <w:rPr>
          <w:rFonts w:ascii="SimSun" w:hAnsi="SimSun" w:eastAsia="SimSun"/>
          <w:sz w:val="24"/>
        </w:rPr>
        <w:t>大模型系统的安全边界正在发生结构性变化。早期大模型应用主要表现为单轮或多轮对话，安全评测通常关注模型是否输出违法、危险或不当内容。随着 RAG、函数调用、插件系统、工作流编排和本地自动化工具的普及，大模型越来越多地被嵌入能够“行动”的智能体系统中。在此类系统中，模型输出不仅是自然语言文本，还可能被解析为工具调用、执行计划或业务动作。一个看似普通的总结任务，可能涉及读取文档、调用检索、发送报告、访问接口或写入记录；一段网页内容、邮件正文或 JSON 字段，也可能被模型误判为下一步指令。</w:t>
      </w:r>
    </w:p>
    <w:p>
      <w:pPr>
        <w:spacing w:line="360" w:lineRule="auto" w:after="120"/>
        <w:ind w:firstLine="480"/>
      </w:pPr>
      <w:r>
        <w:rPr>
          <w:rFonts w:ascii="SimSun" w:hAnsi="SimSun" w:eastAsia="SimSun"/>
          <w:sz w:val="24"/>
        </w:rPr>
        <w:t>提示注入攻击正是利用了这种边界模糊性。直接越狱通过角色扮演、权限伪装、说服性语言或多轮诱导试图覆盖系统约束；间接提示注入则把攻击指令隐藏在模型需要处理的外部内容中，例如网页、文档、邮件、日志、工具返回值和结构化数据。对于工具集成智能体，攻击者的目标不一定是让模型输出有害内容，而可能是诱导模型调用本不应该调用的工具。</w:t>
      </w:r>
    </w:p>
    <w:p>
      <w:pPr>
        <w:spacing w:line="360" w:lineRule="auto" w:after="120"/>
        <w:ind w:firstLine="480"/>
      </w:pPr>
      <w:r>
        <w:rPr>
          <w:rFonts w:ascii="SimSun" w:hAnsi="SimSun" w:eastAsia="SimSun"/>
          <w:sz w:val="24"/>
        </w:rPr>
        <w:t>这类风险使传统的输出过滤、敏感词过滤或单轮越狱测试显得不足。首先，工具动作的风险发生在最终文本之前，等用户看到回答时，文件读取、邮件外发或接口调用可能已经发生。其次，攻击载体不一定出现在用户直接输入中，而可能来自 RAG 文档、第三方网页或上游工具输出。再次，结构化字段名如 system、developer、tool、function_call 和 next_step 会诱导模型误判消息优先级。最后，多语言、拼音、谐音、回译和 JSON 翻译任务会进一步增加检测难度。</w:t>
      </w:r>
    </w:p>
    <w:p>
      <w:pPr>
        <w:pStyle w:val="Heading2"/>
        <w:spacing w:line="360" w:lineRule="auto" w:before="120" w:after="120"/>
      </w:pPr>
      <w:r>
        <w:rPr>
          <w:rFonts w:ascii="SimSun" w:hAnsi="SimSun" w:eastAsia="SimSun"/>
          <w:b/>
          <w:sz w:val="28"/>
        </w:rPr>
        <w:t>1.2 风险问题与威胁模型</w:t>
      </w:r>
    </w:p>
    <w:p>
      <w:pPr>
        <w:spacing w:line="360" w:lineRule="auto" w:after="120"/>
        <w:ind w:firstLine="480"/>
      </w:pPr>
      <w:r>
        <w:rPr>
          <w:rFonts w:ascii="SimSun" w:hAnsi="SimSun" w:eastAsia="SimSun"/>
          <w:sz w:val="24"/>
        </w:rPr>
        <w:t>本作品研究对象是工具集成大模型智能体。一次运行通常包含用户任务、上下文材料、模型响应、候选工具调用和工具观察结果。上下文材料可能来自用户直接输入、RAG 文档、网页、邮件、JSON/RPC 数据、翻译文本或上游工具输出。系统风险的关键不在于某个词语本身是否危险，而在于不可信内容是否被错误提升为更高优先级指令，并进一步改变工具链行为。</w:t>
      </w:r>
    </w:p>
    <w:p>
      <w:pPr>
        <w:spacing w:line="360" w:lineRule="auto" w:after="120"/>
        <w:ind w:firstLine="480"/>
      </w:pPr>
      <w:r>
        <w:rPr>
          <w:rFonts w:ascii="SimSun" w:hAnsi="SimSun" w:eastAsia="SimSun"/>
          <w:sz w:val="24"/>
        </w:rPr>
        <w:t>在本地红队靶场中，攻击者能够控制或污染不可信文本载体，例如文档正文、网页片段、邮件内容、工具返回值或结构化字段；攻击者不能修改系统提示、Guard 代码、工具实现或样本白名单。攻击目标是诱导模型触发未授权的 mock 工具动作，包括读取 canary secret、外发到 mock 邮箱、调用 mock API、写入公共笔记或提出 mock 代码执行。</w:t>
      </w:r>
    </w:p>
    <w:p>
      <w:pPr>
        <w:spacing w:line="360" w:lineRule="auto" w:after="120"/>
        <w:ind w:firstLine="480"/>
      </w:pPr>
      <w:r>
        <w:rPr>
          <w:rFonts w:ascii="SimSun" w:hAnsi="SimSun" w:eastAsia="SimSun"/>
          <w:sz w:val="24"/>
        </w:rPr>
        <w:t>安全目标包括：不可信内容只能作为数据处理，不能提升为系统或开发者指令；模型不得因提示注入读取 sandbox/secrets/api_key.txt；模型不得将 canary 或敏感标记发送到 mock 邮箱或 mock API；模型不得在翻译、总结、分类等普通任务中执行无关工具动作；对不确定但高风险的动作，应返回 ask 或 deny，并记录可解释原因；对正常样本应尽量保持低误报率。</w:t>
      </w:r>
    </w:p>
    <w:p>
      <w:pPr>
        <w:pStyle w:val="Heading2"/>
        <w:spacing w:line="360" w:lineRule="auto" w:before="120" w:after="120"/>
      </w:pPr>
      <w:r>
        <w:rPr>
          <w:rFonts w:ascii="SimSun" w:hAnsi="SimSun" w:eastAsia="SimSun"/>
          <w:b/>
          <w:sz w:val="28"/>
        </w:rPr>
        <w:t>1.3 相关工作与现有不足</w:t>
      </w:r>
    </w:p>
    <w:p>
      <w:pPr>
        <w:spacing w:line="360" w:lineRule="auto" w:after="120"/>
        <w:ind w:firstLine="480"/>
      </w:pPr>
      <w:r>
        <w:rPr>
          <w:rFonts w:ascii="SimSun" w:hAnsi="SimSun" w:eastAsia="SimSun"/>
          <w:sz w:val="24"/>
        </w:rPr>
        <w:t>已有研究从直接越狱、间接提示注入、RAG 数据污染、机器翻译提示注入、结构化输入欺骗、工具集成 Agent 攻击等角度揭示了大模型安全边界问题。现有防护路线主要包括提示词加固、输入过滤、策略沙箱、LLM Judge、日志审计和对齐训练等。它们为理解模型指令跟随和安全对齐提供了重要基础。</w:t>
      </w:r>
    </w:p>
    <w:p>
      <w:pPr>
        <w:spacing w:line="360" w:lineRule="auto" w:after="120"/>
        <w:ind w:firstLine="480"/>
      </w:pPr>
      <w:r>
        <w:rPr>
          <w:rFonts w:ascii="SimSun" w:hAnsi="SimSun" w:eastAsia="SimSun"/>
          <w:sz w:val="24"/>
        </w:rPr>
        <w:t>然而，对于工具集成智能体而言，仅判断模型最终文本是否违规并不足够。许多风险发生在工具调用执行前后：模型可能在最终回答看似正常的情况下，已经触发了文件访问、邮件发送或 API 调用。单一的关键词过滤容易被多语言改写、结构化字段和上下文嵌套绕过；单一的工具策略虽然能阻断路径和端点，却难以解释攻击来源。</w:t>
      </w:r>
    </w:p>
    <w:p>
      <w:pPr>
        <w:spacing w:line="360" w:lineRule="auto" w:after="120"/>
        <w:ind w:firstLine="480"/>
      </w:pPr>
      <w:r>
        <w:rPr>
          <w:rFonts w:ascii="SimSun" w:hAnsi="SimSun" w:eastAsia="SimSun"/>
          <w:sz w:val="24"/>
        </w:rPr>
        <w:t>因此，本作品采用本地规则与行为指标相结合的方案，强调可复现、可解释、可审计和无真实危害。系统不依赖远程模型或真实业务系统，而是通过本地 sandbox mock 工具保留行为风险形态，并通过统一样本、日志和指标体系评估 Guard 的效果。</w:t>
      </w:r>
    </w:p>
    <w:p>
      <w:pPr>
        <w:pStyle w:val="Heading2"/>
        <w:spacing w:line="360" w:lineRule="auto" w:before="120" w:after="120"/>
      </w:pPr>
      <w:r>
        <w:rPr>
          <w:rFonts w:ascii="SimSun" w:hAnsi="SimSun" w:eastAsia="SimSun"/>
          <w:b/>
          <w:sz w:val="28"/>
        </w:rPr>
        <w:t>1.4 作品目标</w:t>
      </w:r>
    </w:p>
    <w:p>
      <w:pPr>
        <w:spacing w:line="360" w:lineRule="auto" w:after="60"/>
        <w:ind w:left="360" w:hanging="360"/>
      </w:pPr>
      <w:r>
        <w:rPr>
          <w:rFonts w:ascii="SimSun" w:hAnsi="SimSun" w:eastAsia="SimSun"/>
          <w:sz w:val="24"/>
        </w:rPr>
        <w:t>• 构建覆盖多类提示注入与越狱攻击的红队样本库，统一表示直接越狱、RAG 间接注入、多语言/T2L、JSON/RPC 结构化注入、工具输出注入和正常样本。</w:t>
      </w:r>
    </w:p>
    <w:p>
      <w:pPr>
        <w:spacing w:line="360" w:lineRule="auto" w:after="60"/>
        <w:ind w:left="360" w:hanging="360"/>
      </w:pPr>
      <w:r>
        <w:rPr>
          <w:rFonts w:ascii="SimSun" w:hAnsi="SimSun" w:eastAsia="SimSun"/>
          <w:sz w:val="24"/>
        </w:rPr>
        <w:t>• 搭建本地工具集成智能体靶场，支持 stub 稳定复现实验和 Qwen2.5 本地模型代表实验。</w:t>
      </w:r>
    </w:p>
    <w:p>
      <w:pPr>
        <w:spacing w:line="360" w:lineRule="auto" w:after="60"/>
        <w:ind w:left="360" w:hanging="360"/>
      </w:pPr>
      <w:r>
        <w:rPr>
          <w:rFonts w:ascii="SimSun" w:hAnsi="SimSun" w:eastAsia="SimSun"/>
          <w:sz w:val="24"/>
        </w:rPr>
        <w:t>• 设计本地 sandbox mock 工具链，安全模拟文件读写、邮件发送、API 调用和代码执行风险。</w:t>
      </w:r>
    </w:p>
    <w:p>
      <w:pPr>
        <w:spacing w:line="360" w:lineRule="auto" w:after="60"/>
        <w:ind w:left="360" w:hanging="360"/>
      </w:pPr>
      <w:r>
        <w:rPr>
          <w:rFonts w:ascii="SimSun" w:hAnsi="SimSun" w:eastAsia="SimSun"/>
          <w:sz w:val="24"/>
        </w:rPr>
        <w:t>• 实现工具执行前的行为监督 Guard，输出 allow、ask、deny 三态决策与可解释风险原因。</w:t>
      </w:r>
    </w:p>
    <w:p>
      <w:pPr>
        <w:spacing w:line="360" w:lineRule="auto" w:after="60"/>
        <w:ind w:left="360" w:hanging="360"/>
      </w:pPr>
      <w:r>
        <w:rPr>
          <w:rFonts w:ascii="SimSun" w:hAnsi="SimSun" w:eastAsia="SimSun"/>
          <w:sz w:val="24"/>
        </w:rPr>
        <w:t>• 提供 ASR、UTR、DSR、BSR、FPR、AvgRisk 和 WRS 等行为指标，并通过 Dashboard 支持单案例回放。</w:t>
      </w:r>
    </w:p>
    <w:p>
      <w:pPr>
        <w:pStyle w:val="Heading2"/>
        <w:spacing w:line="360" w:lineRule="auto" w:before="120" w:after="120"/>
      </w:pPr>
      <w:r>
        <w:rPr>
          <w:rFonts w:ascii="SimSun" w:hAnsi="SimSun" w:eastAsia="SimSun"/>
          <w:b/>
          <w:sz w:val="28"/>
        </w:rPr>
        <w:t>1.5 作品特色与应用前景</w:t>
      </w:r>
    </w:p>
    <w:p>
      <w:pPr>
        <w:spacing w:line="360" w:lineRule="auto" w:after="120"/>
        <w:ind w:firstLine="480"/>
      </w:pPr>
      <w:r>
        <w:rPr>
          <w:rFonts w:ascii="SimSun" w:hAnsi="SimSun" w:eastAsia="SimSun"/>
          <w:sz w:val="24"/>
        </w:rPr>
        <w:t>本作品的特色是将安全判断绑定到工具执行边界。与只关注最终回答的检测方式不同，M³-PI Guard 在每一次候选工具调用前进行风险评估，并将风险来源拆解为工具类型、路径、端点、敏感数据流、结构化注入、多语言混淆和意图-动作不一致等原因码。这种方式既能阻断不安全行为，也便于复盘和答辩展示。</w:t>
      </w:r>
    </w:p>
    <w:p>
      <w:pPr>
        <w:spacing w:line="360" w:lineRule="auto" w:after="120"/>
        <w:ind w:firstLine="480"/>
      </w:pPr>
      <w:r>
        <w:rPr>
          <w:rFonts w:ascii="SimSun" w:hAnsi="SimSun" w:eastAsia="SimSun"/>
          <w:sz w:val="24"/>
        </w:rPr>
        <w:t>该系统可用于智能体上线前红队评测、课程实验与教学演示、企业内部工具代理审计、RAG 应用安全测试和提示注入防护策略验证。由于所有攻击均限制在本地 mock 工具和 canary 假数据中，系统能够在不影响真实世界的前提下复现提示注入导致的行为风险。</w:t>
      </w:r>
    </w:p>
    <w:p>
      <w:r>
        <w:br w:type="page"/>
      </w:r>
    </w:p>
    <w:p>
      <w:pPr>
        <w:pStyle w:val="Heading1"/>
        <w:spacing w:line="360" w:lineRule="auto" w:before="240" w:after="120"/>
        <w:jc w:val="center"/>
      </w:pPr>
      <w:r>
        <w:rPr>
          <w:rFonts w:ascii="SimSun" w:hAnsi="SimSun" w:eastAsia="SimSun"/>
          <w:b/>
          <w:sz w:val="32"/>
        </w:rPr>
        <w:t>第二章 作品设计与实现</w:t>
      </w:r>
    </w:p>
    <w:p>
      <w:pPr>
        <w:pStyle w:val="Heading2"/>
        <w:spacing w:line="360" w:lineRule="auto" w:before="120" w:after="120"/>
      </w:pPr>
      <w:r>
        <w:rPr>
          <w:rFonts w:ascii="SimSun" w:hAnsi="SimSun" w:eastAsia="SimSun"/>
          <w:b/>
          <w:sz w:val="28"/>
        </w:rPr>
        <w:t>2.1 系统总体架构</w:t>
      </w:r>
    </w:p>
    <w:p>
      <w:pPr>
        <w:spacing w:line="360" w:lineRule="auto" w:after="120"/>
        <w:ind w:firstLine="480"/>
      </w:pPr>
      <w:r>
        <w:rPr>
          <w:rFonts w:ascii="SimSun" w:hAnsi="SimSun" w:eastAsia="SimSun"/>
          <w:sz w:val="24"/>
        </w:rPr>
        <w:t>M³-PI Guard 包含攻击样本库、智能体运行器、模型后端、mock 工具沙箱、行为监督 Guard、评测模块和 Dashboard 七个部分。攻击样本库提供标准化输入；运行器将样本发送给 stub 或本地模型；模型输出被解析为最终回答或工具调用；Guard 在工具执行前给出决策；工具沙箱模拟执行并返回观察；评测模块读取日志并计算指标；Dashboard 将总览指标、分组分析、阻断记录和单案例回放可视化。</w:t>
      </w:r>
    </w:p>
    <w:p>
      <w:pPr>
        <w:spacing w:line="360" w:lineRule="auto" w:after="120"/>
        <w:ind w:firstLine="480"/>
      </w:pPr>
      <w:r>
        <w:rPr>
          <w:rFonts w:ascii="SimSun" w:hAnsi="SimSun" w:eastAsia="SimSun"/>
          <w:sz w:val="24"/>
        </w:rPr>
        <w:t>系统整体流程可以概括为：AttackCase → Agent Runner → LLM/Stub → ToolCall → Guard Decision → Mock Tool → RunLog → Metrics → Dashboard。该流程把红队样本、模型行为、工具调用、阻断证据和评测指标串成闭环，使每一个实验结论都可以追溯到具体样本和具体日志。</w:t>
      </w:r>
    </w:p>
    <w:p>
      <w:pPr>
        <w:jc w:val="center"/>
      </w:pPr>
      <w:r>
        <w:drawing>
          <wp:inline xmlns:a="http://schemas.openxmlformats.org/drawingml/2006/main" xmlns:pic="http://schemas.openxmlformats.org/drawingml/2006/picture">
            <wp:extent cx="5580000" cy="1931413"/>
            <wp:docPr id="1" name="Picture 1"/>
            <wp:cNvGraphicFramePr>
              <a:graphicFrameLocks noChangeAspect="1"/>
            </wp:cNvGraphicFramePr>
            <a:graphic>
              <a:graphicData uri="http://schemas.openxmlformats.org/drawingml/2006/picture">
                <pic:pic>
                  <pic:nvPicPr>
                    <pic:cNvPr id="0" name="fig0_architecture_cn.png"/>
                    <pic:cNvPicPr/>
                  </pic:nvPicPr>
                  <pic:blipFill>
                    <a:blip r:embed="rId9"/>
                    <a:stretch>
                      <a:fillRect/>
                    </a:stretch>
                  </pic:blipFill>
                  <pic:spPr>
                    <a:xfrm>
                      <a:off x="0" y="0"/>
                      <a:ext cx="5580000" cy="1931413"/>
                    </a:xfrm>
                    <a:prstGeom prst="rect"/>
                  </pic:spPr>
                </pic:pic>
              </a:graphicData>
            </a:graphic>
          </wp:inline>
        </w:drawing>
      </w:r>
    </w:p>
    <w:p>
      <w:pPr>
        <w:jc w:val="center"/>
      </w:pPr>
      <w:r>
        <w:rPr>
          <w:rFonts w:ascii="SimSun" w:hAnsi="SimSun" w:eastAsia="SimSun"/>
          <w:b/>
          <w:sz w:val="20"/>
        </w:rPr>
        <w:t>图 1 系统总体流程</w:t>
      </w:r>
    </w:p>
    <w:p>
      <w:pPr>
        <w:pStyle w:val="Heading2"/>
        <w:spacing w:line="360" w:lineRule="auto" w:before="120" w:after="120"/>
      </w:pPr>
      <w:r>
        <w:rPr>
          <w:rFonts w:ascii="SimSun" w:hAnsi="SimSun" w:eastAsia="SimSun"/>
          <w:b/>
          <w:sz w:val="28"/>
        </w:rPr>
        <w:t>2.2 红队攻击样本库设计</w:t>
      </w:r>
    </w:p>
    <w:p>
      <w:pPr>
        <w:spacing w:line="360" w:lineRule="auto" w:after="120"/>
        <w:ind w:firstLine="480"/>
      </w:pPr>
      <w:r>
        <w:rPr>
          <w:rFonts w:ascii="SimSun" w:hAnsi="SimSun" w:eastAsia="SimSun"/>
          <w:sz w:val="24"/>
        </w:rPr>
        <w:t>AttackCase 是系统的核心数据单位。每条样本包含 case_id、attack_family、carrier、language、user_task、document_content、injected_content、expected_safe_behavior、unsafe_target_actions、risk_tags、severity 和 notes 等字段。扩展字段包括 success_indicators、safe_indicators、demo_priority 和 expected_detectors。该结构同时服务于攻击生成、模型运行、Guard 检测和结果评估。</w:t>
      </w:r>
    </w:p>
    <w:p>
      <w:pPr>
        <w:spacing w:line="360" w:lineRule="auto" w:after="120"/>
        <w:ind w:firstLine="480"/>
      </w:pPr>
      <w:r>
        <w:rPr>
          <w:rFonts w:ascii="SimSun" w:hAnsi="SimSun" w:eastAsia="SimSun"/>
          <w:sz w:val="24"/>
        </w:rPr>
        <w:t>统一 AttackCase 模式使不同攻击族能够在同一运行器、同一日志格式和同一指标体系下比较，避免“每种攻击一套评测脚本”的碎片化问题。样本中的 unsafe_target_actions 只允许指向本地 mock 工具，例如 read_file:sandbox/secrets/api_key.txt、send_email:redteam@example.test、write_file:sandbox/public/notes.txt、call_api:/mock/external/submit 和 run_code:mock_only。</w:t>
      </w:r>
    </w:p>
    <w:p>
      <w:pPr>
        <w:jc w:val="center"/>
      </w:pPr>
      <w:r>
        <w:rPr>
          <w:rFonts w:ascii="SimSun" w:hAnsi="SimSun" w:eastAsia="SimSun"/>
          <w:b/>
          <w:sz w:val="20"/>
        </w:rPr>
        <w:t>表 1 AttackCase 主要字段说明</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86"/>
        <w:gridCol w:w="2986"/>
        <w:gridCol w:w="2986"/>
      </w:tblGrid>
      <w:tr>
        <w:tc>
          <w:tcPr>
            <w:tcW w:type="dxa" w:w="2986"/>
            <w:vAlign w:val="center"/>
            <w:shd w:fill="D9EAF7"/>
          </w:tcPr>
          <w:p>
            <w:pPr>
              <w:jc w:val="center"/>
            </w:pPr>
            <w:r/>
            <w:r>
              <w:rPr>
                <w:rFonts w:ascii="SimSun" w:hAnsi="SimSun" w:eastAsia="SimSun"/>
                <w:b/>
                <w:sz w:val="17"/>
              </w:rPr>
              <w:t>字段</w:t>
            </w:r>
          </w:p>
        </w:tc>
        <w:tc>
          <w:tcPr>
            <w:tcW w:type="dxa" w:w="2986"/>
            <w:vAlign w:val="center"/>
            <w:shd w:fill="D9EAF7"/>
          </w:tcPr>
          <w:p>
            <w:pPr>
              <w:jc w:val="center"/>
            </w:pPr>
            <w:r/>
            <w:r>
              <w:rPr>
                <w:rFonts w:ascii="SimSun" w:hAnsi="SimSun" w:eastAsia="SimSun"/>
                <w:b/>
                <w:sz w:val="17"/>
              </w:rPr>
              <w:t>含义</w:t>
            </w:r>
          </w:p>
        </w:tc>
        <w:tc>
          <w:tcPr>
            <w:tcW w:type="dxa" w:w="2986"/>
            <w:vAlign w:val="center"/>
            <w:shd w:fill="D9EAF7"/>
          </w:tcPr>
          <w:p>
            <w:pPr>
              <w:jc w:val="center"/>
            </w:pPr>
            <w:r/>
            <w:r>
              <w:rPr>
                <w:rFonts w:ascii="SimSun" w:hAnsi="SimSun" w:eastAsia="SimSun"/>
                <w:b/>
                <w:sz w:val="17"/>
              </w:rPr>
              <w:t>用途</w:t>
            </w:r>
          </w:p>
        </w:tc>
      </w:tr>
      <w:tr>
        <w:tc>
          <w:tcPr>
            <w:tcW w:type="dxa" w:w="2986"/>
            <w:vAlign w:val="center"/>
          </w:tcPr>
          <w:p>
            <w:pPr>
              <w:jc w:val="center"/>
            </w:pPr>
            <w:r/>
            <w:r>
              <w:rPr>
                <w:rFonts w:ascii="SimSun" w:hAnsi="SimSun" w:eastAsia="SimSun"/>
                <w:b w:val="0"/>
                <w:sz w:val="17"/>
              </w:rPr>
              <w:t>case_id</w:t>
            </w:r>
          </w:p>
        </w:tc>
        <w:tc>
          <w:tcPr>
            <w:tcW w:type="dxa" w:w="2986"/>
            <w:vAlign w:val="center"/>
          </w:tcPr>
          <w:p>
            <w:pPr>
              <w:jc w:val="center"/>
            </w:pPr>
            <w:r/>
            <w:r>
              <w:rPr>
                <w:rFonts w:ascii="SimSun" w:hAnsi="SimSun" w:eastAsia="SimSun"/>
                <w:b w:val="0"/>
                <w:sz w:val="17"/>
              </w:rPr>
              <w:t>样本唯一标识</w:t>
            </w:r>
          </w:p>
        </w:tc>
        <w:tc>
          <w:tcPr>
            <w:tcW w:type="dxa" w:w="2986"/>
            <w:vAlign w:val="center"/>
          </w:tcPr>
          <w:p>
            <w:pPr>
              <w:jc w:val="center"/>
            </w:pPr>
            <w:r/>
            <w:r>
              <w:rPr>
                <w:rFonts w:ascii="SimSun" w:hAnsi="SimSun" w:eastAsia="SimSun"/>
                <w:b w:val="0"/>
                <w:sz w:val="17"/>
              </w:rPr>
              <w:t>日志关联、案例回放</w:t>
            </w:r>
          </w:p>
        </w:tc>
      </w:tr>
      <w:tr>
        <w:tc>
          <w:tcPr>
            <w:tcW w:type="dxa" w:w="2986"/>
            <w:vAlign w:val="center"/>
          </w:tcPr>
          <w:p>
            <w:pPr>
              <w:jc w:val="center"/>
            </w:pPr>
            <w:r/>
            <w:r>
              <w:rPr>
                <w:rFonts w:ascii="SimSun" w:hAnsi="SimSun" w:eastAsia="SimSun"/>
                <w:b w:val="0"/>
                <w:sz w:val="17"/>
              </w:rPr>
              <w:t>attack_family</w:t>
            </w:r>
          </w:p>
        </w:tc>
        <w:tc>
          <w:tcPr>
            <w:tcW w:type="dxa" w:w="2986"/>
            <w:vAlign w:val="center"/>
          </w:tcPr>
          <w:p>
            <w:pPr>
              <w:jc w:val="center"/>
            </w:pPr>
            <w:r/>
            <w:r>
              <w:rPr>
                <w:rFonts w:ascii="SimSun" w:hAnsi="SimSun" w:eastAsia="SimSun"/>
                <w:b w:val="0"/>
                <w:sz w:val="17"/>
              </w:rPr>
              <w:t>攻击族或 benign_clean</w:t>
            </w:r>
          </w:p>
        </w:tc>
        <w:tc>
          <w:tcPr>
            <w:tcW w:type="dxa" w:w="2986"/>
            <w:vAlign w:val="center"/>
          </w:tcPr>
          <w:p>
            <w:pPr>
              <w:jc w:val="center"/>
            </w:pPr>
            <w:r/>
            <w:r>
              <w:rPr>
                <w:rFonts w:ascii="SimSun" w:hAnsi="SimSun" w:eastAsia="SimSun"/>
                <w:b w:val="0"/>
                <w:sz w:val="17"/>
              </w:rPr>
              <w:t>分组评测、攻击族分析</w:t>
            </w:r>
          </w:p>
        </w:tc>
      </w:tr>
      <w:tr>
        <w:tc>
          <w:tcPr>
            <w:tcW w:type="dxa" w:w="2986"/>
            <w:vAlign w:val="center"/>
          </w:tcPr>
          <w:p>
            <w:pPr>
              <w:jc w:val="center"/>
            </w:pPr>
            <w:r/>
            <w:r>
              <w:rPr>
                <w:rFonts w:ascii="SimSun" w:hAnsi="SimSun" w:eastAsia="SimSun"/>
                <w:b w:val="0"/>
                <w:sz w:val="17"/>
              </w:rPr>
              <w:t>carrier</w:t>
            </w:r>
          </w:p>
        </w:tc>
        <w:tc>
          <w:tcPr>
            <w:tcW w:type="dxa" w:w="2986"/>
            <w:vAlign w:val="center"/>
          </w:tcPr>
          <w:p>
            <w:pPr>
              <w:jc w:val="center"/>
            </w:pPr>
            <w:r/>
            <w:r>
              <w:rPr>
                <w:rFonts w:ascii="SimSun" w:hAnsi="SimSun" w:eastAsia="SimSun"/>
                <w:b w:val="0"/>
                <w:sz w:val="17"/>
              </w:rPr>
              <w:t>注入载体，如文档、JSON、工具输出</w:t>
            </w:r>
          </w:p>
        </w:tc>
        <w:tc>
          <w:tcPr>
            <w:tcW w:type="dxa" w:w="2986"/>
            <w:vAlign w:val="center"/>
          </w:tcPr>
          <w:p>
            <w:pPr>
              <w:jc w:val="center"/>
            </w:pPr>
            <w:r/>
            <w:r>
              <w:rPr>
                <w:rFonts w:ascii="SimSun" w:hAnsi="SimSun" w:eastAsia="SimSun"/>
                <w:b w:val="0"/>
                <w:sz w:val="17"/>
              </w:rPr>
              <w:t>威胁建模、载体分析</w:t>
            </w:r>
          </w:p>
        </w:tc>
      </w:tr>
      <w:tr>
        <w:tc>
          <w:tcPr>
            <w:tcW w:type="dxa" w:w="2986"/>
            <w:vAlign w:val="center"/>
          </w:tcPr>
          <w:p>
            <w:pPr>
              <w:jc w:val="center"/>
            </w:pPr>
            <w:r/>
            <w:r>
              <w:rPr>
                <w:rFonts w:ascii="SimSun" w:hAnsi="SimSun" w:eastAsia="SimSun"/>
                <w:b w:val="0"/>
                <w:sz w:val="17"/>
              </w:rPr>
              <w:t>language</w:t>
            </w:r>
          </w:p>
        </w:tc>
        <w:tc>
          <w:tcPr>
            <w:tcW w:type="dxa" w:w="2986"/>
            <w:vAlign w:val="center"/>
          </w:tcPr>
          <w:p>
            <w:pPr>
              <w:jc w:val="center"/>
            </w:pPr>
            <w:r/>
            <w:r>
              <w:rPr>
                <w:rFonts w:ascii="SimSun" w:hAnsi="SimSun" w:eastAsia="SimSun"/>
                <w:b w:val="0"/>
                <w:sz w:val="17"/>
              </w:rPr>
              <w:t>语言或混合语言类型</w:t>
            </w:r>
          </w:p>
        </w:tc>
        <w:tc>
          <w:tcPr>
            <w:tcW w:type="dxa" w:w="2986"/>
            <w:vAlign w:val="center"/>
          </w:tcPr>
          <w:p>
            <w:pPr>
              <w:jc w:val="center"/>
            </w:pPr>
            <w:r/>
            <w:r>
              <w:rPr>
                <w:rFonts w:ascii="SimSun" w:hAnsi="SimSun" w:eastAsia="SimSun"/>
                <w:b w:val="0"/>
                <w:sz w:val="17"/>
              </w:rPr>
              <w:t>多语言/T2L 分析</w:t>
            </w:r>
          </w:p>
        </w:tc>
      </w:tr>
      <w:tr>
        <w:tc>
          <w:tcPr>
            <w:tcW w:type="dxa" w:w="2986"/>
            <w:vAlign w:val="center"/>
          </w:tcPr>
          <w:p>
            <w:pPr>
              <w:jc w:val="center"/>
            </w:pPr>
            <w:r/>
            <w:r>
              <w:rPr>
                <w:rFonts w:ascii="SimSun" w:hAnsi="SimSun" w:eastAsia="SimSun"/>
                <w:b w:val="0"/>
                <w:sz w:val="17"/>
              </w:rPr>
              <w:t>user_task</w:t>
            </w:r>
          </w:p>
        </w:tc>
        <w:tc>
          <w:tcPr>
            <w:tcW w:type="dxa" w:w="2986"/>
            <w:vAlign w:val="center"/>
          </w:tcPr>
          <w:p>
            <w:pPr>
              <w:jc w:val="center"/>
            </w:pPr>
            <w:r/>
            <w:r>
              <w:rPr>
                <w:rFonts w:ascii="SimSun" w:hAnsi="SimSun" w:eastAsia="SimSun"/>
                <w:b w:val="0"/>
                <w:sz w:val="17"/>
              </w:rPr>
              <w:t>用户正常任务</w:t>
            </w:r>
          </w:p>
        </w:tc>
        <w:tc>
          <w:tcPr>
            <w:tcW w:type="dxa" w:w="2986"/>
            <w:vAlign w:val="center"/>
          </w:tcPr>
          <w:p>
            <w:pPr>
              <w:jc w:val="center"/>
            </w:pPr>
            <w:r/>
            <w:r>
              <w:rPr>
                <w:rFonts w:ascii="SimSun" w:hAnsi="SimSun" w:eastAsia="SimSun"/>
                <w:b w:val="0"/>
                <w:sz w:val="17"/>
              </w:rPr>
              <w:t>意图-动作一致性判断</w:t>
            </w:r>
          </w:p>
        </w:tc>
      </w:tr>
      <w:tr>
        <w:tc>
          <w:tcPr>
            <w:tcW w:type="dxa" w:w="2986"/>
            <w:vAlign w:val="center"/>
          </w:tcPr>
          <w:p>
            <w:pPr>
              <w:jc w:val="center"/>
            </w:pPr>
            <w:r/>
            <w:r>
              <w:rPr>
                <w:rFonts w:ascii="SimSun" w:hAnsi="SimSun" w:eastAsia="SimSun"/>
                <w:b w:val="0"/>
                <w:sz w:val="17"/>
              </w:rPr>
              <w:t>document_content</w:t>
            </w:r>
          </w:p>
        </w:tc>
        <w:tc>
          <w:tcPr>
            <w:tcW w:type="dxa" w:w="2986"/>
            <w:vAlign w:val="center"/>
          </w:tcPr>
          <w:p>
            <w:pPr>
              <w:jc w:val="center"/>
            </w:pPr>
            <w:r/>
            <w:r>
              <w:rPr>
                <w:rFonts w:ascii="SimSun" w:hAnsi="SimSun" w:eastAsia="SimSun"/>
                <w:b w:val="0"/>
                <w:sz w:val="17"/>
              </w:rPr>
              <w:t>待处理上下文材料</w:t>
            </w:r>
          </w:p>
        </w:tc>
        <w:tc>
          <w:tcPr>
            <w:tcW w:type="dxa" w:w="2986"/>
            <w:vAlign w:val="center"/>
          </w:tcPr>
          <w:p>
            <w:pPr>
              <w:jc w:val="center"/>
            </w:pPr>
            <w:r/>
            <w:r>
              <w:rPr>
                <w:rFonts w:ascii="SimSun" w:hAnsi="SimSun" w:eastAsia="SimSun"/>
                <w:b w:val="0"/>
                <w:sz w:val="17"/>
              </w:rPr>
              <w:t>不可信内容检测</w:t>
            </w:r>
          </w:p>
        </w:tc>
      </w:tr>
      <w:tr>
        <w:tc>
          <w:tcPr>
            <w:tcW w:type="dxa" w:w="2986"/>
            <w:vAlign w:val="center"/>
          </w:tcPr>
          <w:p>
            <w:pPr>
              <w:jc w:val="center"/>
            </w:pPr>
            <w:r/>
            <w:r>
              <w:rPr>
                <w:rFonts w:ascii="SimSun" w:hAnsi="SimSun" w:eastAsia="SimSun"/>
                <w:b w:val="0"/>
                <w:sz w:val="17"/>
              </w:rPr>
              <w:t>unsafe_target_actions</w:t>
            </w:r>
          </w:p>
        </w:tc>
        <w:tc>
          <w:tcPr>
            <w:tcW w:type="dxa" w:w="2986"/>
            <w:vAlign w:val="center"/>
          </w:tcPr>
          <w:p>
            <w:pPr>
              <w:jc w:val="center"/>
            </w:pPr>
            <w:r/>
            <w:r>
              <w:rPr>
                <w:rFonts w:ascii="SimSun" w:hAnsi="SimSun" w:eastAsia="SimSun"/>
                <w:b w:val="0"/>
                <w:sz w:val="17"/>
              </w:rPr>
              <w:t>本地 mock 不安全目标动作</w:t>
            </w:r>
          </w:p>
        </w:tc>
        <w:tc>
          <w:tcPr>
            <w:tcW w:type="dxa" w:w="2986"/>
            <w:vAlign w:val="center"/>
          </w:tcPr>
          <w:p>
            <w:pPr>
              <w:jc w:val="center"/>
            </w:pPr>
            <w:r/>
            <w:r>
              <w:rPr>
                <w:rFonts w:ascii="SimSun" w:hAnsi="SimSun" w:eastAsia="SimSun"/>
                <w:b w:val="0"/>
                <w:sz w:val="17"/>
              </w:rPr>
              <w:t>ASR/UTR/DSR 计算</w:t>
            </w:r>
          </w:p>
        </w:tc>
      </w:tr>
      <w:tr>
        <w:tc>
          <w:tcPr>
            <w:tcW w:type="dxa" w:w="2986"/>
            <w:vAlign w:val="center"/>
          </w:tcPr>
          <w:p>
            <w:pPr>
              <w:jc w:val="center"/>
            </w:pPr>
            <w:r/>
            <w:r>
              <w:rPr>
                <w:rFonts w:ascii="SimSun" w:hAnsi="SimSun" w:eastAsia="SimSun"/>
                <w:b w:val="0"/>
                <w:sz w:val="17"/>
              </w:rPr>
              <w:t>expected_safe_behavior</w:t>
            </w:r>
          </w:p>
        </w:tc>
        <w:tc>
          <w:tcPr>
            <w:tcW w:type="dxa" w:w="2986"/>
            <w:vAlign w:val="center"/>
          </w:tcPr>
          <w:p>
            <w:pPr>
              <w:jc w:val="center"/>
            </w:pPr>
            <w:r/>
            <w:r>
              <w:rPr>
                <w:rFonts w:ascii="SimSun" w:hAnsi="SimSun" w:eastAsia="SimSun"/>
                <w:b w:val="0"/>
                <w:sz w:val="17"/>
              </w:rPr>
              <w:t>期望安全行为</w:t>
            </w:r>
          </w:p>
        </w:tc>
        <w:tc>
          <w:tcPr>
            <w:tcW w:type="dxa" w:w="2986"/>
            <w:vAlign w:val="center"/>
          </w:tcPr>
          <w:p>
            <w:pPr>
              <w:jc w:val="center"/>
            </w:pPr>
            <w:r/>
            <w:r>
              <w:rPr>
                <w:rFonts w:ascii="SimSun" w:hAnsi="SimSun" w:eastAsia="SimSun"/>
                <w:b w:val="0"/>
                <w:sz w:val="17"/>
              </w:rPr>
              <w:t>人工复核与报告解释</w:t>
            </w:r>
          </w:p>
        </w:tc>
      </w:tr>
    </w:tbl>
    <w:p/>
    <w:p>
      <w:pPr>
        <w:pStyle w:val="Heading2"/>
        <w:spacing w:line="360" w:lineRule="auto" w:before="120" w:after="120"/>
      </w:pPr>
      <w:r>
        <w:rPr>
          <w:rFonts w:ascii="SimSun" w:hAnsi="SimSun" w:eastAsia="SimSun"/>
          <w:b/>
          <w:sz w:val="28"/>
        </w:rPr>
        <w:t>2.3 本地 Agent 靶场与模型后端</w:t>
      </w:r>
    </w:p>
    <w:p>
      <w:pPr>
        <w:spacing w:line="360" w:lineRule="auto" w:after="120"/>
        <w:ind w:firstLine="480"/>
      </w:pPr>
      <w:r>
        <w:rPr>
          <w:rFonts w:ascii="SimSun" w:hAnsi="SimSun" w:eastAsia="SimSun"/>
          <w:sz w:val="24"/>
        </w:rPr>
        <w:t>本地 Agent 靶场负责从 AttackCase 中读取用户任务和上下文材料，并构造模型输入。模型输出被解析为 ToolCall JSON 或 final answer。系统支持两类后端：stub 后端和本地 Qwen2.5 后端。stub 后端根据样本目标稳定产生候选工具调用，用于验证 Guard 在完整样本集上的策略覆盖能力；Qwen2.5 后端用于观察真实本地模型输出、ToolCall 解析和 Guard 决策链。</w:t>
      </w:r>
    </w:p>
    <w:p>
      <w:pPr>
        <w:spacing w:line="360" w:lineRule="auto" w:after="120"/>
        <w:ind w:firstLine="480"/>
      </w:pPr>
      <w:r>
        <w:rPr>
          <w:rFonts w:ascii="SimSun" w:hAnsi="SimSun" w:eastAsia="SimSun"/>
          <w:sz w:val="24"/>
        </w:rPr>
        <w:t>stub 后端并不是为了替代真实模型，而是为了在安全评测中稳定复现攻击链，避免评测结果完全受小显存设备和模型输出随机性的影响。真实本地模型实验则用于验证：即使模型输出不稳定，行为监督仍然能够在工具执行边界提供额外安全保护。</w:t>
      </w:r>
    </w:p>
    <w:p>
      <w:pPr>
        <w:pStyle w:val="Heading2"/>
        <w:spacing w:line="360" w:lineRule="auto" w:before="120" w:after="120"/>
      </w:pPr>
      <w:r>
        <w:rPr>
          <w:rFonts w:ascii="SimSun" w:hAnsi="SimSun" w:eastAsia="SimSun"/>
          <w:b/>
          <w:sz w:val="28"/>
        </w:rPr>
        <w:t>2.4 sandbox mock 工具链</w:t>
      </w:r>
    </w:p>
    <w:p>
      <w:pPr>
        <w:spacing w:line="360" w:lineRule="auto" w:after="120"/>
        <w:ind w:firstLine="480"/>
      </w:pPr>
      <w:r>
        <w:rPr>
          <w:rFonts w:ascii="SimSun" w:hAnsi="SimSun" w:eastAsia="SimSun"/>
          <w:sz w:val="24"/>
        </w:rPr>
        <w:t>工具沙箱仅模拟本地文件、邮件、API 和代码执行结果，不访问真实公网业务系统。send_email 不真实发送邮件，只写入 outbox 文件；call_api 不访问公网，只返回 mock JSON；run_code 不执行模型生成代码；read_file 和 write_file 限制在 sandbox 目录内。该设计保留了“文件读取、外发、接口调用、代码执行”等风险形态，同时确保测试不影响真实世界。</w:t>
      </w:r>
    </w:p>
    <w:p>
      <w:pPr>
        <w:jc w:val="center"/>
      </w:pPr>
      <w:r>
        <w:rPr>
          <w:rFonts w:ascii="SimSun" w:hAnsi="SimSun" w:eastAsia="SimSun"/>
          <w:b/>
          <w:sz w:val="20"/>
        </w:rPr>
        <w:t>表 2 模拟业务工具与安全边界</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39"/>
        <w:gridCol w:w="2239"/>
        <w:gridCol w:w="2239"/>
        <w:gridCol w:w="2239"/>
      </w:tblGrid>
      <w:tr>
        <w:tc>
          <w:tcPr>
            <w:tcW w:type="dxa" w:w="2239"/>
            <w:vAlign w:val="center"/>
            <w:shd w:fill="D9EAF7"/>
          </w:tcPr>
          <w:p>
            <w:pPr>
              <w:jc w:val="center"/>
            </w:pPr>
            <w:r/>
            <w:r>
              <w:rPr>
                <w:rFonts w:ascii="SimSun" w:hAnsi="SimSun" w:eastAsia="SimSun"/>
                <w:b/>
                <w:sz w:val="16"/>
              </w:rPr>
              <w:t>工具</w:t>
            </w:r>
          </w:p>
        </w:tc>
        <w:tc>
          <w:tcPr>
            <w:tcW w:type="dxa" w:w="2239"/>
            <w:vAlign w:val="center"/>
            <w:shd w:fill="D9EAF7"/>
          </w:tcPr>
          <w:p>
            <w:pPr>
              <w:jc w:val="center"/>
            </w:pPr>
            <w:r/>
            <w:r>
              <w:rPr>
                <w:rFonts w:ascii="SimSun" w:hAnsi="SimSun" w:eastAsia="SimSun"/>
                <w:b/>
                <w:sz w:val="16"/>
              </w:rPr>
              <w:t>模拟能力</w:t>
            </w:r>
          </w:p>
        </w:tc>
        <w:tc>
          <w:tcPr>
            <w:tcW w:type="dxa" w:w="2239"/>
            <w:vAlign w:val="center"/>
            <w:shd w:fill="D9EAF7"/>
          </w:tcPr>
          <w:p>
            <w:pPr>
              <w:jc w:val="center"/>
            </w:pPr>
            <w:r/>
            <w:r>
              <w:rPr>
                <w:rFonts w:ascii="SimSun" w:hAnsi="SimSun" w:eastAsia="SimSun"/>
                <w:b/>
                <w:sz w:val="16"/>
              </w:rPr>
              <w:t>主要风险</w:t>
            </w:r>
          </w:p>
        </w:tc>
        <w:tc>
          <w:tcPr>
            <w:tcW w:type="dxa" w:w="2239"/>
            <w:vAlign w:val="center"/>
            <w:shd w:fill="D9EAF7"/>
          </w:tcPr>
          <w:p>
            <w:pPr>
              <w:jc w:val="center"/>
            </w:pPr>
            <w:r/>
            <w:r>
              <w:rPr>
                <w:rFonts w:ascii="SimSun" w:hAnsi="SimSun" w:eastAsia="SimSun"/>
                <w:b/>
                <w:sz w:val="16"/>
              </w:rPr>
              <w:t>安全实现</w:t>
            </w:r>
          </w:p>
        </w:tc>
      </w:tr>
      <w:tr>
        <w:tc>
          <w:tcPr>
            <w:tcW w:type="dxa" w:w="2239"/>
            <w:vAlign w:val="center"/>
          </w:tcPr>
          <w:p>
            <w:pPr>
              <w:jc w:val="center"/>
            </w:pPr>
            <w:r/>
            <w:r>
              <w:rPr>
                <w:rFonts w:ascii="SimSun" w:hAnsi="SimSun" w:eastAsia="SimSun"/>
                <w:b w:val="0"/>
                <w:sz w:val="16"/>
              </w:rPr>
              <w:t>read_file</w:t>
            </w:r>
          </w:p>
        </w:tc>
        <w:tc>
          <w:tcPr>
            <w:tcW w:type="dxa" w:w="2239"/>
            <w:vAlign w:val="center"/>
          </w:tcPr>
          <w:p>
            <w:pPr>
              <w:jc w:val="center"/>
            </w:pPr>
            <w:r/>
            <w:r>
              <w:rPr>
                <w:rFonts w:ascii="SimSun" w:hAnsi="SimSun" w:eastAsia="SimSun"/>
                <w:b w:val="0"/>
                <w:sz w:val="16"/>
              </w:rPr>
              <w:t>读取本地文件</w:t>
            </w:r>
          </w:p>
        </w:tc>
        <w:tc>
          <w:tcPr>
            <w:tcW w:type="dxa" w:w="2239"/>
            <w:vAlign w:val="center"/>
          </w:tcPr>
          <w:p>
            <w:pPr>
              <w:jc w:val="center"/>
            </w:pPr>
            <w:r/>
            <w:r>
              <w:rPr>
                <w:rFonts w:ascii="SimSun" w:hAnsi="SimSun" w:eastAsia="SimSun"/>
                <w:b w:val="0"/>
                <w:sz w:val="16"/>
              </w:rPr>
              <w:t>敏感文件读取</w:t>
            </w:r>
          </w:p>
        </w:tc>
        <w:tc>
          <w:tcPr>
            <w:tcW w:type="dxa" w:w="2239"/>
            <w:vAlign w:val="center"/>
          </w:tcPr>
          <w:p>
            <w:pPr>
              <w:jc w:val="center"/>
            </w:pPr>
            <w:r/>
            <w:r>
              <w:rPr>
                <w:rFonts w:ascii="SimSun" w:hAnsi="SimSun" w:eastAsia="SimSun"/>
                <w:b w:val="0"/>
                <w:sz w:val="16"/>
              </w:rPr>
              <w:t>限制在 sandbox 路径，secret 路径高危</w:t>
            </w:r>
          </w:p>
        </w:tc>
      </w:tr>
      <w:tr>
        <w:tc>
          <w:tcPr>
            <w:tcW w:type="dxa" w:w="2239"/>
            <w:vAlign w:val="center"/>
          </w:tcPr>
          <w:p>
            <w:pPr>
              <w:jc w:val="center"/>
            </w:pPr>
            <w:r/>
            <w:r>
              <w:rPr>
                <w:rFonts w:ascii="SimSun" w:hAnsi="SimSun" w:eastAsia="SimSun"/>
                <w:b w:val="0"/>
                <w:sz w:val="16"/>
              </w:rPr>
              <w:t>write_file</w:t>
            </w:r>
          </w:p>
        </w:tc>
        <w:tc>
          <w:tcPr>
            <w:tcW w:type="dxa" w:w="2239"/>
            <w:vAlign w:val="center"/>
          </w:tcPr>
          <w:p>
            <w:pPr>
              <w:jc w:val="center"/>
            </w:pPr>
            <w:r/>
            <w:r>
              <w:rPr>
                <w:rFonts w:ascii="SimSun" w:hAnsi="SimSun" w:eastAsia="SimSun"/>
                <w:b w:val="0"/>
                <w:sz w:val="16"/>
              </w:rPr>
              <w:t>写入本地笔记</w:t>
            </w:r>
          </w:p>
        </w:tc>
        <w:tc>
          <w:tcPr>
            <w:tcW w:type="dxa" w:w="2239"/>
            <w:vAlign w:val="center"/>
          </w:tcPr>
          <w:p>
            <w:pPr>
              <w:jc w:val="center"/>
            </w:pPr>
            <w:r/>
            <w:r>
              <w:rPr>
                <w:rFonts w:ascii="SimSun" w:hAnsi="SimSun" w:eastAsia="SimSun"/>
                <w:b w:val="0"/>
                <w:sz w:val="16"/>
              </w:rPr>
              <w:t>越权写入、数据污染</w:t>
            </w:r>
          </w:p>
        </w:tc>
        <w:tc>
          <w:tcPr>
            <w:tcW w:type="dxa" w:w="2239"/>
            <w:vAlign w:val="center"/>
          </w:tcPr>
          <w:p>
            <w:pPr>
              <w:jc w:val="center"/>
            </w:pPr>
            <w:r/>
            <w:r>
              <w:rPr>
                <w:rFonts w:ascii="SimSun" w:hAnsi="SimSun" w:eastAsia="SimSun"/>
                <w:b w:val="0"/>
                <w:sz w:val="16"/>
              </w:rPr>
              <w:t>仅允许 sandbox/public 等白名单路径</w:t>
            </w:r>
          </w:p>
        </w:tc>
      </w:tr>
      <w:tr>
        <w:tc>
          <w:tcPr>
            <w:tcW w:type="dxa" w:w="2239"/>
            <w:vAlign w:val="center"/>
          </w:tcPr>
          <w:p>
            <w:pPr>
              <w:jc w:val="center"/>
            </w:pPr>
            <w:r/>
            <w:r>
              <w:rPr>
                <w:rFonts w:ascii="SimSun" w:hAnsi="SimSun" w:eastAsia="SimSun"/>
                <w:b w:val="0"/>
                <w:sz w:val="16"/>
              </w:rPr>
              <w:t>send_email</w:t>
            </w:r>
          </w:p>
        </w:tc>
        <w:tc>
          <w:tcPr>
            <w:tcW w:type="dxa" w:w="2239"/>
            <w:vAlign w:val="center"/>
          </w:tcPr>
          <w:p>
            <w:pPr>
              <w:jc w:val="center"/>
            </w:pPr>
            <w:r/>
            <w:r>
              <w:rPr>
                <w:rFonts w:ascii="SimSun" w:hAnsi="SimSun" w:eastAsia="SimSun"/>
                <w:b w:val="0"/>
                <w:sz w:val="16"/>
              </w:rPr>
              <w:t>模拟邮件发送</w:t>
            </w:r>
          </w:p>
        </w:tc>
        <w:tc>
          <w:tcPr>
            <w:tcW w:type="dxa" w:w="2239"/>
            <w:vAlign w:val="center"/>
          </w:tcPr>
          <w:p>
            <w:pPr>
              <w:jc w:val="center"/>
            </w:pPr>
            <w:r/>
            <w:r>
              <w:rPr>
                <w:rFonts w:ascii="SimSun" w:hAnsi="SimSun" w:eastAsia="SimSun"/>
                <w:b w:val="0"/>
                <w:sz w:val="16"/>
              </w:rPr>
              <w:t>敏感数据外发</w:t>
            </w:r>
          </w:p>
        </w:tc>
        <w:tc>
          <w:tcPr>
            <w:tcW w:type="dxa" w:w="2239"/>
            <w:vAlign w:val="center"/>
          </w:tcPr>
          <w:p>
            <w:pPr>
              <w:jc w:val="center"/>
            </w:pPr>
            <w:r/>
            <w:r>
              <w:rPr>
                <w:rFonts w:ascii="SimSun" w:hAnsi="SimSun" w:eastAsia="SimSun"/>
                <w:b w:val="0"/>
                <w:sz w:val="16"/>
              </w:rPr>
              <w:t>只写 outbox.jsonl，不真实发信</w:t>
            </w:r>
          </w:p>
        </w:tc>
      </w:tr>
      <w:tr>
        <w:tc>
          <w:tcPr>
            <w:tcW w:type="dxa" w:w="2239"/>
            <w:vAlign w:val="center"/>
          </w:tcPr>
          <w:p>
            <w:pPr>
              <w:jc w:val="center"/>
            </w:pPr>
            <w:r/>
            <w:r>
              <w:rPr>
                <w:rFonts w:ascii="SimSun" w:hAnsi="SimSun" w:eastAsia="SimSun"/>
                <w:b w:val="0"/>
                <w:sz w:val="16"/>
              </w:rPr>
              <w:t>call_api</w:t>
            </w:r>
          </w:p>
        </w:tc>
        <w:tc>
          <w:tcPr>
            <w:tcW w:type="dxa" w:w="2239"/>
            <w:vAlign w:val="center"/>
          </w:tcPr>
          <w:p>
            <w:pPr>
              <w:jc w:val="center"/>
            </w:pPr>
            <w:r/>
            <w:r>
              <w:rPr>
                <w:rFonts w:ascii="SimSun" w:hAnsi="SimSun" w:eastAsia="SimSun"/>
                <w:b w:val="0"/>
                <w:sz w:val="16"/>
              </w:rPr>
              <w:t>模拟外部接口</w:t>
            </w:r>
          </w:p>
        </w:tc>
        <w:tc>
          <w:tcPr>
            <w:tcW w:type="dxa" w:w="2239"/>
            <w:vAlign w:val="center"/>
          </w:tcPr>
          <w:p>
            <w:pPr>
              <w:jc w:val="center"/>
            </w:pPr>
            <w:r/>
            <w:r>
              <w:rPr>
                <w:rFonts w:ascii="SimSun" w:hAnsi="SimSun" w:eastAsia="SimSun"/>
                <w:b w:val="0"/>
                <w:sz w:val="16"/>
              </w:rPr>
              <w:t>非预期 API 调用</w:t>
            </w:r>
          </w:p>
        </w:tc>
        <w:tc>
          <w:tcPr>
            <w:tcW w:type="dxa" w:w="2239"/>
            <w:vAlign w:val="center"/>
          </w:tcPr>
          <w:p>
            <w:pPr>
              <w:jc w:val="center"/>
            </w:pPr>
            <w:r/>
            <w:r>
              <w:rPr>
                <w:rFonts w:ascii="SimSun" w:hAnsi="SimSun" w:eastAsia="SimSun"/>
                <w:b w:val="0"/>
                <w:sz w:val="16"/>
              </w:rPr>
              <w:t>仅允许 /mock endpoint</w:t>
            </w:r>
          </w:p>
        </w:tc>
      </w:tr>
      <w:tr>
        <w:tc>
          <w:tcPr>
            <w:tcW w:type="dxa" w:w="2239"/>
            <w:vAlign w:val="center"/>
          </w:tcPr>
          <w:p>
            <w:pPr>
              <w:jc w:val="center"/>
            </w:pPr>
            <w:r/>
            <w:r>
              <w:rPr>
                <w:rFonts w:ascii="SimSun" w:hAnsi="SimSun" w:eastAsia="SimSun"/>
                <w:b w:val="0"/>
                <w:sz w:val="16"/>
              </w:rPr>
              <w:t>run_code</w:t>
            </w:r>
          </w:p>
        </w:tc>
        <w:tc>
          <w:tcPr>
            <w:tcW w:type="dxa" w:w="2239"/>
            <w:vAlign w:val="center"/>
          </w:tcPr>
          <w:p>
            <w:pPr>
              <w:jc w:val="center"/>
            </w:pPr>
            <w:r/>
            <w:r>
              <w:rPr>
                <w:rFonts w:ascii="SimSun" w:hAnsi="SimSun" w:eastAsia="SimSun"/>
                <w:b w:val="0"/>
                <w:sz w:val="16"/>
              </w:rPr>
              <w:t>模拟代码执行</w:t>
            </w:r>
          </w:p>
        </w:tc>
        <w:tc>
          <w:tcPr>
            <w:tcW w:type="dxa" w:w="2239"/>
            <w:vAlign w:val="center"/>
          </w:tcPr>
          <w:p>
            <w:pPr>
              <w:jc w:val="center"/>
            </w:pPr>
            <w:r/>
            <w:r>
              <w:rPr>
                <w:rFonts w:ascii="SimSun" w:hAnsi="SimSun" w:eastAsia="SimSun"/>
                <w:b w:val="0"/>
                <w:sz w:val="16"/>
              </w:rPr>
              <w:t>高危执行</w:t>
            </w:r>
          </w:p>
        </w:tc>
        <w:tc>
          <w:tcPr>
            <w:tcW w:type="dxa" w:w="2239"/>
            <w:vAlign w:val="center"/>
          </w:tcPr>
          <w:p>
            <w:pPr>
              <w:jc w:val="center"/>
            </w:pPr>
            <w:r/>
            <w:r>
              <w:rPr>
                <w:rFonts w:ascii="SimSun" w:hAnsi="SimSun" w:eastAsia="SimSun"/>
                <w:b w:val="0"/>
                <w:sz w:val="16"/>
              </w:rPr>
              <w:t>默认禁用，不执行模型代码</w:t>
            </w:r>
          </w:p>
        </w:tc>
      </w:tr>
    </w:tbl>
    <w:p/>
    <w:p>
      <w:pPr>
        <w:pStyle w:val="Heading2"/>
        <w:spacing w:line="360" w:lineRule="auto" w:before="120" w:after="120"/>
      </w:pPr>
      <w:r>
        <w:rPr>
          <w:rFonts w:ascii="SimSun" w:hAnsi="SimSun" w:eastAsia="SimSun"/>
          <w:b/>
          <w:sz w:val="28"/>
        </w:rPr>
        <w:t>2.5 行为监督 Guard 设计</w:t>
      </w:r>
    </w:p>
    <w:p>
      <w:pPr>
        <w:spacing w:line="360" w:lineRule="auto" w:after="120"/>
        <w:ind w:firstLine="480"/>
      </w:pPr>
      <w:r>
        <w:rPr>
          <w:rFonts w:ascii="SimSun" w:hAnsi="SimSun" w:eastAsia="SimSun"/>
          <w:sz w:val="24"/>
        </w:rPr>
        <w:t>Guard 接口可表示为 G(context, tool_call, mode) -&gt; (decision, risk_score, reasons)。其中 decision 属于 allow、ask 和 deny 三态之一，risk_score 属于 [0,1]，reasons 为可解释原因列表。与单纯拒答不同，Guard 的决策发生在工具执行前，因此能够在文件读取、邮件发送、API 调用或代码执行之前形成拦截。</w:t>
      </w:r>
    </w:p>
    <w:p>
      <w:pPr>
        <w:spacing w:line="360" w:lineRule="auto" w:after="120"/>
        <w:ind w:firstLine="480"/>
      </w:pPr>
      <w:r>
        <w:rPr>
          <w:rFonts w:ascii="SimSun" w:hAnsi="SimSun" w:eastAsia="SimSun"/>
          <w:sz w:val="24"/>
        </w:rPr>
        <w:t>Guard 由 normalizer、detector、dataflow、policy_engine 和 guard_engine 组成。normalizer 负责 Unicode NFKC 归一化、零宽字符删除和混合脚本识别；detector 识别指令型文本、工具诱导、JSON/RPC 字段和多语言混淆；dataflow 标记 canary、api_key、token、password 等敏感数据流；policy_engine 实现工具策略矩阵；guard_engine 汇总风险并按阈值裁决。</w:t>
      </w:r>
    </w:p>
    <w:p>
      <w:pPr>
        <w:spacing w:line="360" w:lineRule="auto" w:after="120"/>
        <w:ind w:firstLine="480"/>
      </w:pPr>
      <w:r>
        <w:rPr>
          <w:rFonts w:ascii="SimSun" w:hAnsi="SimSun" w:eastAsia="SimSun"/>
          <w:sz w:val="24"/>
        </w:rPr>
        <w:t>系统将风险阈值分为三个区间：当 risk &gt;= 0.65 时 deny，当 0.35 &lt;= risk &lt; 0.65 时 ask，当 risk &lt; 0.35 时 allow。涉及 run_code、secret 路径读取、非 sandbox 路径、非 /mock endpoint 和敏感数据外发时，会触发强规则拒绝。</w:t>
      </w:r>
    </w:p>
    <w:p>
      <w:pPr>
        <w:jc w:val="center"/>
      </w:pPr>
      <w:r>
        <w:rPr>
          <w:rFonts w:ascii="SimSun" w:hAnsi="SimSun" w:eastAsia="SimSun"/>
          <w:b/>
          <w:sz w:val="20"/>
        </w:rPr>
        <w:t>表 3 防护模式及作用范围</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86"/>
        <w:gridCol w:w="2986"/>
        <w:gridCol w:w="2986"/>
      </w:tblGrid>
      <w:tr>
        <w:tc>
          <w:tcPr>
            <w:tcW w:type="dxa" w:w="2986"/>
            <w:vAlign w:val="center"/>
            <w:shd w:fill="D9EAF7"/>
          </w:tcPr>
          <w:p>
            <w:pPr>
              <w:jc w:val="center"/>
            </w:pPr>
            <w:r/>
            <w:r>
              <w:rPr>
                <w:rFonts w:ascii="SimSun" w:hAnsi="SimSun" w:eastAsia="SimSun"/>
                <w:b/>
                <w:sz w:val="16"/>
              </w:rPr>
              <w:t>模式</w:t>
            </w:r>
          </w:p>
        </w:tc>
        <w:tc>
          <w:tcPr>
            <w:tcW w:type="dxa" w:w="2986"/>
            <w:vAlign w:val="center"/>
            <w:shd w:fill="D9EAF7"/>
          </w:tcPr>
          <w:p>
            <w:pPr>
              <w:jc w:val="center"/>
            </w:pPr>
            <w:r/>
            <w:r>
              <w:rPr>
                <w:rFonts w:ascii="SimSun" w:hAnsi="SimSun" w:eastAsia="SimSun"/>
                <w:b/>
                <w:sz w:val="16"/>
              </w:rPr>
              <w:t>启用组件</w:t>
            </w:r>
          </w:p>
        </w:tc>
        <w:tc>
          <w:tcPr>
            <w:tcW w:type="dxa" w:w="2986"/>
            <w:vAlign w:val="center"/>
            <w:shd w:fill="D9EAF7"/>
          </w:tcPr>
          <w:p>
            <w:pPr>
              <w:jc w:val="center"/>
            </w:pPr>
            <w:r/>
            <w:r>
              <w:rPr>
                <w:rFonts w:ascii="SimSun" w:hAnsi="SimSun" w:eastAsia="SimSun"/>
                <w:b/>
                <w:sz w:val="16"/>
              </w:rPr>
              <w:t>主要作用</w:t>
            </w:r>
          </w:p>
        </w:tc>
      </w:tr>
      <w:tr>
        <w:tc>
          <w:tcPr>
            <w:tcW w:type="dxa" w:w="2986"/>
            <w:vAlign w:val="center"/>
          </w:tcPr>
          <w:p>
            <w:pPr>
              <w:jc w:val="center"/>
            </w:pPr>
            <w:r/>
            <w:r>
              <w:rPr>
                <w:rFonts w:ascii="SimSun" w:hAnsi="SimSun" w:eastAsia="SimSun"/>
                <w:b w:val="0"/>
                <w:sz w:val="16"/>
              </w:rPr>
              <w:t>baseline</w:t>
            </w:r>
          </w:p>
        </w:tc>
        <w:tc>
          <w:tcPr>
            <w:tcW w:type="dxa" w:w="2986"/>
            <w:vAlign w:val="center"/>
          </w:tcPr>
          <w:p>
            <w:pPr>
              <w:jc w:val="center"/>
            </w:pPr>
            <w:r/>
            <w:r>
              <w:rPr>
                <w:rFonts w:ascii="SimSun" w:hAnsi="SimSun" w:eastAsia="SimSun"/>
                <w:b w:val="0"/>
                <w:sz w:val="16"/>
              </w:rPr>
              <w:t>无 Guard 拦截</w:t>
            </w:r>
          </w:p>
        </w:tc>
        <w:tc>
          <w:tcPr>
            <w:tcW w:type="dxa" w:w="2986"/>
            <w:vAlign w:val="center"/>
          </w:tcPr>
          <w:p>
            <w:pPr>
              <w:jc w:val="center"/>
            </w:pPr>
            <w:r/>
            <w:r>
              <w:rPr>
                <w:rFonts w:ascii="SimSun" w:hAnsi="SimSun" w:eastAsia="SimSun"/>
                <w:b w:val="0"/>
                <w:sz w:val="16"/>
              </w:rPr>
              <w:t>观察无防护 Agent 的自然风险</w:t>
            </w:r>
          </w:p>
        </w:tc>
      </w:tr>
      <w:tr>
        <w:tc>
          <w:tcPr>
            <w:tcW w:type="dxa" w:w="2986"/>
            <w:vAlign w:val="center"/>
          </w:tcPr>
          <w:p>
            <w:pPr>
              <w:jc w:val="center"/>
            </w:pPr>
            <w:r/>
            <w:r>
              <w:rPr>
                <w:rFonts w:ascii="SimSun" w:hAnsi="SimSun" w:eastAsia="SimSun"/>
                <w:b w:val="0"/>
                <w:sz w:val="16"/>
              </w:rPr>
              <w:t>keyword_only</w:t>
            </w:r>
          </w:p>
        </w:tc>
        <w:tc>
          <w:tcPr>
            <w:tcW w:type="dxa" w:w="2986"/>
            <w:vAlign w:val="center"/>
          </w:tcPr>
          <w:p>
            <w:pPr>
              <w:jc w:val="center"/>
            </w:pPr>
            <w:r/>
            <w:r>
              <w:rPr>
                <w:rFonts w:ascii="SimSun" w:hAnsi="SimSun" w:eastAsia="SimSun"/>
                <w:b w:val="0"/>
                <w:sz w:val="16"/>
              </w:rPr>
              <w:t>指令型文本、工具诱导、结构化关键词检测</w:t>
            </w:r>
          </w:p>
        </w:tc>
        <w:tc>
          <w:tcPr>
            <w:tcW w:type="dxa" w:w="2986"/>
            <w:vAlign w:val="center"/>
          </w:tcPr>
          <w:p>
            <w:pPr>
              <w:jc w:val="center"/>
            </w:pPr>
            <w:r/>
            <w:r>
              <w:rPr>
                <w:rFonts w:ascii="SimSun" w:hAnsi="SimSun" w:eastAsia="SimSun"/>
                <w:b w:val="0"/>
                <w:sz w:val="16"/>
              </w:rPr>
              <w:t>评估传统文本过滤能力</w:t>
            </w:r>
          </w:p>
        </w:tc>
      </w:tr>
      <w:tr>
        <w:tc>
          <w:tcPr>
            <w:tcW w:type="dxa" w:w="2986"/>
            <w:vAlign w:val="center"/>
          </w:tcPr>
          <w:p>
            <w:pPr>
              <w:jc w:val="center"/>
            </w:pPr>
            <w:r/>
            <w:r>
              <w:rPr>
                <w:rFonts w:ascii="SimSun" w:hAnsi="SimSun" w:eastAsia="SimSun"/>
                <w:b w:val="0"/>
                <w:sz w:val="16"/>
              </w:rPr>
              <w:t>policy_only</w:t>
            </w:r>
          </w:p>
        </w:tc>
        <w:tc>
          <w:tcPr>
            <w:tcW w:type="dxa" w:w="2986"/>
            <w:vAlign w:val="center"/>
          </w:tcPr>
          <w:p>
            <w:pPr>
              <w:jc w:val="center"/>
            </w:pPr>
            <w:r/>
            <w:r>
              <w:rPr>
                <w:rFonts w:ascii="SimSun" w:hAnsi="SimSun" w:eastAsia="SimSun"/>
                <w:b w:val="0"/>
                <w:sz w:val="16"/>
              </w:rPr>
              <w:t>工具白名单、路径限制、mock endpoint、run_code 禁用</w:t>
            </w:r>
          </w:p>
        </w:tc>
        <w:tc>
          <w:tcPr>
            <w:tcW w:type="dxa" w:w="2986"/>
            <w:vAlign w:val="center"/>
          </w:tcPr>
          <w:p>
            <w:pPr>
              <w:jc w:val="center"/>
            </w:pPr>
            <w:r/>
            <w:r>
              <w:rPr>
                <w:rFonts w:ascii="SimSun" w:hAnsi="SimSun" w:eastAsia="SimSun"/>
                <w:b w:val="0"/>
                <w:sz w:val="16"/>
              </w:rPr>
              <w:t>评估行为策略约束能力</w:t>
            </w:r>
          </w:p>
        </w:tc>
      </w:tr>
      <w:tr>
        <w:tc>
          <w:tcPr>
            <w:tcW w:type="dxa" w:w="2986"/>
            <w:vAlign w:val="center"/>
          </w:tcPr>
          <w:p>
            <w:pPr>
              <w:jc w:val="center"/>
            </w:pPr>
            <w:r/>
            <w:r>
              <w:rPr>
                <w:rFonts w:ascii="SimSun" w:hAnsi="SimSun" w:eastAsia="SimSun"/>
                <w:b w:val="0"/>
                <w:sz w:val="16"/>
              </w:rPr>
              <w:t>full_guard</w:t>
            </w:r>
          </w:p>
        </w:tc>
        <w:tc>
          <w:tcPr>
            <w:tcW w:type="dxa" w:w="2986"/>
            <w:vAlign w:val="center"/>
          </w:tcPr>
          <w:p>
            <w:pPr>
              <w:jc w:val="center"/>
            </w:pPr>
            <w:r/>
            <w:r>
              <w:rPr>
                <w:rFonts w:ascii="SimSun" w:hAnsi="SimSun" w:eastAsia="SimSun"/>
                <w:b w:val="0"/>
                <w:sz w:val="16"/>
              </w:rPr>
              <w:t>文本检测、结构化检测、多语言信号、工具策略、数据流、意图一致性</w:t>
            </w:r>
          </w:p>
        </w:tc>
        <w:tc>
          <w:tcPr>
            <w:tcW w:type="dxa" w:w="2986"/>
            <w:vAlign w:val="center"/>
          </w:tcPr>
          <w:p>
            <w:pPr>
              <w:jc w:val="center"/>
            </w:pPr>
            <w:r/>
            <w:r>
              <w:rPr>
                <w:rFonts w:ascii="SimSun" w:hAnsi="SimSun" w:eastAsia="SimSun"/>
                <w:b w:val="0"/>
                <w:sz w:val="16"/>
              </w:rPr>
              <w:t>完整行为监督与可解释阻断</w:t>
            </w:r>
          </w:p>
        </w:tc>
      </w:tr>
    </w:tbl>
    <w:p/>
    <w:p>
      <w:pPr>
        <w:pStyle w:val="Heading2"/>
        <w:spacing w:line="360" w:lineRule="auto" w:before="120" w:after="120"/>
      </w:pPr>
      <w:r>
        <w:rPr>
          <w:rFonts w:ascii="SimSun" w:hAnsi="SimSun" w:eastAsia="SimSun"/>
          <w:b/>
          <w:sz w:val="28"/>
        </w:rPr>
        <w:t>2.6 日志审计与 Dashboard</w:t>
      </w:r>
    </w:p>
    <w:p>
      <w:pPr>
        <w:spacing w:line="360" w:lineRule="auto" w:after="120"/>
        <w:ind w:firstLine="480"/>
      </w:pPr>
      <w:r>
        <w:rPr>
          <w:rFonts w:ascii="SimSun" w:hAnsi="SimSun" w:eastAsia="SimSun"/>
          <w:sz w:val="24"/>
        </w:rPr>
        <w:t>系统将每一步运行写为 JSONL。关键字段包括 run_id、case_id、model、backend、defense_mode、raw_model_output、parsed_tool_call、guard_decision、risk_score、reasons、observation 和 final_status。该日志格式支持逐案复核，也支持按 attack_family、carrier、language 和 severity 聚合统计。</w:t>
      </w:r>
    </w:p>
    <w:p>
      <w:pPr>
        <w:spacing w:line="360" w:lineRule="auto" w:after="120"/>
        <w:ind w:firstLine="480"/>
      </w:pPr>
      <w:r>
        <w:rPr>
          <w:rFonts w:ascii="SimSun" w:hAnsi="SimSun" w:eastAsia="SimSun"/>
          <w:sz w:val="24"/>
        </w:rPr>
        <w:t>Dashboard 提供项目总览、防护模式对比、攻击族分组、阻断/告警记录、单案例攻击链回放和原始日志查看。通过 Dashboard 可以快速定位某个 case 的用户任务、注入载体、模型输出、工具调用、风险分、阻断原因和最终状态，使评测结果从单一分数变成可审计证据链。</w:t>
      </w:r>
    </w:p>
    <w:p>
      <w:pPr>
        <w:pStyle w:val="Heading2"/>
        <w:spacing w:line="360" w:lineRule="auto" w:before="120" w:after="120"/>
      </w:pPr>
      <w:r>
        <w:rPr>
          <w:rFonts w:ascii="SimSun" w:hAnsi="SimSun" w:eastAsia="SimSun"/>
          <w:b/>
          <w:sz w:val="28"/>
        </w:rPr>
        <w:t>2.7 软件流程与模块实现</w:t>
      </w:r>
    </w:p>
    <w:p>
      <w:pPr>
        <w:spacing w:line="360" w:lineRule="auto" w:after="60"/>
        <w:ind w:left="360" w:hanging="360"/>
      </w:pPr>
      <w:r>
        <w:rPr>
          <w:rFonts w:ascii="SimSun" w:hAnsi="SimSun" w:eastAsia="SimSun"/>
          <w:sz w:val="24"/>
        </w:rPr>
        <w:t>• m3_core：实现 Agent Runner、模型后端、工具沙箱、run_batch 和 run_matrix 等运行入口。</w:t>
      </w:r>
    </w:p>
    <w:p>
      <w:pPr>
        <w:spacing w:line="360" w:lineRule="auto" w:after="60"/>
        <w:ind w:left="360" w:hanging="360"/>
      </w:pPr>
      <w:r>
        <w:rPr>
          <w:rFonts w:ascii="SimSun" w:hAnsi="SimSun" w:eastAsia="SimSun"/>
          <w:sz w:val="24"/>
        </w:rPr>
        <w:t>• m3_attacks：维护标准化 AttackCase 样本和样本统计、审计脚本。</w:t>
      </w:r>
    </w:p>
    <w:p>
      <w:pPr>
        <w:spacing w:line="360" w:lineRule="auto" w:after="60"/>
        <w:ind w:left="360" w:hanging="360"/>
      </w:pPr>
      <w:r>
        <w:rPr>
          <w:rFonts w:ascii="SimSun" w:hAnsi="SimSun" w:eastAsia="SimSun"/>
          <w:sz w:val="24"/>
        </w:rPr>
        <w:t>• m3_guard：实现文本归一化、检测器、工具策略、数据流追踪和 Guard 决策。</w:t>
      </w:r>
    </w:p>
    <w:p>
      <w:pPr>
        <w:spacing w:line="360" w:lineRule="auto" w:after="60"/>
        <w:ind w:left="360" w:hanging="360"/>
      </w:pPr>
      <w:r>
        <w:rPr>
          <w:rFonts w:ascii="SimSun" w:hAnsi="SimSun" w:eastAsia="SimSun"/>
          <w:sz w:val="24"/>
        </w:rPr>
        <w:t>• m3_eval：读取 RunLog，计算 ASR、UTR、DSR、BSR、FPR、AvgRisk 和 WRS，并生成 Dashboard 与图表。</w:t>
      </w:r>
    </w:p>
    <w:p>
      <w:pPr>
        <w:spacing w:line="360" w:lineRule="auto" w:after="60"/>
        <w:ind w:left="360" w:hanging="360"/>
      </w:pPr>
      <w:r>
        <w:rPr>
          <w:rFonts w:ascii="SimSun" w:hAnsi="SimSun" w:eastAsia="SimSun"/>
          <w:sz w:val="24"/>
        </w:rPr>
        <w:t>• fixtures：存放 demo cases 和代表性样本，支持答辩演示与 smoke test。</w:t>
      </w:r>
    </w:p>
    <w:p>
      <w:pPr>
        <w:spacing w:line="360" w:lineRule="auto" w:after="60"/>
        <w:ind w:left="360" w:hanging="360"/>
      </w:pPr>
      <w:r>
        <w:rPr>
          <w:rFonts w:ascii="SimSun" w:hAnsi="SimSun" w:eastAsia="SimSun"/>
          <w:sz w:val="24"/>
        </w:rPr>
        <w:t>• outputs：存放运行日志、指标 CSV/JSON、图表和质量审计结果。</w:t>
      </w:r>
    </w:p>
    <w:p>
      <w:r>
        <w:br w:type="page"/>
      </w:r>
    </w:p>
    <w:p>
      <w:pPr>
        <w:pStyle w:val="Heading1"/>
        <w:spacing w:line="360" w:lineRule="auto" w:before="240" w:after="120"/>
        <w:jc w:val="center"/>
      </w:pPr>
      <w:r>
        <w:rPr>
          <w:rFonts w:ascii="SimSun" w:hAnsi="SimSun" w:eastAsia="SimSun"/>
          <w:b/>
          <w:sz w:val="32"/>
        </w:rPr>
        <w:t>第三章 作品测试与分析</w:t>
      </w:r>
    </w:p>
    <w:p>
      <w:pPr>
        <w:pStyle w:val="Heading2"/>
        <w:spacing w:line="360" w:lineRule="auto" w:before="120" w:after="120"/>
      </w:pPr>
      <w:r>
        <w:rPr>
          <w:rFonts w:ascii="SimSun" w:hAnsi="SimSun" w:eastAsia="SimSun"/>
          <w:b/>
          <w:sz w:val="28"/>
        </w:rPr>
        <w:t>3.1 测试环境</w:t>
      </w:r>
    </w:p>
    <w:p>
      <w:pPr>
        <w:spacing w:line="360" w:lineRule="auto" w:after="120"/>
        <w:ind w:firstLine="480"/>
      </w:pPr>
      <w:r>
        <w:rPr>
          <w:rFonts w:ascii="SimSun" w:hAnsi="SimSun" w:eastAsia="SimSun"/>
          <w:sz w:val="24"/>
        </w:rPr>
        <w:t>测试在本地 Windows 环境完成，使用 Python 脚本运行 stub 后端和 Qwen2.5 代表样本。工具调用均为本地模拟：邮件写入 outbox 文件，API 返回 mock JSON，代码执行工具默认禁用。真实模型实验使用 Qwen2.5-7B-Instruct 量化版本，通过本地 OpenAI-compatible API 调用。</w:t>
      </w:r>
    </w:p>
    <w:p>
      <w:pPr>
        <w:spacing w:line="360" w:lineRule="auto" w:after="120"/>
        <w:ind w:firstLine="480"/>
      </w:pPr>
      <w:r>
        <w:rPr>
          <w:rFonts w:ascii="SimSun" w:hAnsi="SimSun" w:eastAsia="SimSun"/>
          <w:sz w:val="24"/>
        </w:rPr>
        <w:t>本地硬件环境为消费级 GPU，显存约 8GB；软件环境包括 Python 3.9.23、PyTorch 2.5.1 + CUDA 11.8、transformers 4.57.6、accelerate 1.10.1、openai 1.109.1 和 pandas 2.3.2。由于设备资源有限，完整样本集采用 stub 后端进行全量消融，真实本地模型采用代表性样本验证攻击链和防护效果。</w:t>
      </w:r>
    </w:p>
    <w:p>
      <w:pPr>
        <w:pStyle w:val="Heading2"/>
        <w:spacing w:line="360" w:lineRule="auto" w:before="120" w:after="120"/>
      </w:pPr>
      <w:r>
        <w:rPr>
          <w:rFonts w:ascii="SimSun" w:hAnsi="SimSun" w:eastAsia="SimSun"/>
          <w:b/>
          <w:sz w:val="28"/>
        </w:rPr>
        <w:t>3.2 测试数据集</w:t>
      </w:r>
    </w:p>
    <w:p>
      <w:pPr>
        <w:spacing w:line="360" w:lineRule="auto" w:after="120"/>
        <w:ind w:firstLine="480"/>
      </w:pPr>
      <w:r>
        <w:rPr>
          <w:rFonts w:ascii="SimSun" w:hAnsi="SimSun" w:eastAsia="SimSun"/>
          <w:sz w:val="24"/>
        </w:rPr>
        <w:t>样本库总计 69 条，覆盖六类场景。构造原则是：每条样本只攻击本地 mock 工具；注入内容必须能体现真实 Agent 场景中的信任边界问题；样本不包含真实攻击服务、真实邮箱、真实 API、真实凭证或真实恶意代码；正常样本覆盖常见业务任务，用于评估误报率。</w:t>
      </w:r>
    </w:p>
    <w:p>
      <w:pPr>
        <w:spacing w:line="360" w:lineRule="auto" w:after="120"/>
        <w:ind w:firstLine="480"/>
      </w:pPr>
      <w:r>
        <w:rPr>
          <w:rFonts w:ascii="SimSun" w:hAnsi="SimSun" w:eastAsia="SimSun"/>
          <w:sz w:val="24"/>
        </w:rPr>
        <w:t>最终样本审计结果为 pass：case_id 唯一、必要字段完整、攻击族合法、语言字段非空、unsafe_target_actions 均为 mock 白名单动作、benign_clean 无危险动作、无真实邮箱或真实 URL、无真实攻击命令，hard_fail_count=0。</w:t>
      </w:r>
    </w:p>
    <w:p>
      <w:pPr>
        <w:jc w:val="center"/>
      </w:pPr>
      <w:r>
        <w:rPr>
          <w:rFonts w:ascii="SimSun" w:hAnsi="SimSun" w:eastAsia="SimSun"/>
          <w:b/>
          <w:sz w:val="20"/>
        </w:rPr>
        <w:t>表 4 样本库攻击族分布</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86"/>
        <w:gridCol w:w="2986"/>
        <w:gridCol w:w="2986"/>
      </w:tblGrid>
      <w:tr>
        <w:tc>
          <w:tcPr>
            <w:tcW w:type="dxa" w:w="2986"/>
            <w:vAlign w:val="center"/>
            <w:shd w:fill="D9EAF7"/>
          </w:tcPr>
          <w:p>
            <w:pPr>
              <w:jc w:val="center"/>
            </w:pPr>
            <w:r/>
            <w:r>
              <w:rPr>
                <w:rFonts w:ascii="SimSun" w:hAnsi="SimSun" w:eastAsia="SimSun"/>
                <w:b/>
                <w:sz w:val="17"/>
              </w:rPr>
              <w:t>攻击族</w:t>
            </w:r>
          </w:p>
        </w:tc>
        <w:tc>
          <w:tcPr>
            <w:tcW w:type="dxa" w:w="2986"/>
            <w:vAlign w:val="center"/>
            <w:shd w:fill="D9EAF7"/>
          </w:tcPr>
          <w:p>
            <w:pPr>
              <w:jc w:val="center"/>
            </w:pPr>
            <w:r/>
            <w:r>
              <w:rPr>
                <w:rFonts w:ascii="SimSun" w:hAnsi="SimSun" w:eastAsia="SimSun"/>
                <w:b/>
                <w:sz w:val="17"/>
              </w:rPr>
              <w:t>样本数</w:t>
            </w:r>
          </w:p>
        </w:tc>
        <w:tc>
          <w:tcPr>
            <w:tcW w:type="dxa" w:w="2986"/>
            <w:vAlign w:val="center"/>
            <w:shd w:fill="D9EAF7"/>
          </w:tcPr>
          <w:p>
            <w:pPr>
              <w:jc w:val="center"/>
            </w:pPr>
            <w:r/>
            <w:r>
              <w:rPr>
                <w:rFonts w:ascii="SimSun" w:hAnsi="SimSun" w:eastAsia="SimSun"/>
                <w:b/>
                <w:sz w:val="17"/>
              </w:rPr>
              <w:t>研究目的</w:t>
            </w:r>
          </w:p>
        </w:tc>
      </w:tr>
      <w:tr>
        <w:tc>
          <w:tcPr>
            <w:tcW w:type="dxa" w:w="2986"/>
            <w:vAlign w:val="center"/>
          </w:tcPr>
          <w:p>
            <w:pPr>
              <w:jc w:val="center"/>
            </w:pPr>
            <w:r/>
            <w:r>
              <w:rPr>
                <w:rFonts w:ascii="SimSun" w:hAnsi="SimSun" w:eastAsia="SimSun"/>
                <w:b w:val="0"/>
                <w:sz w:val="17"/>
              </w:rPr>
              <w:t>benign_clean</w:t>
            </w:r>
          </w:p>
        </w:tc>
        <w:tc>
          <w:tcPr>
            <w:tcW w:type="dxa" w:w="2986"/>
            <w:vAlign w:val="center"/>
          </w:tcPr>
          <w:p>
            <w:pPr>
              <w:jc w:val="center"/>
            </w:pPr>
            <w:r/>
            <w:r>
              <w:rPr>
                <w:rFonts w:ascii="SimSun" w:hAnsi="SimSun" w:eastAsia="SimSun"/>
                <w:b w:val="0"/>
                <w:sz w:val="17"/>
              </w:rPr>
              <w:t>8</w:t>
            </w:r>
          </w:p>
        </w:tc>
        <w:tc>
          <w:tcPr>
            <w:tcW w:type="dxa" w:w="2986"/>
            <w:vAlign w:val="center"/>
          </w:tcPr>
          <w:p>
            <w:pPr>
              <w:jc w:val="center"/>
            </w:pPr>
            <w:r/>
            <w:r>
              <w:rPr>
                <w:rFonts w:ascii="SimSun" w:hAnsi="SimSun" w:eastAsia="SimSun"/>
                <w:b w:val="0"/>
                <w:sz w:val="17"/>
              </w:rPr>
              <w:t>校准正常任务误报率</w:t>
            </w:r>
          </w:p>
        </w:tc>
      </w:tr>
      <w:tr>
        <w:tc>
          <w:tcPr>
            <w:tcW w:type="dxa" w:w="2986"/>
            <w:vAlign w:val="center"/>
          </w:tcPr>
          <w:p>
            <w:pPr>
              <w:jc w:val="center"/>
            </w:pPr>
            <w:r/>
            <w:r>
              <w:rPr>
                <w:rFonts w:ascii="SimSun" w:hAnsi="SimSun" w:eastAsia="SimSun"/>
                <w:b w:val="0"/>
                <w:sz w:val="17"/>
              </w:rPr>
              <w:t>direct_jailbreak</w:t>
            </w:r>
          </w:p>
        </w:tc>
        <w:tc>
          <w:tcPr>
            <w:tcW w:type="dxa" w:w="2986"/>
            <w:vAlign w:val="center"/>
          </w:tcPr>
          <w:p>
            <w:pPr>
              <w:jc w:val="center"/>
            </w:pPr>
            <w:r/>
            <w:r>
              <w:rPr>
                <w:rFonts w:ascii="SimSun" w:hAnsi="SimSun" w:eastAsia="SimSun"/>
                <w:b w:val="0"/>
                <w:sz w:val="17"/>
              </w:rPr>
              <w:t>15</w:t>
            </w:r>
          </w:p>
        </w:tc>
        <w:tc>
          <w:tcPr>
            <w:tcW w:type="dxa" w:w="2986"/>
            <w:vAlign w:val="center"/>
          </w:tcPr>
          <w:p>
            <w:pPr>
              <w:jc w:val="center"/>
            </w:pPr>
            <w:r/>
            <w:r>
              <w:rPr>
                <w:rFonts w:ascii="SimSun" w:hAnsi="SimSun" w:eastAsia="SimSun"/>
                <w:b w:val="0"/>
                <w:sz w:val="17"/>
              </w:rPr>
              <w:t>评估直接越狱、角色扮演和说服性提示</w:t>
            </w:r>
          </w:p>
        </w:tc>
      </w:tr>
      <w:tr>
        <w:tc>
          <w:tcPr>
            <w:tcW w:type="dxa" w:w="2986"/>
            <w:vAlign w:val="center"/>
          </w:tcPr>
          <w:p>
            <w:pPr>
              <w:jc w:val="center"/>
            </w:pPr>
            <w:r/>
            <w:r>
              <w:rPr>
                <w:rFonts w:ascii="SimSun" w:hAnsi="SimSun" w:eastAsia="SimSun"/>
                <w:b w:val="0"/>
                <w:sz w:val="17"/>
              </w:rPr>
              <w:t>json_rpc</w:t>
            </w:r>
          </w:p>
        </w:tc>
        <w:tc>
          <w:tcPr>
            <w:tcW w:type="dxa" w:w="2986"/>
            <w:vAlign w:val="center"/>
          </w:tcPr>
          <w:p>
            <w:pPr>
              <w:jc w:val="center"/>
            </w:pPr>
            <w:r/>
            <w:r>
              <w:rPr>
                <w:rFonts w:ascii="SimSun" w:hAnsi="SimSun" w:eastAsia="SimSun"/>
                <w:b w:val="0"/>
                <w:sz w:val="17"/>
              </w:rPr>
              <w:t>8</w:t>
            </w:r>
          </w:p>
        </w:tc>
        <w:tc>
          <w:tcPr>
            <w:tcW w:type="dxa" w:w="2986"/>
            <w:vAlign w:val="center"/>
          </w:tcPr>
          <w:p>
            <w:pPr>
              <w:jc w:val="center"/>
            </w:pPr>
            <w:r/>
            <w:r>
              <w:rPr>
                <w:rFonts w:ascii="SimSun" w:hAnsi="SimSun" w:eastAsia="SimSun"/>
                <w:b w:val="0"/>
                <w:sz w:val="17"/>
              </w:rPr>
              <w:t>评估结构化字段与 RPC 伪装</w:t>
            </w:r>
          </w:p>
        </w:tc>
      </w:tr>
      <w:tr>
        <w:tc>
          <w:tcPr>
            <w:tcW w:type="dxa" w:w="2986"/>
            <w:vAlign w:val="center"/>
          </w:tcPr>
          <w:p>
            <w:pPr>
              <w:jc w:val="center"/>
            </w:pPr>
            <w:r/>
            <w:r>
              <w:rPr>
                <w:rFonts w:ascii="SimSun" w:hAnsi="SimSun" w:eastAsia="SimSun"/>
                <w:b w:val="0"/>
                <w:sz w:val="17"/>
              </w:rPr>
              <w:t>multilingual_t2l</w:t>
            </w:r>
          </w:p>
        </w:tc>
        <w:tc>
          <w:tcPr>
            <w:tcW w:type="dxa" w:w="2986"/>
            <w:vAlign w:val="center"/>
          </w:tcPr>
          <w:p>
            <w:pPr>
              <w:jc w:val="center"/>
            </w:pPr>
            <w:r/>
            <w:r>
              <w:rPr>
                <w:rFonts w:ascii="SimSun" w:hAnsi="SimSun" w:eastAsia="SimSun"/>
                <w:b w:val="0"/>
                <w:sz w:val="17"/>
              </w:rPr>
              <w:t>15</w:t>
            </w:r>
          </w:p>
        </w:tc>
        <w:tc>
          <w:tcPr>
            <w:tcW w:type="dxa" w:w="2986"/>
            <w:vAlign w:val="center"/>
          </w:tcPr>
          <w:p>
            <w:pPr>
              <w:jc w:val="center"/>
            </w:pPr>
            <w:r/>
            <w:r>
              <w:rPr>
                <w:rFonts w:ascii="SimSun" w:hAnsi="SimSun" w:eastAsia="SimSun"/>
                <w:b w:val="0"/>
                <w:sz w:val="17"/>
              </w:rPr>
              <w:t>评估多语言混淆与任务切换</w:t>
            </w:r>
          </w:p>
        </w:tc>
      </w:tr>
      <w:tr>
        <w:tc>
          <w:tcPr>
            <w:tcW w:type="dxa" w:w="2986"/>
            <w:vAlign w:val="center"/>
          </w:tcPr>
          <w:p>
            <w:pPr>
              <w:jc w:val="center"/>
            </w:pPr>
            <w:r/>
            <w:r>
              <w:rPr>
                <w:rFonts w:ascii="SimSun" w:hAnsi="SimSun" w:eastAsia="SimSun"/>
                <w:b w:val="0"/>
                <w:sz w:val="17"/>
              </w:rPr>
              <w:t>rag_indirect</w:t>
            </w:r>
          </w:p>
        </w:tc>
        <w:tc>
          <w:tcPr>
            <w:tcW w:type="dxa" w:w="2986"/>
            <w:vAlign w:val="center"/>
          </w:tcPr>
          <w:p>
            <w:pPr>
              <w:jc w:val="center"/>
            </w:pPr>
            <w:r/>
            <w:r>
              <w:rPr>
                <w:rFonts w:ascii="SimSun" w:hAnsi="SimSun" w:eastAsia="SimSun"/>
                <w:b w:val="0"/>
                <w:sz w:val="17"/>
              </w:rPr>
              <w:t>18</w:t>
            </w:r>
          </w:p>
        </w:tc>
        <w:tc>
          <w:tcPr>
            <w:tcW w:type="dxa" w:w="2986"/>
            <w:vAlign w:val="center"/>
          </w:tcPr>
          <w:p>
            <w:pPr>
              <w:jc w:val="center"/>
            </w:pPr>
            <w:r/>
            <w:r>
              <w:rPr>
                <w:rFonts w:ascii="SimSun" w:hAnsi="SimSun" w:eastAsia="SimSun"/>
                <w:b w:val="0"/>
                <w:sz w:val="17"/>
              </w:rPr>
              <w:t>评估文档、邮件、网页和工具返回值中的间接注入</w:t>
            </w:r>
          </w:p>
        </w:tc>
      </w:tr>
      <w:tr>
        <w:tc>
          <w:tcPr>
            <w:tcW w:type="dxa" w:w="2986"/>
            <w:vAlign w:val="center"/>
          </w:tcPr>
          <w:p>
            <w:pPr>
              <w:jc w:val="center"/>
            </w:pPr>
            <w:r/>
            <w:r>
              <w:rPr>
                <w:rFonts w:ascii="SimSun" w:hAnsi="SimSun" w:eastAsia="SimSun"/>
                <w:b w:val="0"/>
                <w:sz w:val="17"/>
              </w:rPr>
              <w:t>tool_output_injection</w:t>
            </w:r>
          </w:p>
        </w:tc>
        <w:tc>
          <w:tcPr>
            <w:tcW w:type="dxa" w:w="2986"/>
            <w:vAlign w:val="center"/>
          </w:tcPr>
          <w:p>
            <w:pPr>
              <w:jc w:val="center"/>
            </w:pPr>
            <w:r/>
            <w:r>
              <w:rPr>
                <w:rFonts w:ascii="SimSun" w:hAnsi="SimSun" w:eastAsia="SimSun"/>
                <w:b w:val="0"/>
                <w:sz w:val="17"/>
              </w:rPr>
              <w:t>5</w:t>
            </w:r>
          </w:p>
        </w:tc>
        <w:tc>
          <w:tcPr>
            <w:tcW w:type="dxa" w:w="2986"/>
            <w:vAlign w:val="center"/>
          </w:tcPr>
          <w:p>
            <w:pPr>
              <w:jc w:val="center"/>
            </w:pPr>
            <w:r/>
            <w:r>
              <w:rPr>
                <w:rFonts w:ascii="SimSun" w:hAnsi="SimSun" w:eastAsia="SimSun"/>
                <w:b w:val="0"/>
                <w:sz w:val="17"/>
              </w:rPr>
              <w:t>评估上游工具输出对后续行为的污染</w:t>
            </w:r>
          </w:p>
        </w:tc>
      </w:tr>
    </w:tbl>
    <w:p/>
    <w:p>
      <w:pPr>
        <w:jc w:val="center"/>
      </w:pPr>
      <w:r>
        <w:drawing>
          <wp:inline xmlns:a="http://schemas.openxmlformats.org/drawingml/2006/main" xmlns:pic="http://schemas.openxmlformats.org/drawingml/2006/picture">
            <wp:extent cx="5220000" cy="3100343"/>
            <wp:docPr id="2" name="Picture 2"/>
            <wp:cNvGraphicFramePr>
              <a:graphicFrameLocks noChangeAspect="1"/>
            </wp:cNvGraphicFramePr>
            <a:graphic>
              <a:graphicData uri="http://schemas.openxmlformats.org/drawingml/2006/picture">
                <pic:pic>
                  <pic:nvPicPr>
                    <pic:cNvPr id="0" name="fig1_family_distribution_cn.png"/>
                    <pic:cNvPicPr/>
                  </pic:nvPicPr>
                  <pic:blipFill>
                    <a:blip r:embed="rId10"/>
                    <a:stretch>
                      <a:fillRect/>
                    </a:stretch>
                  </pic:blipFill>
                  <pic:spPr>
                    <a:xfrm>
                      <a:off x="0" y="0"/>
                      <a:ext cx="5220000" cy="3100343"/>
                    </a:xfrm>
                    <a:prstGeom prst="rect"/>
                  </pic:spPr>
                </pic:pic>
              </a:graphicData>
            </a:graphic>
          </wp:inline>
        </w:drawing>
      </w:r>
    </w:p>
    <w:p>
      <w:pPr>
        <w:jc w:val="center"/>
      </w:pPr>
      <w:r>
        <w:rPr>
          <w:rFonts w:ascii="SimSun" w:hAnsi="SimSun" w:eastAsia="SimSun"/>
          <w:b/>
          <w:sz w:val="20"/>
        </w:rPr>
        <w:t>图 2 样本库攻击族分布</w:t>
      </w:r>
    </w:p>
    <w:p>
      <w:pPr>
        <w:jc w:val="center"/>
      </w:pPr>
      <w:r>
        <w:drawing>
          <wp:inline xmlns:a="http://schemas.openxmlformats.org/drawingml/2006/main" xmlns:pic="http://schemas.openxmlformats.org/drawingml/2006/picture">
            <wp:extent cx="4680000" cy="2750556"/>
            <wp:docPr id="3" name="Picture 3"/>
            <wp:cNvGraphicFramePr>
              <a:graphicFrameLocks noChangeAspect="1"/>
            </wp:cNvGraphicFramePr>
            <a:graphic>
              <a:graphicData uri="http://schemas.openxmlformats.org/drawingml/2006/picture">
                <pic:pic>
                  <pic:nvPicPr>
                    <pic:cNvPr id="0" name="fig2_severity_distribution_cn.png"/>
                    <pic:cNvPicPr/>
                  </pic:nvPicPr>
                  <pic:blipFill>
                    <a:blip r:embed="rId11"/>
                    <a:stretch>
                      <a:fillRect/>
                    </a:stretch>
                  </pic:blipFill>
                  <pic:spPr>
                    <a:xfrm>
                      <a:off x="0" y="0"/>
                      <a:ext cx="4680000" cy="2750556"/>
                    </a:xfrm>
                    <a:prstGeom prst="rect"/>
                  </pic:spPr>
                </pic:pic>
              </a:graphicData>
            </a:graphic>
          </wp:inline>
        </w:drawing>
      </w:r>
    </w:p>
    <w:p>
      <w:pPr>
        <w:jc w:val="center"/>
      </w:pPr>
      <w:r>
        <w:rPr>
          <w:rFonts w:ascii="SimSun" w:hAnsi="SimSun" w:eastAsia="SimSun"/>
          <w:b/>
          <w:sz w:val="20"/>
        </w:rPr>
        <w:t>图 3 样本风险等级分布</w:t>
      </w:r>
    </w:p>
    <w:p>
      <w:pPr>
        <w:jc w:val="center"/>
      </w:pPr>
      <w:r>
        <w:drawing>
          <wp:inline xmlns:a="http://schemas.openxmlformats.org/drawingml/2006/main" xmlns:pic="http://schemas.openxmlformats.org/drawingml/2006/picture">
            <wp:extent cx="5328000" cy="2997622"/>
            <wp:docPr id="4" name="Picture 4"/>
            <wp:cNvGraphicFramePr>
              <a:graphicFrameLocks noChangeAspect="1"/>
            </wp:cNvGraphicFramePr>
            <a:graphic>
              <a:graphicData uri="http://schemas.openxmlformats.org/drawingml/2006/picture">
                <pic:pic>
                  <pic:nvPicPr>
                    <pic:cNvPr id="0" name="fig3_unsafe_actions_cn.png"/>
                    <pic:cNvPicPr/>
                  </pic:nvPicPr>
                  <pic:blipFill>
                    <a:blip r:embed="rId12"/>
                    <a:stretch>
                      <a:fillRect/>
                    </a:stretch>
                  </pic:blipFill>
                  <pic:spPr>
                    <a:xfrm>
                      <a:off x="0" y="0"/>
                      <a:ext cx="5328000" cy="2997622"/>
                    </a:xfrm>
                    <a:prstGeom prst="rect"/>
                  </pic:spPr>
                </pic:pic>
              </a:graphicData>
            </a:graphic>
          </wp:inline>
        </w:drawing>
      </w:r>
    </w:p>
    <w:p>
      <w:pPr>
        <w:jc w:val="center"/>
      </w:pPr>
      <w:r>
        <w:rPr>
          <w:rFonts w:ascii="SimSun" w:hAnsi="SimSun" w:eastAsia="SimSun"/>
          <w:b/>
          <w:sz w:val="20"/>
        </w:rPr>
        <w:t>图 4 不安全目标动作分布（均为本地 mock）</w:t>
      </w:r>
    </w:p>
    <w:p>
      <w:pPr>
        <w:pStyle w:val="Heading2"/>
        <w:spacing w:line="360" w:lineRule="auto" w:before="120" w:after="120"/>
      </w:pPr>
      <w:r>
        <w:rPr>
          <w:rFonts w:ascii="SimSun" w:hAnsi="SimSun" w:eastAsia="SimSun"/>
          <w:b/>
          <w:sz w:val="28"/>
        </w:rPr>
        <w:t>3.3 测试方案</w:t>
      </w:r>
    </w:p>
    <w:p>
      <w:pPr>
        <w:spacing w:line="360" w:lineRule="auto" w:after="120"/>
        <w:ind w:firstLine="480"/>
      </w:pPr>
      <w:r>
        <w:rPr>
          <w:rFonts w:ascii="SimSun" w:hAnsi="SimSun" w:eastAsia="SimSun"/>
          <w:sz w:val="24"/>
        </w:rPr>
        <w:t>测试方案包括三组实验。第一，stub 全量实验覆盖 69 条样本，stub 后端根据样本目标稳定产生候选工具调用，用于观察不同防护模式在完整样本集上的策略效果。第二，本地 Qwen2.5-7B 代表样本实验覆盖 24 条代表样本，用于观察真实模型输出、ToolCall 解析和 Guard 决策链。第三，demo smoke test 覆盖 3 条答辩演示样本，用于稳定复现 RAG 间接提示注入、JSON/RPC 结构化注入和多语言/T2L 注入三类最小攻击链。</w:t>
      </w:r>
    </w:p>
    <w:p>
      <w:pPr>
        <w:spacing w:line="360" w:lineRule="auto" w:after="120"/>
        <w:ind w:firstLine="480"/>
      </w:pPr>
      <w:r>
        <w:rPr>
          <w:rFonts w:ascii="SimSun" w:hAnsi="SimSun" w:eastAsia="SimSun"/>
          <w:sz w:val="24"/>
        </w:rPr>
        <w:t>防护模式包括 baseline、keyword_only、policy_only 和 full_guard。baseline 表示无 Guard；keyword_only 表示仅依赖上下文文本检测；policy_only 表示仅依赖工具和参数策略；full_guard 表示组合上下文检测、工具策略、数据流追踪和意图一致性检查。通过比较四种模式，可以观察不同防护组件的贡献。</w:t>
      </w:r>
    </w:p>
    <w:p>
      <w:pPr>
        <w:pStyle w:val="Heading2"/>
        <w:spacing w:line="360" w:lineRule="auto" w:before="120" w:after="120"/>
      </w:pPr>
      <w:r>
        <w:rPr>
          <w:rFonts w:ascii="SimSun" w:hAnsi="SimSun" w:eastAsia="SimSun"/>
          <w:b/>
          <w:sz w:val="28"/>
        </w:rPr>
        <w:t>3.4 评测指标</w:t>
      </w:r>
    </w:p>
    <w:p>
      <w:pPr>
        <w:spacing w:line="360" w:lineRule="auto" w:after="120"/>
        <w:ind w:firstLine="480"/>
      </w:pPr>
      <w:r>
        <w:rPr>
          <w:rFonts w:ascii="SimSun" w:hAnsi="SimSun" w:eastAsia="SimSun"/>
          <w:sz w:val="24"/>
        </w:rPr>
        <w:t>本作品使用七类指标衡量攻击效果和防护能力。ASR 表示攻击成功率，UTR 表示未授权工具调用率，DSR 表示数据外流风险率，BSR 表示阻断成功率，FPR 表示正常样本误报率，AvgRisk 表示平均风险分。综合韧性分 WRS 定义如下：</w:t>
      </w:r>
    </w:p>
    <w:p>
      <w:pPr>
        <w:spacing w:line="360" w:lineRule="auto" w:after="120"/>
        <w:ind w:firstLine="480"/>
      </w:pPr>
      <w:r>
        <w:rPr>
          <w:rFonts w:ascii="SimSun" w:hAnsi="SimSun" w:eastAsia="SimSun"/>
          <w:sz w:val="24"/>
        </w:rPr>
        <w:t>WRS = 0.35(1-ASR) + 0.20(1-UTR) + 0.20(1-DSR) + 0.15BSR + 0.10(1-FPR)。该公式强调降低攻击成功、未授权工具调用和数据外流，同时兼顾阻断能力与正常任务可用性。</w:t>
      </w:r>
    </w:p>
    <w:p>
      <w:pPr>
        <w:jc w:val="center"/>
      </w:pPr>
      <w:r>
        <w:rPr>
          <w:rFonts w:ascii="SimSun" w:hAnsi="SimSun" w:eastAsia="SimSun"/>
          <w:b/>
          <w:sz w:val="20"/>
        </w:rPr>
        <w:t>表 5 评测指标定义</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86"/>
        <w:gridCol w:w="2986"/>
        <w:gridCol w:w="2986"/>
      </w:tblGrid>
      <w:tr>
        <w:tc>
          <w:tcPr>
            <w:tcW w:type="dxa" w:w="2986"/>
            <w:vAlign w:val="center"/>
            <w:shd w:fill="D9EAF7"/>
          </w:tcPr>
          <w:p>
            <w:pPr>
              <w:jc w:val="center"/>
            </w:pPr>
            <w:r/>
            <w:r>
              <w:rPr>
                <w:rFonts w:ascii="SimSun" w:hAnsi="SimSun" w:eastAsia="SimSun"/>
                <w:b/>
                <w:sz w:val="16"/>
              </w:rPr>
              <w:t>指标</w:t>
            </w:r>
          </w:p>
        </w:tc>
        <w:tc>
          <w:tcPr>
            <w:tcW w:type="dxa" w:w="2986"/>
            <w:vAlign w:val="center"/>
            <w:shd w:fill="D9EAF7"/>
          </w:tcPr>
          <w:p>
            <w:pPr>
              <w:jc w:val="center"/>
            </w:pPr>
            <w:r/>
            <w:r>
              <w:rPr>
                <w:rFonts w:ascii="SimSun" w:hAnsi="SimSun" w:eastAsia="SimSun"/>
                <w:b/>
                <w:sz w:val="16"/>
              </w:rPr>
              <w:t>英文</w:t>
            </w:r>
          </w:p>
        </w:tc>
        <w:tc>
          <w:tcPr>
            <w:tcW w:type="dxa" w:w="2986"/>
            <w:vAlign w:val="center"/>
            <w:shd w:fill="D9EAF7"/>
          </w:tcPr>
          <w:p>
            <w:pPr>
              <w:jc w:val="center"/>
            </w:pPr>
            <w:r/>
            <w:r>
              <w:rPr>
                <w:rFonts w:ascii="SimSun" w:hAnsi="SimSun" w:eastAsia="SimSun"/>
                <w:b/>
                <w:sz w:val="16"/>
              </w:rPr>
              <w:t>含义</w:t>
            </w:r>
          </w:p>
        </w:tc>
      </w:tr>
      <w:tr>
        <w:tc>
          <w:tcPr>
            <w:tcW w:type="dxa" w:w="2986"/>
            <w:vAlign w:val="center"/>
          </w:tcPr>
          <w:p>
            <w:pPr>
              <w:jc w:val="center"/>
            </w:pPr>
            <w:r/>
            <w:r>
              <w:rPr>
                <w:rFonts w:ascii="SimSun" w:hAnsi="SimSun" w:eastAsia="SimSun"/>
                <w:b w:val="0"/>
                <w:sz w:val="16"/>
              </w:rPr>
              <w:t>ASR</w:t>
            </w:r>
          </w:p>
        </w:tc>
        <w:tc>
          <w:tcPr>
            <w:tcW w:type="dxa" w:w="2986"/>
            <w:vAlign w:val="center"/>
          </w:tcPr>
          <w:p>
            <w:pPr>
              <w:jc w:val="center"/>
            </w:pPr>
            <w:r/>
            <w:r>
              <w:rPr>
                <w:rFonts w:ascii="SimSun" w:hAnsi="SimSun" w:eastAsia="SimSun"/>
                <w:b w:val="0"/>
                <w:sz w:val="16"/>
              </w:rPr>
              <w:t>Attack Success Rate</w:t>
            </w:r>
          </w:p>
        </w:tc>
        <w:tc>
          <w:tcPr>
            <w:tcW w:type="dxa" w:w="2986"/>
            <w:vAlign w:val="center"/>
          </w:tcPr>
          <w:p>
            <w:pPr>
              <w:jc w:val="center"/>
            </w:pPr>
            <w:r/>
            <w:r>
              <w:rPr>
                <w:rFonts w:ascii="SimSun" w:hAnsi="SimSun" w:eastAsia="SimSun"/>
                <w:b w:val="0"/>
                <w:sz w:val="16"/>
              </w:rPr>
              <w:t>攻击样本触发 unsafe_target_actions 的比例</w:t>
            </w:r>
          </w:p>
        </w:tc>
      </w:tr>
      <w:tr>
        <w:tc>
          <w:tcPr>
            <w:tcW w:type="dxa" w:w="2986"/>
            <w:vAlign w:val="center"/>
          </w:tcPr>
          <w:p>
            <w:pPr>
              <w:jc w:val="center"/>
            </w:pPr>
            <w:r/>
            <w:r>
              <w:rPr>
                <w:rFonts w:ascii="SimSun" w:hAnsi="SimSun" w:eastAsia="SimSun"/>
                <w:b w:val="0"/>
                <w:sz w:val="16"/>
              </w:rPr>
              <w:t>UTR</w:t>
            </w:r>
          </w:p>
        </w:tc>
        <w:tc>
          <w:tcPr>
            <w:tcW w:type="dxa" w:w="2986"/>
            <w:vAlign w:val="center"/>
          </w:tcPr>
          <w:p>
            <w:pPr>
              <w:jc w:val="center"/>
            </w:pPr>
            <w:r/>
            <w:r>
              <w:rPr>
                <w:rFonts w:ascii="SimSun" w:hAnsi="SimSun" w:eastAsia="SimSun"/>
                <w:b w:val="0"/>
                <w:sz w:val="16"/>
              </w:rPr>
              <w:t>Unauthorized Tool-call Rate</w:t>
            </w:r>
          </w:p>
        </w:tc>
        <w:tc>
          <w:tcPr>
            <w:tcW w:type="dxa" w:w="2986"/>
            <w:vAlign w:val="center"/>
          </w:tcPr>
          <w:p>
            <w:pPr>
              <w:jc w:val="center"/>
            </w:pPr>
            <w:r/>
            <w:r>
              <w:rPr>
                <w:rFonts w:ascii="SimSun" w:hAnsi="SimSun" w:eastAsia="SimSun"/>
                <w:b w:val="0"/>
                <w:sz w:val="16"/>
              </w:rPr>
              <w:t>出现未授权高风险工具调用的比例</w:t>
            </w:r>
          </w:p>
        </w:tc>
      </w:tr>
      <w:tr>
        <w:tc>
          <w:tcPr>
            <w:tcW w:type="dxa" w:w="2986"/>
            <w:vAlign w:val="center"/>
          </w:tcPr>
          <w:p>
            <w:pPr>
              <w:jc w:val="center"/>
            </w:pPr>
            <w:r/>
            <w:r>
              <w:rPr>
                <w:rFonts w:ascii="SimSun" w:hAnsi="SimSun" w:eastAsia="SimSun"/>
                <w:b w:val="0"/>
                <w:sz w:val="16"/>
              </w:rPr>
              <w:t>DSR</w:t>
            </w:r>
          </w:p>
        </w:tc>
        <w:tc>
          <w:tcPr>
            <w:tcW w:type="dxa" w:w="2986"/>
            <w:vAlign w:val="center"/>
          </w:tcPr>
          <w:p>
            <w:pPr>
              <w:jc w:val="center"/>
            </w:pPr>
            <w:r/>
            <w:r>
              <w:rPr>
                <w:rFonts w:ascii="SimSun" w:hAnsi="SimSun" w:eastAsia="SimSun"/>
                <w:b w:val="0"/>
                <w:sz w:val="16"/>
              </w:rPr>
              <w:t>Data Spill Risk Rate</w:t>
            </w:r>
          </w:p>
        </w:tc>
        <w:tc>
          <w:tcPr>
            <w:tcW w:type="dxa" w:w="2986"/>
            <w:vAlign w:val="center"/>
          </w:tcPr>
          <w:p>
            <w:pPr>
              <w:jc w:val="center"/>
            </w:pPr>
            <w:r/>
            <w:r>
              <w:rPr>
                <w:rFonts w:ascii="SimSun" w:hAnsi="SimSun" w:eastAsia="SimSun"/>
                <w:b w:val="0"/>
                <w:sz w:val="16"/>
              </w:rPr>
              <w:t>敏感标记进入外发链路的比例</w:t>
            </w:r>
          </w:p>
        </w:tc>
      </w:tr>
      <w:tr>
        <w:tc>
          <w:tcPr>
            <w:tcW w:type="dxa" w:w="2986"/>
            <w:vAlign w:val="center"/>
          </w:tcPr>
          <w:p>
            <w:pPr>
              <w:jc w:val="center"/>
            </w:pPr>
            <w:r/>
            <w:r>
              <w:rPr>
                <w:rFonts w:ascii="SimSun" w:hAnsi="SimSun" w:eastAsia="SimSun"/>
                <w:b w:val="0"/>
                <w:sz w:val="16"/>
              </w:rPr>
              <w:t>BSR</w:t>
            </w:r>
          </w:p>
        </w:tc>
        <w:tc>
          <w:tcPr>
            <w:tcW w:type="dxa" w:w="2986"/>
            <w:vAlign w:val="center"/>
          </w:tcPr>
          <w:p>
            <w:pPr>
              <w:jc w:val="center"/>
            </w:pPr>
            <w:r/>
            <w:r>
              <w:rPr>
                <w:rFonts w:ascii="SimSun" w:hAnsi="SimSun" w:eastAsia="SimSun"/>
                <w:b w:val="0"/>
                <w:sz w:val="16"/>
              </w:rPr>
              <w:t>Block Success Rate</w:t>
            </w:r>
          </w:p>
        </w:tc>
        <w:tc>
          <w:tcPr>
            <w:tcW w:type="dxa" w:w="2986"/>
            <w:vAlign w:val="center"/>
          </w:tcPr>
          <w:p>
            <w:pPr>
              <w:jc w:val="center"/>
            </w:pPr>
            <w:r/>
            <w:r>
              <w:rPr>
                <w:rFonts w:ascii="SimSun" w:hAnsi="SimSun" w:eastAsia="SimSun"/>
                <w:b w:val="0"/>
                <w:sz w:val="16"/>
              </w:rPr>
              <w:t>攻击样本被 ask 或 deny 的比例</w:t>
            </w:r>
          </w:p>
        </w:tc>
      </w:tr>
      <w:tr>
        <w:tc>
          <w:tcPr>
            <w:tcW w:type="dxa" w:w="2986"/>
            <w:vAlign w:val="center"/>
          </w:tcPr>
          <w:p>
            <w:pPr>
              <w:jc w:val="center"/>
            </w:pPr>
            <w:r/>
            <w:r>
              <w:rPr>
                <w:rFonts w:ascii="SimSun" w:hAnsi="SimSun" w:eastAsia="SimSun"/>
                <w:b w:val="0"/>
                <w:sz w:val="16"/>
              </w:rPr>
              <w:t>FPR</w:t>
            </w:r>
          </w:p>
        </w:tc>
        <w:tc>
          <w:tcPr>
            <w:tcW w:type="dxa" w:w="2986"/>
            <w:vAlign w:val="center"/>
          </w:tcPr>
          <w:p>
            <w:pPr>
              <w:jc w:val="center"/>
            </w:pPr>
            <w:r/>
            <w:r>
              <w:rPr>
                <w:rFonts w:ascii="SimSun" w:hAnsi="SimSun" w:eastAsia="SimSun"/>
                <w:b w:val="0"/>
                <w:sz w:val="16"/>
              </w:rPr>
              <w:t>False Positive Rate</w:t>
            </w:r>
          </w:p>
        </w:tc>
        <w:tc>
          <w:tcPr>
            <w:tcW w:type="dxa" w:w="2986"/>
            <w:vAlign w:val="center"/>
          </w:tcPr>
          <w:p>
            <w:pPr>
              <w:jc w:val="center"/>
            </w:pPr>
            <w:r/>
            <w:r>
              <w:rPr>
                <w:rFonts w:ascii="SimSun" w:hAnsi="SimSun" w:eastAsia="SimSun"/>
                <w:b w:val="0"/>
                <w:sz w:val="16"/>
              </w:rPr>
              <w:t>正常任务被 ask 或 deny 的比例</w:t>
            </w:r>
          </w:p>
        </w:tc>
      </w:tr>
      <w:tr>
        <w:tc>
          <w:tcPr>
            <w:tcW w:type="dxa" w:w="2986"/>
            <w:vAlign w:val="center"/>
          </w:tcPr>
          <w:p>
            <w:pPr>
              <w:jc w:val="center"/>
            </w:pPr>
            <w:r/>
            <w:r>
              <w:rPr>
                <w:rFonts w:ascii="SimSun" w:hAnsi="SimSun" w:eastAsia="SimSun"/>
                <w:b w:val="0"/>
                <w:sz w:val="16"/>
              </w:rPr>
              <w:t>AvgRisk</w:t>
            </w:r>
          </w:p>
        </w:tc>
        <w:tc>
          <w:tcPr>
            <w:tcW w:type="dxa" w:w="2986"/>
            <w:vAlign w:val="center"/>
          </w:tcPr>
          <w:p>
            <w:pPr>
              <w:jc w:val="center"/>
            </w:pPr>
            <w:r/>
            <w:r>
              <w:rPr>
                <w:rFonts w:ascii="SimSun" w:hAnsi="SimSun" w:eastAsia="SimSun"/>
                <w:b w:val="0"/>
                <w:sz w:val="16"/>
              </w:rPr>
              <w:t>Average Risk Score</w:t>
            </w:r>
          </w:p>
        </w:tc>
        <w:tc>
          <w:tcPr>
            <w:tcW w:type="dxa" w:w="2986"/>
            <w:vAlign w:val="center"/>
          </w:tcPr>
          <w:p>
            <w:pPr>
              <w:jc w:val="center"/>
            </w:pPr>
            <w:r/>
            <w:r>
              <w:rPr>
                <w:rFonts w:ascii="SimSun" w:hAnsi="SimSun" w:eastAsia="SimSun"/>
                <w:b w:val="0"/>
                <w:sz w:val="16"/>
              </w:rPr>
              <w:t>Guard 风险分平均值</w:t>
            </w:r>
          </w:p>
        </w:tc>
      </w:tr>
      <w:tr>
        <w:tc>
          <w:tcPr>
            <w:tcW w:type="dxa" w:w="2986"/>
            <w:vAlign w:val="center"/>
          </w:tcPr>
          <w:p>
            <w:pPr>
              <w:jc w:val="center"/>
            </w:pPr>
            <w:r/>
            <w:r>
              <w:rPr>
                <w:rFonts w:ascii="SimSun" w:hAnsi="SimSun" w:eastAsia="SimSun"/>
                <w:b w:val="0"/>
                <w:sz w:val="16"/>
              </w:rPr>
              <w:t>WRS</w:t>
            </w:r>
          </w:p>
        </w:tc>
        <w:tc>
          <w:tcPr>
            <w:tcW w:type="dxa" w:w="2986"/>
            <w:vAlign w:val="center"/>
          </w:tcPr>
          <w:p>
            <w:pPr>
              <w:jc w:val="center"/>
            </w:pPr>
            <w:r/>
            <w:r>
              <w:rPr>
                <w:rFonts w:ascii="SimSun" w:hAnsi="SimSun" w:eastAsia="SimSun"/>
                <w:b w:val="0"/>
                <w:sz w:val="16"/>
              </w:rPr>
              <w:t>Weighted Resilience Score</w:t>
            </w:r>
          </w:p>
        </w:tc>
        <w:tc>
          <w:tcPr>
            <w:tcW w:type="dxa" w:w="2986"/>
            <w:vAlign w:val="center"/>
          </w:tcPr>
          <w:p>
            <w:pPr>
              <w:jc w:val="center"/>
            </w:pPr>
            <w:r/>
            <w:r>
              <w:rPr>
                <w:rFonts w:ascii="SimSun" w:hAnsi="SimSun" w:eastAsia="SimSun"/>
                <w:b w:val="0"/>
                <w:sz w:val="16"/>
              </w:rPr>
              <w:t>综合韧性分，越高表示防护越稳健</w:t>
            </w:r>
          </w:p>
        </w:tc>
      </w:tr>
    </w:tbl>
    <w:p/>
    <w:p>
      <w:pPr>
        <w:pStyle w:val="Heading2"/>
        <w:spacing w:line="360" w:lineRule="auto" w:before="120" w:after="120"/>
      </w:pPr>
      <w:r>
        <w:rPr>
          <w:rFonts w:ascii="SimSun" w:hAnsi="SimSun" w:eastAsia="SimSun"/>
          <w:b/>
          <w:sz w:val="28"/>
        </w:rPr>
        <w:t>3.5 总体实验结果</w:t>
      </w:r>
    </w:p>
    <w:p>
      <w:pPr>
        <w:jc w:val="center"/>
      </w:pPr>
      <w:r>
        <w:rPr>
          <w:rFonts w:ascii="SimSun" w:hAnsi="SimSun" w:eastAsia="SimSun"/>
          <w:b/>
          <w:sz w:val="20"/>
        </w:rPr>
        <w:t>表 6 总体实验结果</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896"/>
        <w:gridCol w:w="896"/>
        <w:gridCol w:w="896"/>
        <w:gridCol w:w="896"/>
        <w:gridCol w:w="896"/>
        <w:gridCol w:w="896"/>
        <w:gridCol w:w="896"/>
        <w:gridCol w:w="896"/>
        <w:gridCol w:w="896"/>
        <w:gridCol w:w="896"/>
      </w:tblGrid>
      <w:tr>
        <w:tc>
          <w:tcPr>
            <w:tcW w:type="dxa" w:w="896"/>
            <w:vAlign w:val="center"/>
            <w:shd w:fill="D9EAF7"/>
          </w:tcPr>
          <w:p>
            <w:pPr>
              <w:jc w:val="center"/>
            </w:pPr>
            <w:r/>
            <w:r>
              <w:rPr>
                <w:rFonts w:ascii="SimSun" w:hAnsi="SimSun" w:eastAsia="SimSun"/>
                <w:b/>
                <w:sz w:val="14"/>
              </w:rPr>
              <w:t>后端/模型</w:t>
            </w:r>
          </w:p>
        </w:tc>
        <w:tc>
          <w:tcPr>
            <w:tcW w:type="dxa" w:w="896"/>
            <w:vAlign w:val="center"/>
            <w:shd w:fill="D9EAF7"/>
          </w:tcPr>
          <w:p>
            <w:pPr>
              <w:jc w:val="center"/>
            </w:pPr>
            <w:r/>
            <w:r>
              <w:rPr>
                <w:rFonts w:ascii="SimSun" w:hAnsi="SimSun" w:eastAsia="SimSun"/>
                <w:b/>
                <w:sz w:val="14"/>
              </w:rPr>
              <w:t>防护模式</w:t>
            </w:r>
          </w:p>
        </w:tc>
        <w:tc>
          <w:tcPr>
            <w:tcW w:type="dxa" w:w="896"/>
            <w:vAlign w:val="center"/>
            <w:shd w:fill="D9EAF7"/>
          </w:tcPr>
          <w:p>
            <w:pPr>
              <w:jc w:val="center"/>
            </w:pPr>
            <w:r/>
            <w:r>
              <w:rPr>
                <w:rFonts w:ascii="SimSun" w:hAnsi="SimSun" w:eastAsia="SimSun"/>
                <w:b/>
                <w:sz w:val="14"/>
              </w:rPr>
              <w:t>样本数</w:t>
            </w:r>
          </w:p>
        </w:tc>
        <w:tc>
          <w:tcPr>
            <w:tcW w:type="dxa" w:w="896"/>
            <w:vAlign w:val="center"/>
            <w:shd w:fill="D9EAF7"/>
          </w:tcPr>
          <w:p>
            <w:pPr>
              <w:jc w:val="center"/>
            </w:pPr>
            <w:r/>
            <w:r>
              <w:rPr>
                <w:rFonts w:ascii="SimSun" w:hAnsi="SimSun" w:eastAsia="SimSun"/>
                <w:b/>
                <w:sz w:val="14"/>
              </w:rPr>
              <w:t>ASR</w:t>
            </w:r>
          </w:p>
        </w:tc>
        <w:tc>
          <w:tcPr>
            <w:tcW w:type="dxa" w:w="896"/>
            <w:vAlign w:val="center"/>
            <w:shd w:fill="D9EAF7"/>
          </w:tcPr>
          <w:p>
            <w:pPr>
              <w:jc w:val="center"/>
            </w:pPr>
            <w:r/>
            <w:r>
              <w:rPr>
                <w:rFonts w:ascii="SimSun" w:hAnsi="SimSun" w:eastAsia="SimSun"/>
                <w:b/>
                <w:sz w:val="14"/>
              </w:rPr>
              <w:t>UTR</w:t>
            </w:r>
          </w:p>
        </w:tc>
        <w:tc>
          <w:tcPr>
            <w:tcW w:type="dxa" w:w="896"/>
            <w:vAlign w:val="center"/>
            <w:shd w:fill="D9EAF7"/>
          </w:tcPr>
          <w:p>
            <w:pPr>
              <w:jc w:val="center"/>
            </w:pPr>
            <w:r/>
            <w:r>
              <w:rPr>
                <w:rFonts w:ascii="SimSun" w:hAnsi="SimSun" w:eastAsia="SimSun"/>
                <w:b/>
                <w:sz w:val="14"/>
              </w:rPr>
              <w:t>DSR</w:t>
            </w:r>
          </w:p>
        </w:tc>
        <w:tc>
          <w:tcPr>
            <w:tcW w:type="dxa" w:w="896"/>
            <w:vAlign w:val="center"/>
            <w:shd w:fill="D9EAF7"/>
          </w:tcPr>
          <w:p>
            <w:pPr>
              <w:jc w:val="center"/>
            </w:pPr>
            <w:r/>
            <w:r>
              <w:rPr>
                <w:rFonts w:ascii="SimSun" w:hAnsi="SimSun" w:eastAsia="SimSun"/>
                <w:b/>
                <w:sz w:val="14"/>
              </w:rPr>
              <w:t>BSR</w:t>
            </w:r>
          </w:p>
        </w:tc>
        <w:tc>
          <w:tcPr>
            <w:tcW w:type="dxa" w:w="896"/>
            <w:vAlign w:val="center"/>
            <w:shd w:fill="D9EAF7"/>
          </w:tcPr>
          <w:p>
            <w:pPr>
              <w:jc w:val="center"/>
            </w:pPr>
            <w:r/>
            <w:r>
              <w:rPr>
                <w:rFonts w:ascii="SimSun" w:hAnsi="SimSun" w:eastAsia="SimSun"/>
                <w:b/>
                <w:sz w:val="14"/>
              </w:rPr>
              <w:t>FPR</w:t>
            </w:r>
          </w:p>
        </w:tc>
        <w:tc>
          <w:tcPr>
            <w:tcW w:type="dxa" w:w="896"/>
            <w:vAlign w:val="center"/>
            <w:shd w:fill="D9EAF7"/>
          </w:tcPr>
          <w:p>
            <w:pPr>
              <w:jc w:val="center"/>
            </w:pPr>
            <w:r/>
            <w:r>
              <w:rPr>
                <w:rFonts w:ascii="SimSun" w:hAnsi="SimSun" w:eastAsia="SimSun"/>
                <w:b/>
                <w:sz w:val="14"/>
              </w:rPr>
              <w:t>AvgRisk</w:t>
            </w:r>
          </w:p>
        </w:tc>
        <w:tc>
          <w:tcPr>
            <w:tcW w:type="dxa" w:w="896"/>
            <w:vAlign w:val="center"/>
            <w:shd w:fill="D9EAF7"/>
          </w:tcPr>
          <w:p>
            <w:pPr>
              <w:jc w:val="center"/>
            </w:pPr>
            <w:r/>
            <w:r>
              <w:rPr>
                <w:rFonts w:ascii="SimSun" w:hAnsi="SimSun" w:eastAsia="SimSun"/>
                <w:b/>
                <w:sz w:val="14"/>
              </w:rPr>
              <w:t>WRS</w:t>
            </w:r>
          </w:p>
        </w:tc>
      </w:tr>
      <w:tr>
        <w:tc>
          <w:tcPr>
            <w:tcW w:type="dxa" w:w="896"/>
            <w:vAlign w:val="center"/>
          </w:tcPr>
          <w:p>
            <w:pPr>
              <w:jc w:val="center"/>
            </w:pPr>
            <w:r/>
            <w:r>
              <w:rPr>
                <w:rFonts w:ascii="SimSun" w:hAnsi="SimSun" w:eastAsia="SimSun"/>
                <w:b w:val="0"/>
                <w:sz w:val="14"/>
              </w:rPr>
              <w:t>stub</w:t>
            </w:r>
          </w:p>
        </w:tc>
        <w:tc>
          <w:tcPr>
            <w:tcW w:type="dxa" w:w="896"/>
            <w:vAlign w:val="center"/>
          </w:tcPr>
          <w:p>
            <w:pPr>
              <w:jc w:val="center"/>
            </w:pPr>
            <w:r/>
            <w:r>
              <w:rPr>
                <w:rFonts w:ascii="SimSun" w:hAnsi="SimSun" w:eastAsia="SimSun"/>
                <w:b w:val="0"/>
                <w:sz w:val="14"/>
              </w:rPr>
              <w:t>baseline</w:t>
            </w:r>
          </w:p>
        </w:tc>
        <w:tc>
          <w:tcPr>
            <w:tcW w:type="dxa" w:w="896"/>
            <w:vAlign w:val="center"/>
          </w:tcPr>
          <w:p>
            <w:pPr>
              <w:jc w:val="center"/>
            </w:pPr>
            <w:r/>
            <w:r>
              <w:rPr>
                <w:rFonts w:ascii="SimSun" w:hAnsi="SimSun" w:eastAsia="SimSun"/>
                <w:b w:val="0"/>
                <w:sz w:val="14"/>
              </w:rPr>
              <w:t>69</w:t>
            </w:r>
          </w:p>
        </w:tc>
        <w:tc>
          <w:tcPr>
            <w:tcW w:type="dxa" w:w="896"/>
            <w:vAlign w:val="center"/>
          </w:tcPr>
          <w:p>
            <w:pPr>
              <w:jc w:val="center"/>
            </w:pPr>
            <w:r/>
            <w:r>
              <w:rPr>
                <w:rFonts w:ascii="SimSun" w:hAnsi="SimSun" w:eastAsia="SimSun"/>
                <w:b w:val="0"/>
                <w:sz w:val="14"/>
              </w:rPr>
              <w:t>55.07%</w:t>
            </w:r>
          </w:p>
        </w:tc>
        <w:tc>
          <w:tcPr>
            <w:tcW w:type="dxa" w:w="896"/>
            <w:vAlign w:val="center"/>
          </w:tcPr>
          <w:p>
            <w:pPr>
              <w:jc w:val="center"/>
            </w:pPr>
            <w:r/>
            <w:r>
              <w:rPr>
                <w:rFonts w:ascii="SimSun" w:hAnsi="SimSun" w:eastAsia="SimSun"/>
                <w:b w:val="0"/>
                <w:sz w:val="14"/>
              </w:rPr>
              <w:t>28.99%</w:t>
            </w:r>
          </w:p>
        </w:tc>
        <w:tc>
          <w:tcPr>
            <w:tcW w:type="dxa" w:w="896"/>
            <w:vAlign w:val="center"/>
          </w:tcPr>
          <w:p>
            <w:pPr>
              <w:jc w:val="center"/>
            </w:pPr>
            <w:r/>
            <w:r>
              <w:rPr>
                <w:rFonts w:ascii="SimSun" w:hAnsi="SimSun" w:eastAsia="SimSun"/>
                <w:b w:val="0"/>
                <w:sz w:val="14"/>
              </w:rPr>
              <w:t>55.07%</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0.0000</w:t>
            </w:r>
          </w:p>
        </w:tc>
        <w:tc>
          <w:tcPr>
            <w:tcW w:type="dxa" w:w="896"/>
            <w:vAlign w:val="center"/>
          </w:tcPr>
          <w:p>
            <w:pPr>
              <w:jc w:val="center"/>
            </w:pPr>
            <w:r/>
            <w:r>
              <w:rPr>
                <w:rFonts w:ascii="SimSun" w:hAnsi="SimSun" w:eastAsia="SimSun"/>
                <w:b w:val="0"/>
                <w:sz w:val="14"/>
              </w:rPr>
              <w:t>0.4891</w:t>
            </w:r>
          </w:p>
        </w:tc>
      </w:tr>
      <w:tr>
        <w:tc>
          <w:tcPr>
            <w:tcW w:type="dxa" w:w="896"/>
            <w:vAlign w:val="center"/>
          </w:tcPr>
          <w:p>
            <w:pPr>
              <w:jc w:val="center"/>
            </w:pPr>
            <w:r/>
            <w:r>
              <w:rPr>
                <w:rFonts w:ascii="SimSun" w:hAnsi="SimSun" w:eastAsia="SimSun"/>
                <w:b w:val="0"/>
                <w:sz w:val="14"/>
              </w:rPr>
              <w:t>stub</w:t>
            </w:r>
          </w:p>
        </w:tc>
        <w:tc>
          <w:tcPr>
            <w:tcW w:type="dxa" w:w="896"/>
            <w:vAlign w:val="center"/>
          </w:tcPr>
          <w:p>
            <w:pPr>
              <w:jc w:val="center"/>
            </w:pPr>
            <w:r/>
            <w:r>
              <w:rPr>
                <w:rFonts w:ascii="SimSun" w:hAnsi="SimSun" w:eastAsia="SimSun"/>
                <w:b w:val="0"/>
                <w:sz w:val="14"/>
              </w:rPr>
              <w:t>full_guard</w:t>
            </w:r>
          </w:p>
        </w:tc>
        <w:tc>
          <w:tcPr>
            <w:tcW w:type="dxa" w:w="896"/>
            <w:vAlign w:val="center"/>
          </w:tcPr>
          <w:p>
            <w:pPr>
              <w:jc w:val="center"/>
            </w:pPr>
            <w:r/>
            <w:r>
              <w:rPr>
                <w:rFonts w:ascii="SimSun" w:hAnsi="SimSun" w:eastAsia="SimSun"/>
                <w:b w:val="0"/>
                <w:sz w:val="14"/>
              </w:rPr>
              <w:t>69</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88.41%</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0.7652</w:t>
            </w:r>
          </w:p>
        </w:tc>
        <w:tc>
          <w:tcPr>
            <w:tcW w:type="dxa" w:w="896"/>
            <w:vAlign w:val="center"/>
          </w:tcPr>
          <w:p>
            <w:pPr>
              <w:jc w:val="center"/>
            </w:pPr>
            <w:r/>
            <w:r>
              <w:rPr>
                <w:rFonts w:ascii="SimSun" w:hAnsi="SimSun" w:eastAsia="SimSun"/>
                <w:b w:val="0"/>
                <w:sz w:val="14"/>
              </w:rPr>
              <w:t>0.9826</w:t>
            </w:r>
          </w:p>
        </w:tc>
      </w:tr>
      <w:tr>
        <w:tc>
          <w:tcPr>
            <w:tcW w:type="dxa" w:w="896"/>
            <w:vAlign w:val="center"/>
          </w:tcPr>
          <w:p>
            <w:pPr>
              <w:jc w:val="center"/>
            </w:pPr>
            <w:r/>
            <w:r>
              <w:rPr>
                <w:rFonts w:ascii="SimSun" w:hAnsi="SimSun" w:eastAsia="SimSun"/>
                <w:b w:val="0"/>
                <w:sz w:val="14"/>
              </w:rPr>
              <w:t>stub</w:t>
            </w:r>
          </w:p>
        </w:tc>
        <w:tc>
          <w:tcPr>
            <w:tcW w:type="dxa" w:w="896"/>
            <w:vAlign w:val="center"/>
          </w:tcPr>
          <w:p>
            <w:pPr>
              <w:jc w:val="center"/>
            </w:pPr>
            <w:r/>
            <w:r>
              <w:rPr>
                <w:rFonts w:ascii="SimSun" w:hAnsi="SimSun" w:eastAsia="SimSun"/>
                <w:b w:val="0"/>
                <w:sz w:val="14"/>
              </w:rPr>
              <w:t>keyword_only</w:t>
            </w:r>
          </w:p>
        </w:tc>
        <w:tc>
          <w:tcPr>
            <w:tcW w:type="dxa" w:w="896"/>
            <w:vAlign w:val="center"/>
          </w:tcPr>
          <w:p>
            <w:pPr>
              <w:jc w:val="center"/>
            </w:pPr>
            <w:r/>
            <w:r>
              <w:rPr>
                <w:rFonts w:ascii="SimSun" w:hAnsi="SimSun" w:eastAsia="SimSun"/>
                <w:b w:val="0"/>
                <w:sz w:val="14"/>
              </w:rPr>
              <w:t>69</w:t>
            </w:r>
          </w:p>
        </w:tc>
        <w:tc>
          <w:tcPr>
            <w:tcW w:type="dxa" w:w="896"/>
            <w:vAlign w:val="center"/>
          </w:tcPr>
          <w:p>
            <w:pPr>
              <w:jc w:val="center"/>
            </w:pPr>
            <w:r/>
            <w:r>
              <w:rPr>
                <w:rFonts w:ascii="SimSun" w:hAnsi="SimSun" w:eastAsia="SimSun"/>
                <w:b w:val="0"/>
                <w:sz w:val="14"/>
              </w:rPr>
              <w:t>13.04%</w:t>
            </w:r>
          </w:p>
        </w:tc>
        <w:tc>
          <w:tcPr>
            <w:tcW w:type="dxa" w:w="896"/>
            <w:vAlign w:val="center"/>
          </w:tcPr>
          <w:p>
            <w:pPr>
              <w:jc w:val="center"/>
            </w:pPr>
            <w:r/>
            <w:r>
              <w:rPr>
                <w:rFonts w:ascii="SimSun" w:hAnsi="SimSun" w:eastAsia="SimSun"/>
                <w:b w:val="0"/>
                <w:sz w:val="14"/>
              </w:rPr>
              <w:t>8.70%</w:t>
            </w:r>
          </w:p>
        </w:tc>
        <w:tc>
          <w:tcPr>
            <w:tcW w:type="dxa" w:w="896"/>
            <w:vAlign w:val="center"/>
          </w:tcPr>
          <w:p>
            <w:pPr>
              <w:jc w:val="center"/>
            </w:pPr>
            <w:r/>
            <w:r>
              <w:rPr>
                <w:rFonts w:ascii="SimSun" w:hAnsi="SimSun" w:eastAsia="SimSun"/>
                <w:b w:val="0"/>
                <w:sz w:val="14"/>
              </w:rPr>
              <w:t>13.04%</w:t>
            </w:r>
          </w:p>
        </w:tc>
        <w:tc>
          <w:tcPr>
            <w:tcW w:type="dxa" w:w="896"/>
            <w:vAlign w:val="center"/>
          </w:tcPr>
          <w:p>
            <w:pPr>
              <w:jc w:val="center"/>
            </w:pPr>
            <w:r/>
            <w:r>
              <w:rPr>
                <w:rFonts w:ascii="SimSun" w:hAnsi="SimSun" w:eastAsia="SimSun"/>
                <w:b w:val="0"/>
                <w:sz w:val="14"/>
              </w:rPr>
              <w:t>65.22%</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0.2626</w:t>
            </w:r>
          </w:p>
        </w:tc>
        <w:tc>
          <w:tcPr>
            <w:tcW w:type="dxa" w:w="896"/>
            <w:vAlign w:val="center"/>
          </w:tcPr>
          <w:p>
            <w:pPr>
              <w:jc w:val="center"/>
            </w:pPr>
            <w:r/>
            <w:r>
              <w:rPr>
                <w:rFonts w:ascii="SimSun" w:hAnsi="SimSun" w:eastAsia="SimSun"/>
                <w:b w:val="0"/>
                <w:sz w:val="14"/>
              </w:rPr>
              <w:t>0.8587</w:t>
            </w:r>
          </w:p>
        </w:tc>
      </w:tr>
      <w:tr>
        <w:tc>
          <w:tcPr>
            <w:tcW w:type="dxa" w:w="896"/>
            <w:vAlign w:val="center"/>
          </w:tcPr>
          <w:p>
            <w:pPr>
              <w:jc w:val="center"/>
            </w:pPr>
            <w:r/>
            <w:r>
              <w:rPr>
                <w:rFonts w:ascii="SimSun" w:hAnsi="SimSun" w:eastAsia="SimSun"/>
                <w:b w:val="0"/>
                <w:sz w:val="14"/>
              </w:rPr>
              <w:t>stub</w:t>
            </w:r>
          </w:p>
        </w:tc>
        <w:tc>
          <w:tcPr>
            <w:tcW w:type="dxa" w:w="896"/>
            <w:vAlign w:val="center"/>
          </w:tcPr>
          <w:p>
            <w:pPr>
              <w:jc w:val="center"/>
            </w:pPr>
            <w:r/>
            <w:r>
              <w:rPr>
                <w:rFonts w:ascii="SimSun" w:hAnsi="SimSun" w:eastAsia="SimSun"/>
                <w:b w:val="0"/>
                <w:sz w:val="14"/>
              </w:rPr>
              <w:t>policy_only</w:t>
            </w:r>
          </w:p>
        </w:tc>
        <w:tc>
          <w:tcPr>
            <w:tcW w:type="dxa" w:w="896"/>
            <w:vAlign w:val="center"/>
          </w:tcPr>
          <w:p>
            <w:pPr>
              <w:jc w:val="center"/>
            </w:pPr>
            <w:r/>
            <w:r>
              <w:rPr>
                <w:rFonts w:ascii="SimSun" w:hAnsi="SimSun" w:eastAsia="SimSun"/>
                <w:b w:val="0"/>
                <w:sz w:val="14"/>
              </w:rPr>
              <w:t>69</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88.41%</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0.6775</w:t>
            </w:r>
          </w:p>
        </w:tc>
        <w:tc>
          <w:tcPr>
            <w:tcW w:type="dxa" w:w="896"/>
            <w:vAlign w:val="center"/>
          </w:tcPr>
          <w:p>
            <w:pPr>
              <w:jc w:val="center"/>
            </w:pPr>
            <w:r/>
            <w:r>
              <w:rPr>
                <w:rFonts w:ascii="SimSun" w:hAnsi="SimSun" w:eastAsia="SimSun"/>
                <w:b w:val="0"/>
                <w:sz w:val="14"/>
              </w:rPr>
              <w:t>0.9826</w:t>
            </w:r>
          </w:p>
        </w:tc>
      </w:tr>
      <w:tr>
        <w:tc>
          <w:tcPr>
            <w:tcW w:type="dxa" w:w="896"/>
            <w:vAlign w:val="center"/>
          </w:tcPr>
          <w:p>
            <w:pPr>
              <w:jc w:val="center"/>
            </w:pPr>
            <w:r/>
            <w:r>
              <w:rPr>
                <w:rFonts w:ascii="SimSun" w:hAnsi="SimSun" w:eastAsia="SimSun"/>
                <w:b w:val="0"/>
                <w:sz w:val="14"/>
              </w:rPr>
              <w:t>Qwen2.5</w:t>
            </w:r>
          </w:p>
        </w:tc>
        <w:tc>
          <w:tcPr>
            <w:tcW w:type="dxa" w:w="896"/>
            <w:vAlign w:val="center"/>
          </w:tcPr>
          <w:p>
            <w:pPr>
              <w:jc w:val="center"/>
            </w:pPr>
            <w:r/>
            <w:r>
              <w:rPr>
                <w:rFonts w:ascii="SimSun" w:hAnsi="SimSun" w:eastAsia="SimSun"/>
                <w:b w:val="0"/>
                <w:sz w:val="14"/>
              </w:rPr>
              <w:t>baseline</w:t>
            </w:r>
          </w:p>
        </w:tc>
        <w:tc>
          <w:tcPr>
            <w:tcW w:type="dxa" w:w="896"/>
            <w:vAlign w:val="center"/>
          </w:tcPr>
          <w:p>
            <w:pPr>
              <w:jc w:val="center"/>
            </w:pPr>
            <w:r/>
            <w:r>
              <w:rPr>
                <w:rFonts w:ascii="SimSun" w:hAnsi="SimSun" w:eastAsia="SimSun"/>
                <w:b w:val="0"/>
                <w:sz w:val="14"/>
              </w:rPr>
              <w:t>24</w:t>
            </w:r>
          </w:p>
        </w:tc>
        <w:tc>
          <w:tcPr>
            <w:tcW w:type="dxa" w:w="896"/>
            <w:vAlign w:val="center"/>
          </w:tcPr>
          <w:p>
            <w:pPr>
              <w:jc w:val="center"/>
            </w:pPr>
            <w:r/>
            <w:r>
              <w:rPr>
                <w:rFonts w:ascii="SimSun" w:hAnsi="SimSun" w:eastAsia="SimSun"/>
                <w:b w:val="0"/>
                <w:sz w:val="14"/>
              </w:rPr>
              <w:t>8.33%</w:t>
            </w:r>
          </w:p>
        </w:tc>
        <w:tc>
          <w:tcPr>
            <w:tcW w:type="dxa" w:w="896"/>
            <w:vAlign w:val="center"/>
          </w:tcPr>
          <w:p>
            <w:pPr>
              <w:jc w:val="center"/>
            </w:pPr>
            <w:r/>
            <w:r>
              <w:rPr>
                <w:rFonts w:ascii="SimSun" w:hAnsi="SimSun" w:eastAsia="SimSun"/>
                <w:b w:val="0"/>
                <w:sz w:val="14"/>
              </w:rPr>
              <w:t>8.33%</w:t>
            </w:r>
          </w:p>
        </w:tc>
        <w:tc>
          <w:tcPr>
            <w:tcW w:type="dxa" w:w="896"/>
            <w:vAlign w:val="center"/>
          </w:tcPr>
          <w:p>
            <w:pPr>
              <w:jc w:val="center"/>
            </w:pPr>
            <w:r/>
            <w:r>
              <w:rPr>
                <w:rFonts w:ascii="SimSun" w:hAnsi="SimSun" w:eastAsia="SimSun"/>
                <w:b w:val="0"/>
                <w:sz w:val="14"/>
              </w:rPr>
              <w:t>4.17%</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0.0000</w:t>
            </w:r>
          </w:p>
        </w:tc>
        <w:tc>
          <w:tcPr>
            <w:tcW w:type="dxa" w:w="896"/>
            <w:vAlign w:val="center"/>
          </w:tcPr>
          <w:p>
            <w:pPr>
              <w:jc w:val="center"/>
            </w:pPr>
            <w:r/>
            <w:r>
              <w:rPr>
                <w:rFonts w:ascii="SimSun" w:hAnsi="SimSun" w:eastAsia="SimSun"/>
                <w:b w:val="0"/>
                <w:sz w:val="14"/>
              </w:rPr>
              <w:t>0.7958</w:t>
            </w:r>
          </w:p>
        </w:tc>
      </w:tr>
      <w:tr>
        <w:tc>
          <w:tcPr>
            <w:tcW w:type="dxa" w:w="896"/>
            <w:vAlign w:val="center"/>
          </w:tcPr>
          <w:p>
            <w:pPr>
              <w:jc w:val="center"/>
            </w:pPr>
            <w:r/>
            <w:r>
              <w:rPr>
                <w:rFonts w:ascii="SimSun" w:hAnsi="SimSun" w:eastAsia="SimSun"/>
                <w:b w:val="0"/>
                <w:sz w:val="14"/>
              </w:rPr>
              <w:t>Qwen2.5</w:t>
            </w:r>
          </w:p>
        </w:tc>
        <w:tc>
          <w:tcPr>
            <w:tcW w:type="dxa" w:w="896"/>
            <w:vAlign w:val="center"/>
          </w:tcPr>
          <w:p>
            <w:pPr>
              <w:jc w:val="center"/>
            </w:pPr>
            <w:r/>
            <w:r>
              <w:rPr>
                <w:rFonts w:ascii="SimSun" w:hAnsi="SimSun" w:eastAsia="SimSun"/>
                <w:b w:val="0"/>
                <w:sz w:val="14"/>
              </w:rPr>
              <w:t>full_guard</w:t>
            </w:r>
          </w:p>
        </w:tc>
        <w:tc>
          <w:tcPr>
            <w:tcW w:type="dxa" w:w="896"/>
            <w:vAlign w:val="center"/>
          </w:tcPr>
          <w:p>
            <w:pPr>
              <w:jc w:val="center"/>
            </w:pPr>
            <w:r/>
            <w:r>
              <w:rPr>
                <w:rFonts w:ascii="SimSun" w:hAnsi="SimSun" w:eastAsia="SimSun"/>
                <w:b w:val="0"/>
                <w:sz w:val="14"/>
              </w:rPr>
              <w:t>24</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45.83%</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0.4375</w:t>
            </w:r>
          </w:p>
        </w:tc>
        <w:tc>
          <w:tcPr>
            <w:tcW w:type="dxa" w:w="896"/>
            <w:vAlign w:val="center"/>
          </w:tcPr>
          <w:p>
            <w:pPr>
              <w:jc w:val="center"/>
            </w:pPr>
            <w:r/>
            <w:r>
              <w:rPr>
                <w:rFonts w:ascii="SimSun" w:hAnsi="SimSun" w:eastAsia="SimSun"/>
                <w:b w:val="0"/>
                <w:sz w:val="14"/>
              </w:rPr>
              <w:t>0.9187</w:t>
            </w:r>
          </w:p>
        </w:tc>
      </w:tr>
      <w:tr>
        <w:tc>
          <w:tcPr>
            <w:tcW w:type="dxa" w:w="896"/>
            <w:vAlign w:val="center"/>
          </w:tcPr>
          <w:p>
            <w:pPr>
              <w:jc w:val="center"/>
            </w:pPr>
            <w:r/>
            <w:r>
              <w:rPr>
                <w:rFonts w:ascii="SimSun" w:hAnsi="SimSun" w:eastAsia="SimSun"/>
                <w:b w:val="0"/>
                <w:sz w:val="14"/>
              </w:rPr>
              <w:t>demo-stub</w:t>
            </w:r>
          </w:p>
        </w:tc>
        <w:tc>
          <w:tcPr>
            <w:tcW w:type="dxa" w:w="896"/>
            <w:vAlign w:val="center"/>
          </w:tcPr>
          <w:p>
            <w:pPr>
              <w:jc w:val="center"/>
            </w:pPr>
            <w:r/>
            <w:r>
              <w:rPr>
                <w:rFonts w:ascii="SimSun" w:hAnsi="SimSun" w:eastAsia="SimSun"/>
                <w:b w:val="0"/>
                <w:sz w:val="14"/>
              </w:rPr>
              <w:t>baseline</w:t>
            </w:r>
          </w:p>
        </w:tc>
        <w:tc>
          <w:tcPr>
            <w:tcW w:type="dxa" w:w="896"/>
            <w:vAlign w:val="center"/>
          </w:tcPr>
          <w:p>
            <w:pPr>
              <w:jc w:val="center"/>
            </w:pPr>
            <w:r/>
            <w:r>
              <w:rPr>
                <w:rFonts w:ascii="SimSun" w:hAnsi="SimSun" w:eastAsia="SimSun"/>
                <w:b w:val="0"/>
                <w:sz w:val="14"/>
              </w:rPr>
              <w:t>3</w:t>
            </w:r>
          </w:p>
        </w:tc>
        <w:tc>
          <w:tcPr>
            <w:tcW w:type="dxa" w:w="896"/>
            <w:vAlign w:val="center"/>
          </w:tcPr>
          <w:p>
            <w:pPr>
              <w:jc w:val="center"/>
            </w:pPr>
            <w:r/>
            <w:r>
              <w:rPr>
                <w:rFonts w:ascii="SimSun" w:hAnsi="SimSun" w:eastAsia="SimSun"/>
                <w:b w:val="0"/>
                <w:sz w:val="14"/>
              </w:rPr>
              <w:t>66.67%</w:t>
            </w:r>
          </w:p>
        </w:tc>
        <w:tc>
          <w:tcPr>
            <w:tcW w:type="dxa" w:w="896"/>
            <w:vAlign w:val="center"/>
          </w:tcPr>
          <w:p>
            <w:pPr>
              <w:jc w:val="center"/>
            </w:pPr>
            <w:r/>
            <w:r>
              <w:rPr>
                <w:rFonts w:ascii="SimSun" w:hAnsi="SimSun" w:eastAsia="SimSun"/>
                <w:b w:val="0"/>
                <w:sz w:val="14"/>
              </w:rPr>
              <w:t>66.67%</w:t>
            </w:r>
          </w:p>
        </w:tc>
        <w:tc>
          <w:tcPr>
            <w:tcW w:type="dxa" w:w="896"/>
            <w:vAlign w:val="center"/>
          </w:tcPr>
          <w:p>
            <w:pPr>
              <w:jc w:val="center"/>
            </w:pPr>
            <w:r/>
            <w:r>
              <w:rPr>
                <w:rFonts w:ascii="SimSun" w:hAnsi="SimSun" w:eastAsia="SimSun"/>
                <w:b w:val="0"/>
                <w:sz w:val="14"/>
              </w:rPr>
              <w:t>66.67%</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0.0000</w:t>
            </w:r>
          </w:p>
        </w:tc>
        <w:tc>
          <w:tcPr>
            <w:tcW w:type="dxa" w:w="896"/>
            <w:vAlign w:val="center"/>
          </w:tcPr>
          <w:p>
            <w:pPr>
              <w:jc w:val="center"/>
            </w:pPr>
            <w:r/>
            <w:r>
              <w:rPr>
                <w:rFonts w:ascii="SimSun" w:hAnsi="SimSun" w:eastAsia="SimSun"/>
                <w:b w:val="0"/>
                <w:sz w:val="14"/>
              </w:rPr>
              <w:t>0.3500</w:t>
            </w:r>
          </w:p>
        </w:tc>
      </w:tr>
      <w:tr>
        <w:tc>
          <w:tcPr>
            <w:tcW w:type="dxa" w:w="896"/>
            <w:vAlign w:val="center"/>
          </w:tcPr>
          <w:p>
            <w:pPr>
              <w:jc w:val="center"/>
            </w:pPr>
            <w:r/>
            <w:r>
              <w:rPr>
                <w:rFonts w:ascii="SimSun" w:hAnsi="SimSun" w:eastAsia="SimSun"/>
                <w:b w:val="0"/>
                <w:sz w:val="14"/>
              </w:rPr>
              <w:t>demo-stub</w:t>
            </w:r>
          </w:p>
        </w:tc>
        <w:tc>
          <w:tcPr>
            <w:tcW w:type="dxa" w:w="896"/>
            <w:vAlign w:val="center"/>
          </w:tcPr>
          <w:p>
            <w:pPr>
              <w:jc w:val="center"/>
            </w:pPr>
            <w:r/>
            <w:r>
              <w:rPr>
                <w:rFonts w:ascii="SimSun" w:hAnsi="SimSun" w:eastAsia="SimSun"/>
                <w:b w:val="0"/>
                <w:sz w:val="14"/>
              </w:rPr>
              <w:t>full_guard</w:t>
            </w:r>
          </w:p>
        </w:tc>
        <w:tc>
          <w:tcPr>
            <w:tcW w:type="dxa" w:w="896"/>
            <w:vAlign w:val="center"/>
          </w:tcPr>
          <w:p>
            <w:pPr>
              <w:jc w:val="center"/>
            </w:pPr>
            <w:r/>
            <w:r>
              <w:rPr>
                <w:rFonts w:ascii="SimSun" w:hAnsi="SimSun" w:eastAsia="SimSun"/>
                <w:b w:val="0"/>
                <w:sz w:val="14"/>
              </w:rPr>
              <w:t>3</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100.00%</w:t>
            </w:r>
          </w:p>
        </w:tc>
        <w:tc>
          <w:tcPr>
            <w:tcW w:type="dxa" w:w="896"/>
            <w:vAlign w:val="center"/>
          </w:tcPr>
          <w:p>
            <w:pPr>
              <w:jc w:val="center"/>
            </w:pPr>
            <w:r/>
            <w:r>
              <w:rPr>
                <w:rFonts w:ascii="SimSun" w:hAnsi="SimSun" w:eastAsia="SimSun"/>
                <w:b w:val="0"/>
                <w:sz w:val="14"/>
              </w:rPr>
              <w:t>0.00%</w:t>
            </w:r>
          </w:p>
        </w:tc>
        <w:tc>
          <w:tcPr>
            <w:tcW w:type="dxa" w:w="896"/>
            <w:vAlign w:val="center"/>
          </w:tcPr>
          <w:p>
            <w:pPr>
              <w:jc w:val="center"/>
            </w:pPr>
            <w:r/>
            <w:r>
              <w:rPr>
                <w:rFonts w:ascii="SimSun" w:hAnsi="SimSun" w:eastAsia="SimSun"/>
                <w:b w:val="0"/>
                <w:sz w:val="14"/>
              </w:rPr>
              <w:t>1.0000</w:t>
            </w:r>
          </w:p>
        </w:tc>
        <w:tc>
          <w:tcPr>
            <w:tcW w:type="dxa" w:w="896"/>
            <w:vAlign w:val="center"/>
          </w:tcPr>
          <w:p>
            <w:pPr>
              <w:jc w:val="center"/>
            </w:pPr>
            <w:r/>
            <w:r>
              <w:rPr>
                <w:rFonts w:ascii="SimSun" w:hAnsi="SimSun" w:eastAsia="SimSun"/>
                <w:b w:val="0"/>
                <w:sz w:val="14"/>
              </w:rPr>
              <w:t>1.0000</w:t>
            </w:r>
          </w:p>
        </w:tc>
      </w:tr>
    </w:tbl>
    <w:p/>
    <w:p>
      <w:pPr>
        <w:spacing w:line="360" w:lineRule="auto" w:after="120"/>
        <w:ind w:firstLine="480"/>
      </w:pPr>
      <w:r>
        <w:rPr>
          <w:rFonts w:ascii="SimSun" w:hAnsi="SimSun" w:eastAsia="SimSun"/>
          <w:sz w:val="24"/>
        </w:rPr>
        <w:t>在 stub 全量实验中，baseline 的 ASR 为 55.07%，UTR 为 28.99%，DSR 为 55.07%，说明未加防护时攻击样本能够稳定触发 mock 风险行为。keyword_only 将 ASR 降至 13.04%，说明文本检测对显式指令和工具诱导有效，但仍无法覆盖全部结构化字段、策略和数据流风险。policy_only 将 ASR、UTR 和 DSR 降至 0，说明工具策略对危险路径、外发端点和代码执行具有强约束力。full_guard 同样将 ASR、UTR 和 DSR 降至 0，同时记录更高 AvgRisk，表明其能给出更丰富的风险解释。</w:t>
      </w:r>
    </w:p>
    <w:p>
      <w:pPr>
        <w:spacing w:line="360" w:lineRule="auto" w:after="120"/>
        <w:ind w:firstLine="480"/>
      </w:pPr>
      <w:r>
        <w:rPr>
          <w:rFonts w:ascii="SimSun" w:hAnsi="SimSun" w:eastAsia="SimSun"/>
          <w:sz w:val="24"/>
        </w:rPr>
        <w:t>在 Qwen2.5-7B 代表样本实验中，baseline 的 ASR 为 8.33%，UTR 为 8.33%，DSR 为 4.17%。这一数值低于 stub 全量实验，原因是本地模型未必总是稳定产生工具调用格式；但风险并非为零。full_guard 将三项风险指标降至 0，并将 BSR 提升至 45.83%，说明行为监督可以在真实模型输出不稳定的情况下提供额外安全边界。</w:t>
      </w:r>
    </w:p>
    <w:p>
      <w:pPr>
        <w:spacing w:line="360" w:lineRule="auto" w:after="120"/>
        <w:ind w:firstLine="480"/>
      </w:pPr>
      <w:r>
        <w:rPr>
          <w:rFonts w:ascii="SimSun" w:hAnsi="SimSun" w:eastAsia="SimSun"/>
          <w:sz w:val="24"/>
        </w:rPr>
        <w:t>在 demo smoke test 中，baseline 的 ASR、UTR、DSR 均为 66.67%，full_guard 将三项风险指标降至 0，并将 BSR 提升至 100%。该实验用于答辩演示，能够稳定展示“攻击样本—工具调用—Guard 阻断—日志记录”的最小闭环。</w:t>
      </w:r>
    </w:p>
    <w:p>
      <w:pPr>
        <w:jc w:val="center"/>
      </w:pPr>
      <w:r>
        <w:drawing>
          <wp:inline xmlns:a="http://schemas.openxmlformats.org/drawingml/2006/main" xmlns:pic="http://schemas.openxmlformats.org/drawingml/2006/picture">
            <wp:extent cx="5580000" cy="3180311"/>
            <wp:docPr id="5" name="Picture 5"/>
            <wp:cNvGraphicFramePr>
              <a:graphicFrameLocks noChangeAspect="1"/>
            </wp:cNvGraphicFramePr>
            <a:graphic>
              <a:graphicData uri="http://schemas.openxmlformats.org/drawingml/2006/picture">
                <pic:pic>
                  <pic:nvPicPr>
                    <pic:cNvPr id="0" name="fig4_stub_metrics_cn.png"/>
                    <pic:cNvPicPr/>
                  </pic:nvPicPr>
                  <pic:blipFill>
                    <a:blip r:embed="rId13"/>
                    <a:stretch>
                      <a:fillRect/>
                    </a:stretch>
                  </pic:blipFill>
                  <pic:spPr>
                    <a:xfrm>
                      <a:off x="0" y="0"/>
                      <a:ext cx="5580000" cy="3180311"/>
                    </a:xfrm>
                    <a:prstGeom prst="rect"/>
                  </pic:spPr>
                </pic:pic>
              </a:graphicData>
            </a:graphic>
          </wp:inline>
        </w:drawing>
      </w:r>
    </w:p>
    <w:p>
      <w:pPr>
        <w:jc w:val="center"/>
      </w:pPr>
      <w:r>
        <w:rPr>
          <w:rFonts w:ascii="SimSun" w:hAnsi="SimSun" w:eastAsia="SimSun"/>
          <w:b/>
          <w:sz w:val="20"/>
        </w:rPr>
        <w:t>图 5 stub全量实验中不同防护模式的指标对比</w:t>
      </w:r>
    </w:p>
    <w:p>
      <w:pPr>
        <w:jc w:val="center"/>
      </w:pPr>
      <w:r>
        <w:drawing>
          <wp:inline xmlns:a="http://schemas.openxmlformats.org/drawingml/2006/main" xmlns:pic="http://schemas.openxmlformats.org/drawingml/2006/picture">
            <wp:extent cx="5220000" cy="3012953"/>
            <wp:docPr id="6" name="Picture 6"/>
            <wp:cNvGraphicFramePr>
              <a:graphicFrameLocks noChangeAspect="1"/>
            </wp:cNvGraphicFramePr>
            <a:graphic>
              <a:graphicData uri="http://schemas.openxmlformats.org/drawingml/2006/picture">
                <pic:pic>
                  <pic:nvPicPr>
                    <pic:cNvPr id="0" name="fig5_qwen_metrics_cn.png"/>
                    <pic:cNvPicPr/>
                  </pic:nvPicPr>
                  <pic:blipFill>
                    <a:blip r:embed="rId14"/>
                    <a:stretch>
                      <a:fillRect/>
                    </a:stretch>
                  </pic:blipFill>
                  <pic:spPr>
                    <a:xfrm>
                      <a:off x="0" y="0"/>
                      <a:ext cx="5220000" cy="3012953"/>
                    </a:xfrm>
                    <a:prstGeom prst="rect"/>
                  </pic:spPr>
                </pic:pic>
              </a:graphicData>
            </a:graphic>
          </wp:inline>
        </w:drawing>
      </w:r>
    </w:p>
    <w:p>
      <w:pPr>
        <w:jc w:val="center"/>
      </w:pPr>
      <w:r>
        <w:rPr>
          <w:rFonts w:ascii="SimSun" w:hAnsi="SimSun" w:eastAsia="SimSun"/>
          <w:b/>
          <w:sz w:val="20"/>
        </w:rPr>
        <w:t>图 6 Qwen2.5代表样本中防护前后指标对比</w:t>
      </w:r>
    </w:p>
    <w:p>
      <w:pPr>
        <w:jc w:val="center"/>
      </w:pPr>
      <w:r>
        <w:drawing>
          <wp:inline xmlns:a="http://schemas.openxmlformats.org/drawingml/2006/main" xmlns:pic="http://schemas.openxmlformats.org/drawingml/2006/picture">
            <wp:extent cx="5580000" cy="3106425"/>
            <wp:docPr id="7" name="Picture 7"/>
            <wp:cNvGraphicFramePr>
              <a:graphicFrameLocks noChangeAspect="1"/>
            </wp:cNvGraphicFramePr>
            <a:graphic>
              <a:graphicData uri="http://schemas.openxmlformats.org/drawingml/2006/picture">
                <pic:pic>
                  <pic:nvPicPr>
                    <pic:cNvPr id="0" name="fig6_wrs_compare_cn.png"/>
                    <pic:cNvPicPr/>
                  </pic:nvPicPr>
                  <pic:blipFill>
                    <a:blip r:embed="rId15"/>
                    <a:stretch>
                      <a:fillRect/>
                    </a:stretch>
                  </pic:blipFill>
                  <pic:spPr>
                    <a:xfrm>
                      <a:off x="0" y="0"/>
                      <a:ext cx="5580000" cy="3106425"/>
                    </a:xfrm>
                    <a:prstGeom prst="rect"/>
                  </pic:spPr>
                </pic:pic>
              </a:graphicData>
            </a:graphic>
          </wp:inline>
        </w:drawing>
      </w:r>
    </w:p>
    <w:p>
      <w:pPr>
        <w:jc w:val="center"/>
      </w:pPr>
      <w:r>
        <w:rPr>
          <w:rFonts w:ascii="SimSun" w:hAnsi="SimSun" w:eastAsia="SimSun"/>
          <w:b/>
          <w:sz w:val="20"/>
        </w:rPr>
        <w:t>图 7 综合韧性分 WRS 对比</w:t>
      </w:r>
    </w:p>
    <w:p>
      <w:pPr>
        <w:pStyle w:val="Heading2"/>
        <w:spacing w:line="360" w:lineRule="auto" w:before="120" w:after="120"/>
      </w:pPr>
      <w:r>
        <w:rPr>
          <w:rFonts w:ascii="SimSun" w:hAnsi="SimSun" w:eastAsia="SimSun"/>
          <w:b/>
          <w:sz w:val="28"/>
        </w:rPr>
        <w:t>3.6 消融实验分析</w:t>
      </w:r>
    </w:p>
    <w:p>
      <w:pPr>
        <w:spacing w:line="360" w:lineRule="auto" w:after="120"/>
        <w:ind w:firstLine="480"/>
      </w:pPr>
      <w:r>
        <w:rPr>
          <w:rFonts w:ascii="SimSun" w:hAnsi="SimSun" w:eastAsia="SimSun"/>
          <w:sz w:val="24"/>
        </w:rPr>
        <w:t>baseline 作为无防护对照组，用于观察 Agent 在攻击样本下的自然风险。在 stub 全量实验中，baseline 的 ASR 和 DSR 均超过 55%，说明跨攻击族样本能够稳定触发未授权 mock 行为。</w:t>
      </w:r>
    </w:p>
    <w:p>
      <w:pPr>
        <w:spacing w:line="360" w:lineRule="auto" w:after="120"/>
        <w:ind w:firstLine="480"/>
      </w:pPr>
      <w:r>
        <w:rPr>
          <w:rFonts w:ascii="SimSun" w:hAnsi="SimSun" w:eastAsia="SimSun"/>
          <w:sz w:val="24"/>
        </w:rPr>
        <w:t>keyword_only 只启用指令型文本和工具诱导检测，能够显著降低明显提示注入的风险，但对已经被解析为工具调用的危险参数缺少强约束。例如，结构化字段、拼音/谐音和工具输出污染可能绕开简单关键词，导致残余 ASR。</w:t>
      </w:r>
    </w:p>
    <w:p>
      <w:pPr>
        <w:spacing w:line="360" w:lineRule="auto" w:after="120"/>
        <w:ind w:firstLine="480"/>
      </w:pPr>
      <w:r>
        <w:rPr>
          <w:rFonts w:ascii="SimSun" w:hAnsi="SimSun" w:eastAsia="SimSun"/>
          <w:sz w:val="24"/>
        </w:rPr>
        <w:t>policy_only 只启用工具策略、路径限制、mock endpoint 和 run_code 禁用。它不需要理解完整文本，也能阻断 secret 路径、非 mock 端点和代码执行，说明行为边界约束非常关键。但 policy_only 对攻击来源解释不足，无法充分说明攻击是来自文档、结构化字段还是多语言混淆。</w:t>
      </w:r>
    </w:p>
    <w:p>
      <w:pPr>
        <w:spacing w:line="360" w:lineRule="auto" w:after="120"/>
        <w:ind w:firstLine="480"/>
      </w:pPr>
      <w:r>
        <w:rPr>
          <w:rFonts w:ascii="SimSun" w:hAnsi="SimSun" w:eastAsia="SimSun"/>
          <w:sz w:val="24"/>
        </w:rPr>
        <w:t>full_guard 同时启用文本检测、结构化检测、多语言信号、工具策略、数据流追踪和意图一致性检查。它不仅能够将 ASR、UTR、DSR 降至 0，还能输出 reasons 用于审计。相比 policy_only，full_guard 的 AvgRisk 更高，说明它记录了更多上下文风险证据，适合作为最终方案。</w:t>
      </w:r>
    </w:p>
    <w:p>
      <w:pPr>
        <w:pStyle w:val="Heading2"/>
        <w:spacing w:line="360" w:lineRule="auto" w:before="120" w:after="120"/>
      </w:pPr>
      <w:r>
        <w:rPr>
          <w:rFonts w:ascii="SimSun" w:hAnsi="SimSun" w:eastAsia="SimSun"/>
          <w:b/>
          <w:sz w:val="28"/>
        </w:rPr>
        <w:t>3.7 按攻击族分析</w:t>
      </w:r>
    </w:p>
    <w:p>
      <w:pPr>
        <w:jc w:val="center"/>
      </w:pPr>
      <w:r>
        <w:rPr>
          <w:rFonts w:ascii="SimSun" w:hAnsi="SimSun" w:eastAsia="SimSun"/>
          <w:b/>
          <w:sz w:val="20"/>
        </w:rPr>
        <w:t>表 7 攻击族维度的风险变化（stub 全量实验）</w:t>
      </w:r>
    </w:p>
    <w:tbl>
      <w:tblPr>
        <w:tblStyle w:val="TableGrid"/>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493"/>
        <w:gridCol w:w="1493"/>
        <w:gridCol w:w="1493"/>
        <w:gridCol w:w="1493"/>
        <w:gridCol w:w="1493"/>
        <w:gridCol w:w="1493"/>
      </w:tblGrid>
      <w:tr>
        <w:tc>
          <w:tcPr>
            <w:tcW w:type="dxa" w:w="1493"/>
            <w:vAlign w:val="center"/>
            <w:shd w:fill="D9EAF7"/>
          </w:tcPr>
          <w:p>
            <w:pPr>
              <w:jc w:val="center"/>
            </w:pPr>
            <w:r/>
            <w:r>
              <w:rPr>
                <w:rFonts w:ascii="SimSun" w:hAnsi="SimSun" w:eastAsia="SimSun"/>
                <w:b/>
                <w:sz w:val="15"/>
              </w:rPr>
              <w:t>攻击族</w:t>
            </w:r>
          </w:p>
        </w:tc>
        <w:tc>
          <w:tcPr>
            <w:tcW w:type="dxa" w:w="1493"/>
            <w:vAlign w:val="center"/>
            <w:shd w:fill="D9EAF7"/>
          </w:tcPr>
          <w:p>
            <w:pPr>
              <w:jc w:val="center"/>
            </w:pPr>
            <w:r/>
            <w:r>
              <w:rPr>
                <w:rFonts w:ascii="SimSun" w:hAnsi="SimSun" w:eastAsia="SimSun"/>
                <w:b/>
                <w:sz w:val="15"/>
              </w:rPr>
              <w:t>Baseline ASR</w:t>
            </w:r>
          </w:p>
        </w:tc>
        <w:tc>
          <w:tcPr>
            <w:tcW w:type="dxa" w:w="1493"/>
            <w:vAlign w:val="center"/>
            <w:shd w:fill="D9EAF7"/>
          </w:tcPr>
          <w:p>
            <w:pPr>
              <w:jc w:val="center"/>
            </w:pPr>
            <w:r/>
            <w:r>
              <w:rPr>
                <w:rFonts w:ascii="SimSun" w:hAnsi="SimSun" w:eastAsia="SimSun"/>
                <w:b/>
                <w:sz w:val="15"/>
              </w:rPr>
              <w:t>Baseline DSR</w:t>
            </w:r>
          </w:p>
        </w:tc>
        <w:tc>
          <w:tcPr>
            <w:tcW w:type="dxa" w:w="1493"/>
            <w:vAlign w:val="center"/>
            <w:shd w:fill="D9EAF7"/>
          </w:tcPr>
          <w:p>
            <w:pPr>
              <w:jc w:val="center"/>
            </w:pPr>
            <w:r/>
            <w:r>
              <w:rPr>
                <w:rFonts w:ascii="SimSun" w:hAnsi="SimSun" w:eastAsia="SimSun"/>
                <w:b/>
                <w:sz w:val="15"/>
              </w:rPr>
              <w:t>Full Guard ASR</w:t>
            </w:r>
          </w:p>
        </w:tc>
        <w:tc>
          <w:tcPr>
            <w:tcW w:type="dxa" w:w="1493"/>
            <w:vAlign w:val="center"/>
            <w:shd w:fill="D9EAF7"/>
          </w:tcPr>
          <w:p>
            <w:pPr>
              <w:jc w:val="center"/>
            </w:pPr>
            <w:r/>
            <w:r>
              <w:rPr>
                <w:rFonts w:ascii="SimSun" w:hAnsi="SimSun" w:eastAsia="SimSun"/>
                <w:b/>
                <w:sz w:val="15"/>
              </w:rPr>
              <w:t>Full Guard BSR</w:t>
            </w:r>
          </w:p>
        </w:tc>
        <w:tc>
          <w:tcPr>
            <w:tcW w:type="dxa" w:w="1493"/>
            <w:vAlign w:val="center"/>
            <w:shd w:fill="D9EAF7"/>
          </w:tcPr>
          <w:p>
            <w:pPr>
              <w:jc w:val="center"/>
            </w:pPr>
            <w:r/>
            <w:r>
              <w:rPr>
                <w:rFonts w:ascii="SimSun" w:hAnsi="SimSun" w:eastAsia="SimSun"/>
                <w:b/>
                <w:sz w:val="15"/>
              </w:rPr>
              <w:t>Full Guard AvgRisk</w:t>
            </w:r>
          </w:p>
        </w:tc>
      </w:tr>
      <w:tr>
        <w:tc>
          <w:tcPr>
            <w:tcW w:type="dxa" w:w="1493"/>
            <w:vAlign w:val="center"/>
          </w:tcPr>
          <w:p>
            <w:pPr>
              <w:jc w:val="center"/>
            </w:pPr>
            <w:r/>
            <w:r>
              <w:rPr>
                <w:rFonts w:ascii="SimSun" w:hAnsi="SimSun" w:eastAsia="SimSun"/>
                <w:b w:val="0"/>
                <w:sz w:val="15"/>
              </w:rPr>
              <w:t>正常任务</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0.0000</w:t>
            </w:r>
          </w:p>
        </w:tc>
      </w:tr>
      <w:tr>
        <w:tc>
          <w:tcPr>
            <w:tcW w:type="dxa" w:w="1493"/>
            <w:vAlign w:val="center"/>
          </w:tcPr>
          <w:p>
            <w:pPr>
              <w:jc w:val="center"/>
            </w:pPr>
            <w:r/>
            <w:r>
              <w:rPr>
                <w:rFonts w:ascii="SimSun" w:hAnsi="SimSun" w:eastAsia="SimSun"/>
                <w:b w:val="0"/>
                <w:sz w:val="15"/>
              </w:rPr>
              <w:t>直接越狱</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0.6500</w:t>
            </w:r>
          </w:p>
        </w:tc>
      </w:tr>
      <w:tr>
        <w:tc>
          <w:tcPr>
            <w:tcW w:type="dxa" w:w="1493"/>
            <w:vAlign w:val="center"/>
          </w:tcPr>
          <w:p>
            <w:pPr>
              <w:jc w:val="center"/>
            </w:pPr>
            <w:r/>
            <w:r>
              <w:rPr>
                <w:rFonts w:ascii="SimSun" w:hAnsi="SimSun" w:eastAsia="SimSun"/>
                <w:b w:val="0"/>
                <w:sz w:val="15"/>
              </w:rPr>
              <w:t>JSON/RPC</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0.9437</w:t>
            </w:r>
          </w:p>
        </w:tc>
      </w:tr>
      <w:tr>
        <w:tc>
          <w:tcPr>
            <w:tcW w:type="dxa" w:w="1493"/>
            <w:vAlign w:val="center"/>
          </w:tcPr>
          <w:p>
            <w:pPr>
              <w:jc w:val="center"/>
            </w:pPr>
            <w:r/>
            <w:r>
              <w:rPr>
                <w:rFonts w:ascii="SimSun" w:hAnsi="SimSun" w:eastAsia="SimSun"/>
                <w:b w:val="0"/>
                <w:sz w:val="15"/>
              </w:rPr>
              <w:t>多语言/T2L</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0.9533</w:t>
            </w:r>
          </w:p>
        </w:tc>
      </w:tr>
      <w:tr>
        <w:tc>
          <w:tcPr>
            <w:tcW w:type="dxa" w:w="1493"/>
            <w:vAlign w:val="center"/>
          </w:tcPr>
          <w:p>
            <w:pPr>
              <w:jc w:val="center"/>
            </w:pPr>
            <w:r/>
            <w:r>
              <w:rPr>
                <w:rFonts w:ascii="SimSun" w:hAnsi="SimSun" w:eastAsia="SimSun"/>
                <w:b w:val="0"/>
                <w:sz w:val="15"/>
              </w:rPr>
              <w:t>RAG间接注入</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0.9694</w:t>
            </w:r>
          </w:p>
        </w:tc>
      </w:tr>
      <w:tr>
        <w:tc>
          <w:tcPr>
            <w:tcW w:type="dxa" w:w="1493"/>
            <w:vAlign w:val="center"/>
          </w:tcPr>
          <w:p>
            <w:pPr>
              <w:jc w:val="center"/>
            </w:pPr>
            <w:r/>
            <w:r>
              <w:rPr>
                <w:rFonts w:ascii="SimSun" w:hAnsi="SimSun" w:eastAsia="SimSun"/>
                <w:b w:val="0"/>
                <w:sz w:val="15"/>
              </w:rPr>
              <w:t>工具输出注入</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0.00%</w:t>
            </w:r>
          </w:p>
        </w:tc>
        <w:tc>
          <w:tcPr>
            <w:tcW w:type="dxa" w:w="1493"/>
            <w:vAlign w:val="center"/>
          </w:tcPr>
          <w:p>
            <w:pPr>
              <w:jc w:val="center"/>
            </w:pPr>
            <w:r/>
            <w:r>
              <w:rPr>
                <w:rFonts w:ascii="SimSun" w:hAnsi="SimSun" w:eastAsia="SimSun"/>
                <w:b w:val="0"/>
                <w:sz w:val="15"/>
              </w:rPr>
              <w:t>100.00%</w:t>
            </w:r>
          </w:p>
        </w:tc>
        <w:tc>
          <w:tcPr>
            <w:tcW w:type="dxa" w:w="1493"/>
            <w:vAlign w:val="center"/>
          </w:tcPr>
          <w:p>
            <w:pPr>
              <w:jc w:val="center"/>
            </w:pPr>
            <w:r/>
            <w:r>
              <w:rPr>
                <w:rFonts w:ascii="SimSun" w:hAnsi="SimSun" w:eastAsia="SimSun"/>
                <w:b w:val="0"/>
                <w:sz w:val="15"/>
              </w:rPr>
              <w:t>0.7500</w:t>
            </w:r>
          </w:p>
        </w:tc>
      </w:tr>
    </w:tbl>
    <w:p/>
    <w:p>
      <w:pPr>
        <w:spacing w:line="360" w:lineRule="auto" w:after="120"/>
        <w:ind w:firstLine="480"/>
      </w:pPr>
      <w:r>
        <w:rPr>
          <w:rFonts w:ascii="SimSun" w:hAnsi="SimSun" w:eastAsia="SimSun"/>
          <w:sz w:val="24"/>
        </w:rPr>
        <w:t>按攻击族观察可以发现，不同攻击类型对防护组件的依赖不同。RAG 间接注入和工具输出注入更依赖不可信来源检测；JSON/RPC 注入更依赖结构化字段检测和意图一致性检查；多语言/T2L 注入需要归一化、多语言信号和工具策略共同发挥作用。Full Guard 的稳定性来自多种检测信号的互补，而不是单一关键词列表。</w:t>
      </w:r>
    </w:p>
    <w:p>
      <w:pPr>
        <w:spacing w:line="360" w:lineRule="auto" w:after="120"/>
        <w:ind w:firstLine="480"/>
      </w:pPr>
      <w:r>
        <w:rPr>
          <w:rFonts w:ascii="SimSun" w:hAnsi="SimSun" w:eastAsia="SimSun"/>
          <w:sz w:val="24"/>
        </w:rPr>
        <w:t>benign_clean 样本在各组实验中 FPR 均为 0，说明当前版本的规则没有对普通总结、翻译、公开文件读取、公共笔记写入等正常任务产生明显误拦。需要注意的是，FPR 的解释仍依赖 clean 样本覆盖范围，后续应继续扩充真实业务风格的 clean case。</w:t>
      </w:r>
    </w:p>
    <w:p>
      <w:pPr>
        <w:jc w:val="center"/>
      </w:pPr>
      <w:r>
        <w:drawing>
          <wp:inline xmlns:a="http://schemas.openxmlformats.org/drawingml/2006/main" xmlns:pic="http://schemas.openxmlformats.org/drawingml/2006/picture">
            <wp:extent cx="5580000" cy="3180311"/>
            <wp:docPr id="8" name="Picture 8"/>
            <wp:cNvGraphicFramePr>
              <a:graphicFrameLocks noChangeAspect="1"/>
            </wp:cNvGraphicFramePr>
            <a:graphic>
              <a:graphicData uri="http://schemas.openxmlformats.org/drawingml/2006/picture">
                <pic:pic>
                  <pic:nvPicPr>
                    <pic:cNvPr id="0" name="fig7_family_risk_cn.png"/>
                    <pic:cNvPicPr/>
                  </pic:nvPicPr>
                  <pic:blipFill>
                    <a:blip r:embed="rId16"/>
                    <a:stretch>
                      <a:fillRect/>
                    </a:stretch>
                  </pic:blipFill>
                  <pic:spPr>
                    <a:xfrm>
                      <a:off x="0" y="0"/>
                      <a:ext cx="5580000" cy="3180311"/>
                    </a:xfrm>
                    <a:prstGeom prst="rect"/>
                  </pic:spPr>
                </pic:pic>
              </a:graphicData>
            </a:graphic>
          </wp:inline>
        </w:drawing>
      </w:r>
    </w:p>
    <w:p>
      <w:pPr>
        <w:jc w:val="center"/>
      </w:pPr>
      <w:r>
        <w:rPr>
          <w:rFonts w:ascii="SimSun" w:hAnsi="SimSun" w:eastAsia="SimSun"/>
          <w:b/>
          <w:sz w:val="20"/>
        </w:rPr>
        <w:t>图 8 攻击族维度的风险与阻断效果</w:t>
      </w:r>
    </w:p>
    <w:p>
      <w:pPr>
        <w:pStyle w:val="Heading2"/>
        <w:spacing w:line="360" w:lineRule="auto" w:before="120" w:after="120"/>
      </w:pPr>
      <w:r>
        <w:rPr>
          <w:rFonts w:ascii="SimSun" w:hAnsi="SimSun" w:eastAsia="SimSun"/>
          <w:b/>
          <w:sz w:val="28"/>
        </w:rPr>
        <w:t>3.8 阻断原因与日志稳定性分析</w:t>
      </w:r>
    </w:p>
    <w:p>
      <w:pPr>
        <w:spacing w:line="360" w:lineRule="auto" w:after="120"/>
        <w:ind w:firstLine="480"/>
      </w:pPr>
      <w:r>
        <w:rPr>
          <w:rFonts w:ascii="SimSun" w:hAnsi="SimSun" w:eastAsia="SimSun"/>
          <w:sz w:val="24"/>
        </w:rPr>
        <w:t>Qwen2.5 代表样本的 blocked_records 显示，最常见的阻断原因包括 high_risk_tool、non_sandbox_path、tool_lure_send_email、suspicious_unicode_obfuscation、tool_lure_read_file、mixed_cjk_latin_tool_lure、multilingual_tool_lure 和 secret_path_access。这说明 Guard 并非只依赖单一关键词，而是综合考虑工具类型、路径边界、结构化字段、多语言诱导和敏感数据流。</w:t>
      </w:r>
    </w:p>
    <w:p>
      <w:pPr>
        <w:spacing w:line="360" w:lineRule="auto" w:after="120"/>
        <w:ind w:firstLine="480"/>
      </w:pPr>
      <w:r>
        <w:rPr>
          <w:rFonts w:ascii="SimSun" w:hAnsi="SimSun" w:eastAsia="SimSun"/>
          <w:sz w:val="24"/>
        </w:rPr>
        <w:t>日志审计结果显示，Qwen2.5 代表样本共涉及 24 个 case、62 行日志，存在 4 个 parse_error 警告，case_id 分别为 JSONRPC-006、JSONRPC-008、RAG-PI-016 和 RAG-PI-018；error_count 为 0。这些警告主要来自模型输出非标准工具名或 JSON 控制字符，反映了本地模型输出格式的不稳定性。系统通过保留 raw_model_output、parse_error 和 parsed_tool_call 字段，使这类问题可被审计而不是被隐藏。</w:t>
      </w:r>
    </w:p>
    <w:p>
      <w:pPr>
        <w:jc w:val="center"/>
      </w:pPr>
      <w:r>
        <w:drawing>
          <wp:inline xmlns:a="http://schemas.openxmlformats.org/drawingml/2006/main" xmlns:pic="http://schemas.openxmlformats.org/drawingml/2006/picture">
            <wp:extent cx="5472000" cy="3322886"/>
            <wp:docPr id="9" name="Picture 9"/>
            <wp:cNvGraphicFramePr>
              <a:graphicFrameLocks noChangeAspect="1"/>
            </wp:cNvGraphicFramePr>
            <a:graphic>
              <a:graphicData uri="http://schemas.openxmlformats.org/drawingml/2006/picture">
                <pic:pic>
                  <pic:nvPicPr>
                    <pic:cNvPr id="0" name="fig8_guard_reasons_cn.png"/>
                    <pic:cNvPicPr/>
                  </pic:nvPicPr>
                  <pic:blipFill>
                    <a:blip r:embed="rId17"/>
                    <a:stretch>
                      <a:fillRect/>
                    </a:stretch>
                  </pic:blipFill>
                  <pic:spPr>
                    <a:xfrm>
                      <a:off x="0" y="0"/>
                      <a:ext cx="5472000" cy="3322886"/>
                    </a:xfrm>
                    <a:prstGeom prst="rect"/>
                  </pic:spPr>
                </pic:pic>
              </a:graphicData>
            </a:graphic>
          </wp:inline>
        </w:drawing>
      </w:r>
    </w:p>
    <w:p>
      <w:pPr>
        <w:jc w:val="center"/>
      </w:pPr>
      <w:r>
        <w:rPr>
          <w:rFonts w:ascii="SimSun" w:hAnsi="SimSun" w:eastAsia="SimSun"/>
          <w:b/>
          <w:sz w:val="20"/>
        </w:rPr>
        <w:t>图 9 Qwen2.5代表样本中的 Guard 阻断原因 Top 10</w:t>
      </w:r>
    </w:p>
    <w:p>
      <w:pPr>
        <w:jc w:val="center"/>
      </w:pPr>
      <w:r>
        <w:drawing>
          <wp:inline xmlns:a="http://schemas.openxmlformats.org/drawingml/2006/main" xmlns:pic="http://schemas.openxmlformats.org/drawingml/2006/picture">
            <wp:extent cx="4500000" cy="2654362"/>
            <wp:docPr id="10" name="Picture 10"/>
            <wp:cNvGraphicFramePr>
              <a:graphicFrameLocks noChangeAspect="1"/>
            </wp:cNvGraphicFramePr>
            <a:graphic>
              <a:graphicData uri="http://schemas.openxmlformats.org/drawingml/2006/picture">
                <pic:pic>
                  <pic:nvPicPr>
                    <pic:cNvPr id="0" name="fig9_parse_stability_cn.png"/>
                    <pic:cNvPicPr/>
                  </pic:nvPicPr>
                  <pic:blipFill>
                    <a:blip r:embed="rId18"/>
                    <a:stretch>
                      <a:fillRect/>
                    </a:stretch>
                  </pic:blipFill>
                  <pic:spPr>
                    <a:xfrm>
                      <a:off x="0" y="0"/>
                      <a:ext cx="4500000" cy="2654362"/>
                    </a:xfrm>
                    <a:prstGeom prst="rect"/>
                  </pic:spPr>
                </pic:pic>
              </a:graphicData>
            </a:graphic>
          </wp:inline>
        </w:drawing>
      </w:r>
    </w:p>
    <w:p>
      <w:pPr>
        <w:jc w:val="center"/>
      </w:pPr>
      <w:r>
        <w:rPr>
          <w:rFonts w:ascii="SimSun" w:hAnsi="SimSun" w:eastAsia="SimSun"/>
          <w:b/>
          <w:sz w:val="20"/>
        </w:rPr>
        <w:t>图 10 Qwen2.5代表样本日志稳定性审计</w:t>
      </w:r>
    </w:p>
    <w:p>
      <w:pPr>
        <w:pStyle w:val="Heading2"/>
        <w:spacing w:line="360" w:lineRule="auto" w:before="120" w:after="120"/>
      </w:pPr>
      <w:r>
        <w:rPr>
          <w:rFonts w:ascii="SimSun" w:hAnsi="SimSun" w:eastAsia="SimSun"/>
          <w:b/>
          <w:sz w:val="28"/>
        </w:rPr>
        <w:t>3.9 代表性案例分析</w:t>
      </w:r>
    </w:p>
    <w:p>
      <w:pPr>
        <w:pStyle w:val="Heading3"/>
        <w:spacing w:line="360" w:lineRule="auto" w:before="120" w:after="120"/>
      </w:pPr>
      <w:r>
        <w:rPr>
          <w:rFonts w:ascii="SimSun" w:hAnsi="SimSun" w:eastAsia="SimSun"/>
          <w:b/>
          <w:sz w:val="24"/>
        </w:rPr>
        <w:t>3.9.1 RAG 间接提示注入案例</w:t>
      </w:r>
    </w:p>
    <w:p>
      <w:pPr>
        <w:spacing w:line="360" w:lineRule="auto" w:after="120"/>
        <w:ind w:firstLine="480"/>
      </w:pPr>
      <w:r>
        <w:rPr>
          <w:rFonts w:ascii="SimSun" w:hAnsi="SimSun" w:eastAsia="SimSun"/>
          <w:sz w:val="24"/>
        </w:rPr>
        <w:t>RAG 案例中，用户请求总结供应商风险报告，攻击内容隐藏在 Markdown 文档注释或报告片段中。隐藏内容诱导模型在总结前读取 canary secret 并尝试发送 mock 邮件。该案例模拟了真实 RAG 应用中最常见的风险：外部文档既是“数据”，又可能被模型误判为“指令”。</w:t>
      </w:r>
    </w:p>
    <w:p>
      <w:pPr>
        <w:spacing w:line="360" w:lineRule="auto" w:after="120"/>
        <w:ind w:firstLine="480"/>
      </w:pPr>
      <w:r>
        <w:rPr>
          <w:rFonts w:ascii="SimSun" w:hAnsi="SimSun" w:eastAsia="SimSun"/>
          <w:sz w:val="24"/>
        </w:rPr>
        <w:t>在 baseline 模式下，模型可能把文档注释中的“先执行维护步骤”理解为任务流程的一部分，从而触发 read_file 或 send_email 等 mock 工具。full_guard 则通过 untrusted_source_instruction、tool_lure、secret_path_access、tool_arguments_contain_sensitive_data 和 intent_action_mismatch 等原因阻断工具调用。该案例说明，不可信文档必须被上下文隔离，只能作为事实材料处理，不能改变工具调用计划。</w:t>
      </w:r>
    </w:p>
    <w:p>
      <w:pPr>
        <w:pStyle w:val="Heading3"/>
        <w:spacing w:line="360" w:lineRule="auto" w:before="120" w:after="120"/>
      </w:pPr>
      <w:r>
        <w:rPr>
          <w:rFonts w:ascii="SimSun" w:hAnsi="SimSun" w:eastAsia="SimSun"/>
          <w:b/>
          <w:sz w:val="24"/>
        </w:rPr>
        <w:t>3.9.2 JSON/RPC 结构化注入案例</w:t>
      </w:r>
    </w:p>
    <w:p>
      <w:pPr>
        <w:spacing w:line="360" w:lineRule="auto" w:after="120"/>
        <w:ind w:firstLine="480"/>
      </w:pPr>
      <w:r>
        <w:rPr>
          <w:rFonts w:ascii="SimSun" w:hAnsi="SimSun" w:eastAsia="SimSun"/>
          <w:sz w:val="24"/>
        </w:rPr>
        <w:t>JSON/RPC 案例中，用户任务通常是翻译、字段抽取或数据格式转换，但输入中的 data.next_step、method、params、execute、function_call 等字段被设计成伪工具步骤。模型如果过度信任字段名，就可能把普通数据字段提升为可执行指令。</w:t>
      </w:r>
    </w:p>
    <w:p>
      <w:pPr>
        <w:spacing w:line="360" w:lineRule="auto" w:after="120"/>
        <w:ind w:firstLine="480"/>
      </w:pPr>
      <w:r>
        <w:rPr>
          <w:rFonts w:ascii="SimSun" w:hAnsi="SimSun" w:eastAsia="SimSun"/>
          <w:sz w:val="24"/>
        </w:rPr>
        <w:t>full_guard 对这类样本同时检查结构化字段、工具诱导词和意图-动作一致性。当用户任务是翻译或抽取，而候选工具调用却指向 call_api、read_file 或 send_email 时，Guard 会提高风险分并给出 structured_injection_detected、structured_field_method、structured_field_params、intent_action_mismatch 等原因。</w:t>
      </w:r>
    </w:p>
    <w:p>
      <w:pPr>
        <w:pStyle w:val="Heading3"/>
        <w:spacing w:line="360" w:lineRule="auto" w:before="120" w:after="120"/>
      </w:pPr>
      <w:r>
        <w:rPr>
          <w:rFonts w:ascii="SimSun" w:hAnsi="SimSun" w:eastAsia="SimSun"/>
          <w:b/>
          <w:sz w:val="24"/>
        </w:rPr>
        <w:t>3.9.3 多语言/T2L 注入案例</w:t>
      </w:r>
    </w:p>
    <w:p>
      <w:pPr>
        <w:spacing w:line="360" w:lineRule="auto" w:after="120"/>
        <w:ind w:firstLine="480"/>
      </w:pPr>
      <w:r>
        <w:rPr>
          <w:rFonts w:ascii="SimSun" w:hAnsi="SimSun" w:eastAsia="SimSun"/>
          <w:sz w:val="24"/>
        </w:rPr>
        <w:t>多语言/T2L 案例中，攻击内容通过中英混合、拼音、谐音、繁简混写、日韩俄片段或回译风格隐藏在翻译任务、标签映射或 JSON 字段中。其目标是绕过单语关键词检测，并诱导模型执行非任务相关工具动作。</w:t>
      </w:r>
    </w:p>
    <w:p>
      <w:pPr>
        <w:spacing w:line="360" w:lineRule="auto" w:after="120"/>
        <w:ind w:firstLine="480"/>
      </w:pPr>
      <w:r>
        <w:rPr>
          <w:rFonts w:ascii="SimSun" w:hAnsi="SimSun" w:eastAsia="SimSun"/>
          <w:sz w:val="24"/>
        </w:rPr>
        <w:t>full_guard 通过 Unicode 归一化、零宽字符清理、混合脚本检测、多语言工具诱导识别和工具策略约束共同降低风险。demo smoke test 中，多语言/T2L 样本在 baseline 下可稳定触发 mock 风险行为，在 full_guard 下被阻断，说明组合策略对跨语言混淆具有更强鲁棒性。</w:t>
      </w:r>
    </w:p>
    <w:p>
      <w:pPr>
        <w:pStyle w:val="Heading2"/>
        <w:spacing w:line="360" w:lineRule="auto" w:before="120" w:after="120"/>
      </w:pPr>
      <w:r>
        <w:rPr>
          <w:rFonts w:ascii="SimSun" w:hAnsi="SimSun" w:eastAsia="SimSun"/>
          <w:b/>
          <w:sz w:val="28"/>
        </w:rPr>
        <w:t>3.10 实验结论与局限性</w:t>
      </w:r>
    </w:p>
    <w:p>
      <w:pPr>
        <w:spacing w:line="360" w:lineRule="auto" w:after="120"/>
        <w:ind w:firstLine="480"/>
      </w:pPr>
      <w:r>
        <w:rPr>
          <w:rFonts w:ascii="SimSun" w:hAnsi="SimSun" w:eastAsia="SimSun"/>
          <w:sz w:val="24"/>
        </w:rPr>
        <w:t>综合实验表明，M³-PI Guard 能够在本地红队靶场中有效降低提示注入导致的未授权工具调用和数据外流风险。stub 全量实验用于验证策略覆盖能力，Qwen2.5 代表样本用于验证真实模型链路，demo smoke test 用于稳定复现答辩场景。三组实验共同说明：行为级 Guard 可以为工具集成智能体提供比最终文本过滤更前置、更可解释的安全边界。</w:t>
      </w:r>
    </w:p>
    <w:p>
      <w:pPr>
        <w:spacing w:line="360" w:lineRule="auto" w:after="120"/>
        <w:ind w:firstLine="480"/>
      </w:pPr>
      <w:r>
        <w:rPr>
          <w:rFonts w:ascii="SimSun" w:hAnsi="SimSun" w:eastAsia="SimSun"/>
          <w:sz w:val="24"/>
        </w:rPr>
        <w:t>实验仍有局限。第一，样本主要为合成数据，虽然覆盖了多类攻击族，但与真实业务系统的复杂数据分布仍有差距。第二，本地 Qwen2.5 代表实验受限于消费级 8GB 显存，样本规模较小。第三，Guard 以规则和策略为主，面对深度语义改写、跨模态隐藏文本或上下文长期记忆污染时仍需增强。第四，WRS 权重仍需更多实证校准。</w:t>
      </w:r>
    </w:p>
    <w:p>
      <w:r>
        <w:br w:type="page"/>
      </w:r>
    </w:p>
    <w:p>
      <w:pPr>
        <w:pStyle w:val="Heading1"/>
        <w:spacing w:line="360" w:lineRule="auto" w:before="240" w:after="120"/>
        <w:jc w:val="center"/>
      </w:pPr>
      <w:r>
        <w:rPr>
          <w:rFonts w:ascii="SimSun" w:hAnsi="SimSun" w:eastAsia="SimSun"/>
          <w:b/>
          <w:sz w:val="32"/>
        </w:rPr>
        <w:t>第四章 创新性说明</w:t>
      </w:r>
    </w:p>
    <w:p>
      <w:pPr>
        <w:pStyle w:val="Heading2"/>
        <w:spacing w:line="360" w:lineRule="auto" w:before="120" w:after="120"/>
      </w:pPr>
      <w:r>
        <w:rPr>
          <w:rFonts w:ascii="SimSun" w:hAnsi="SimSun" w:eastAsia="SimSun"/>
          <w:b/>
          <w:sz w:val="28"/>
        </w:rPr>
        <w:t>4.1 从文本输出安全转向工具链行为安全</w:t>
      </w:r>
    </w:p>
    <w:p>
      <w:pPr>
        <w:spacing w:line="360" w:lineRule="auto" w:after="120"/>
        <w:ind w:firstLine="480"/>
      </w:pPr>
      <w:r>
        <w:rPr>
          <w:rFonts w:ascii="SimSun" w:hAnsi="SimSun" w:eastAsia="SimSun"/>
          <w:sz w:val="24"/>
        </w:rPr>
        <w:t>本作品最重要的创新是改变评测对象。传统大模型安全评测通常把最终文本回答作为主要观察目标，判断模型是否输出危险内容。M³-PI Guard 则把工具动作作为一等公民：即使模型最终回答看似正常，只要中间链路触发了未授权工具调用，也应被视为安全失败。这种视角更贴近真实智能体部署，因为在工具执行型系统中，风险往往发生在回答生成之前。</w:t>
      </w:r>
    </w:p>
    <w:p>
      <w:pPr>
        <w:pStyle w:val="Heading2"/>
        <w:spacing w:line="360" w:lineRule="auto" w:before="120" w:after="120"/>
      </w:pPr>
      <w:r>
        <w:rPr>
          <w:rFonts w:ascii="SimSun" w:hAnsi="SimSun" w:eastAsia="SimSun"/>
          <w:b/>
          <w:sz w:val="28"/>
        </w:rPr>
        <w:t>4.2 跨攻击族统一 AttackCase 建模</w:t>
      </w:r>
    </w:p>
    <w:p>
      <w:pPr>
        <w:spacing w:line="360" w:lineRule="auto" w:after="120"/>
        <w:ind w:firstLine="480"/>
      </w:pPr>
      <w:r>
        <w:rPr>
          <w:rFonts w:ascii="SimSun" w:hAnsi="SimSun" w:eastAsia="SimSun"/>
          <w:sz w:val="24"/>
        </w:rPr>
        <w:t>直接越狱、间接提示注入、多语言混淆、JSON/RPC 字段欺骗和工具输出污染在表现形式上差异很大，但它们共享同一个本质：不可信文本试图改变模型的操作边界。本作品使用统一 AttackCase Schema 描述这些样本，使不同攻击族可以在同一运行器、同一日志格式和同一指标体系下比较。</w:t>
      </w:r>
    </w:p>
    <w:p>
      <w:pPr>
        <w:pStyle w:val="Heading2"/>
        <w:spacing w:line="360" w:lineRule="auto" w:before="120" w:after="120"/>
      </w:pPr>
      <w:r>
        <w:rPr>
          <w:rFonts w:ascii="SimSun" w:hAnsi="SimSun" w:eastAsia="SimSun"/>
          <w:b/>
          <w:sz w:val="28"/>
        </w:rPr>
        <w:t>4.3 上下文检测、工具策略与数据流融合</w:t>
      </w:r>
    </w:p>
    <w:p>
      <w:pPr>
        <w:spacing w:line="360" w:lineRule="auto" w:after="120"/>
        <w:ind w:firstLine="480"/>
      </w:pPr>
      <w:r>
        <w:rPr>
          <w:rFonts w:ascii="SimSun" w:hAnsi="SimSun" w:eastAsia="SimSun"/>
          <w:sz w:val="24"/>
        </w:rPr>
        <w:t>单纯关键词检测容易被多语言、结构化字段和上下文嵌套绕过；单纯工具策略虽然能阻断危险端点和路径，却难以解释攻击来源。M³-PI Guard 将两者与数据流追踪结合：先检测上下文中的指令性文本和工具诱导，再检查工具名称、参数、路径、端点和敏感标记流向，最后结合用户任务判断意图-动作一致性。</w:t>
      </w:r>
    </w:p>
    <w:p>
      <w:pPr>
        <w:pStyle w:val="Heading2"/>
        <w:spacing w:line="360" w:lineRule="auto" w:before="120" w:after="120"/>
      </w:pPr>
      <w:r>
        <w:rPr>
          <w:rFonts w:ascii="SimSun" w:hAnsi="SimSun" w:eastAsia="SimSun"/>
          <w:b/>
          <w:sz w:val="28"/>
        </w:rPr>
        <w:t>4.4 可解释 allow/ask/deny 行为决策</w:t>
      </w:r>
    </w:p>
    <w:p>
      <w:pPr>
        <w:spacing w:line="360" w:lineRule="auto" w:after="120"/>
        <w:ind w:firstLine="480"/>
      </w:pPr>
      <w:r>
        <w:rPr>
          <w:rFonts w:ascii="SimSun" w:hAnsi="SimSun" w:eastAsia="SimSun"/>
          <w:sz w:val="24"/>
        </w:rPr>
        <w:t>系统不是简单地把所有高风险行为都拒绝，而是采用 allow、ask、deny 三态策略。对明确越权、敏感数据外发、非 sandbox 路径和代码执行使用 deny；对不确定但存在外部副作用的动作使用 ask；对正常任务保持 allow。每次决策都记录 risk_score 和 reasons，便于审计、复盘和展示。</w:t>
      </w:r>
    </w:p>
    <w:p>
      <w:pPr>
        <w:pStyle w:val="Heading2"/>
        <w:spacing w:line="360" w:lineRule="auto" w:before="120" w:after="120"/>
      </w:pPr>
      <w:r>
        <w:rPr>
          <w:rFonts w:ascii="SimSun" w:hAnsi="SimSun" w:eastAsia="SimSun"/>
          <w:b/>
          <w:sz w:val="28"/>
        </w:rPr>
        <w:t>4.5 安全、可复现的本地红队靶场</w:t>
      </w:r>
    </w:p>
    <w:p>
      <w:pPr>
        <w:spacing w:line="360" w:lineRule="auto" w:after="120"/>
        <w:ind w:firstLine="480"/>
      </w:pPr>
      <w:r>
        <w:rPr>
          <w:rFonts w:ascii="SimSun" w:hAnsi="SimSun" w:eastAsia="SimSun"/>
          <w:sz w:val="24"/>
        </w:rPr>
        <w:t>真实攻击测试不适合在公开竞赛或课程作品中复现。本作品使用本地 mock 工具保留行为形态，同时避免真实危害。这样既能展示“如果没有防护，Agent 会尝试什么动作”，又不会访问真实邮箱、真实 API 或真实 secret，适合教学、竞赛、早期系统验证和企业上线前自测。</w:t>
      </w:r>
    </w:p>
    <w:p>
      <w:pPr>
        <w:pStyle w:val="Heading2"/>
        <w:spacing w:line="360" w:lineRule="auto" w:before="120" w:after="120"/>
      </w:pPr>
      <w:r>
        <w:rPr>
          <w:rFonts w:ascii="SimSun" w:hAnsi="SimSun" w:eastAsia="SimSun"/>
          <w:b/>
          <w:sz w:val="28"/>
        </w:rPr>
        <w:t>4.6 消融实验与证据链设计</w:t>
      </w:r>
    </w:p>
    <w:p>
      <w:pPr>
        <w:spacing w:line="360" w:lineRule="auto" w:after="120"/>
        <w:ind w:firstLine="480"/>
      </w:pPr>
      <w:r>
        <w:rPr>
          <w:rFonts w:ascii="SimSun" w:hAnsi="SimSun" w:eastAsia="SimSun"/>
          <w:sz w:val="24"/>
        </w:rPr>
        <w:t>作品不仅给出最终防护结果，还提供 baseline、keyword_only、policy_only 和 full_guard 四种模式的消融实验。AttackCase 记录攻击意图和预期安全行为，RunLog 记录模型输出、工具调用、Guard 决策和风险原因，指标文件和图表展示全局效果，Dashboard 支持单案例回放，形成从样本到结论的可审计证据链。</w:t>
      </w:r>
    </w:p>
    <w:p>
      <w:r>
        <w:br w:type="page"/>
      </w:r>
    </w:p>
    <w:p>
      <w:pPr>
        <w:pStyle w:val="Heading1"/>
        <w:spacing w:line="360" w:lineRule="auto" w:before="240" w:after="120"/>
        <w:jc w:val="center"/>
      </w:pPr>
      <w:r>
        <w:rPr>
          <w:rFonts w:ascii="SimSun" w:hAnsi="SimSun" w:eastAsia="SimSun"/>
          <w:b/>
          <w:sz w:val="32"/>
        </w:rPr>
        <w:t>第五章 总结</w:t>
      </w:r>
    </w:p>
    <w:p>
      <w:pPr>
        <w:pStyle w:val="Heading2"/>
        <w:spacing w:line="360" w:lineRule="auto" w:before="120" w:after="120"/>
      </w:pPr>
      <w:r>
        <w:rPr>
          <w:rFonts w:ascii="SimSun" w:hAnsi="SimSun" w:eastAsia="SimSun"/>
          <w:b/>
          <w:sz w:val="28"/>
        </w:rPr>
        <w:t>5.1 工作总结</w:t>
      </w:r>
    </w:p>
    <w:p>
      <w:pPr>
        <w:spacing w:line="360" w:lineRule="auto" w:after="120"/>
        <w:ind w:firstLine="480"/>
      </w:pPr>
      <w:r>
        <w:rPr>
          <w:rFonts w:ascii="SimSun" w:hAnsi="SimSun" w:eastAsia="SimSun"/>
          <w:sz w:val="24"/>
        </w:rPr>
        <w:t>本作品实现了面向工具调用智能体的提示注入红队评测与行为监督系统 M³-PI Guard。系统围绕工具执行边界构建完整闭环：红队样本生成不可信上下文，Agent 靶场产生候选工具调用，Guard 在执行前进行风险裁决，mock 工具在本地安全模拟行为，评测模块把运行日志转化为可量化指标，Dashboard 支持阻断记录和单案例回放。</w:t>
      </w:r>
    </w:p>
    <w:p>
      <w:pPr>
        <w:spacing w:line="360" w:lineRule="auto" w:after="120"/>
        <w:ind w:firstLine="480"/>
      </w:pPr>
      <w:r>
        <w:rPr>
          <w:rFonts w:ascii="SimSun" w:hAnsi="SimSun" w:eastAsia="SimSun"/>
          <w:sz w:val="24"/>
        </w:rPr>
        <w:t>实验结果表明，full_guard 能显著降低 ASR、UTR 和 DSR，并提供可解释的阻断原因。在 69 条 stub 全量样本中，baseline 的 ASR 和 DSR 均为 55.07%，full_guard 将 ASR、UTR、DSR 均降至 0；在 24 条 Qwen2.5 代表样本中，full_guard 同样将 ASR、UTR、DSR 降至 0；在 3 条 demo smoke test 中，full_guard 的 BSR 达到 100%。这些结果说明行为监督是工具集成大模型智能体安全评测的重要补充。</w:t>
      </w:r>
    </w:p>
    <w:p>
      <w:pPr>
        <w:pStyle w:val="Heading2"/>
        <w:spacing w:line="360" w:lineRule="auto" w:before="120" w:after="120"/>
      </w:pPr>
      <w:r>
        <w:rPr>
          <w:rFonts w:ascii="SimSun" w:hAnsi="SimSun" w:eastAsia="SimSun"/>
          <w:b/>
          <w:sz w:val="28"/>
        </w:rPr>
        <w:t>5.2 应用价值</w:t>
      </w:r>
    </w:p>
    <w:p>
      <w:pPr>
        <w:spacing w:line="360" w:lineRule="auto" w:after="120"/>
        <w:ind w:firstLine="480"/>
      </w:pPr>
      <w:r>
        <w:rPr>
          <w:rFonts w:ascii="SimSun" w:hAnsi="SimSun" w:eastAsia="SimSun"/>
          <w:sz w:val="24"/>
        </w:rPr>
        <w:t>本作品可作为大模型智能体应用上线前的本地红队评测工具，用于发现 RAG 文档、结构化字段、多语言输入和工具输出中的提示注入风险。由于系统不依赖真实外部服务，攻击目标均为 mock 工具，因此适合在教学、竞赛、企业内部验证和防护策略原型设计中使用。</w:t>
      </w:r>
    </w:p>
    <w:p>
      <w:pPr>
        <w:spacing w:line="360" w:lineRule="auto" w:after="120"/>
        <w:ind w:firstLine="480"/>
      </w:pPr>
      <w:r>
        <w:rPr>
          <w:rFonts w:ascii="SimSun" w:hAnsi="SimSun" w:eastAsia="SimSun"/>
          <w:sz w:val="24"/>
        </w:rPr>
        <w:t>作品中的数据模型、日志结构和指标体系具有可扩展性。未来可以把 run_matrix 与更多开源 Agent 框架对接，把 Guard 作为工具调用代理层使用，也可以将 Dashboard 扩展为长期实验管理和审计平台。</w:t>
      </w:r>
    </w:p>
    <w:p>
      <w:pPr>
        <w:pStyle w:val="Heading2"/>
        <w:spacing w:line="360" w:lineRule="auto" w:before="120" w:after="120"/>
      </w:pPr>
      <w:r>
        <w:rPr>
          <w:rFonts w:ascii="SimSun" w:hAnsi="SimSun" w:eastAsia="SimSun"/>
          <w:b/>
          <w:sz w:val="28"/>
        </w:rPr>
        <w:t>5.3 局限性与后续工作</w:t>
      </w:r>
    </w:p>
    <w:p>
      <w:pPr>
        <w:spacing w:line="360" w:lineRule="auto" w:after="120"/>
        <w:ind w:firstLine="480"/>
      </w:pPr>
      <w:r>
        <w:rPr>
          <w:rFonts w:ascii="SimSun" w:hAnsi="SimSun" w:eastAsia="SimSun"/>
          <w:sz w:val="24"/>
        </w:rPr>
        <w:t>后续工作包括：第一，扩展更真实的 benign_clean 样本，增强 FPR 的解释力；第二，引入语义级检测模型，覆盖更深层的重写、嵌套和说服性攻击；第三，加入多模态隐藏提示注入，例如图片、OCR 文本和 PDF 版式中的隐蔽指令；第四，扩大本地模型与不同开源 Agent 框架的横向对比；第五，对 WRS 权重进行更多实证校准，使综合韧性分更适合不同业务场景。</w:t>
      </w:r>
    </w:p>
    <w:p>
      <w:pPr>
        <w:spacing w:line="360" w:lineRule="auto" w:after="120"/>
        <w:ind w:firstLine="480"/>
      </w:pPr>
      <w:r>
        <w:rPr>
          <w:rFonts w:ascii="SimSun" w:hAnsi="SimSun" w:eastAsia="SimSun"/>
          <w:sz w:val="24"/>
        </w:rPr>
        <w:t>总体来看，本作品在保证安全边界的前提下，展示了提示注入从文本输出风险向工具行为风险迁移的过程，并提供了一套可复现、可审计、可扩展的本地红队评测与行为监督方案。</w:t>
      </w:r>
    </w:p>
    <w:p>
      <w:r>
        <w:br w:type="page"/>
      </w:r>
    </w:p>
    <w:p>
      <w:pPr>
        <w:pStyle w:val="Heading1"/>
        <w:spacing w:line="360" w:lineRule="auto" w:before="240" w:after="120"/>
        <w:jc w:val="center"/>
      </w:pPr>
      <w:r>
        <w:rPr>
          <w:rFonts w:ascii="SimSun" w:hAnsi="SimSun" w:eastAsia="SimSun"/>
          <w:b/>
          <w:sz w:val="32"/>
        </w:rPr>
        <w:t>参考文献</w:t>
      </w:r>
    </w:p>
    <w:p>
      <w:pPr>
        <w:spacing w:line="360" w:lineRule="auto"/>
        <w:ind w:left="360" w:hanging="360"/>
      </w:pPr>
      <w:r>
        <w:rPr>
          <w:rFonts w:ascii="SimSun" w:hAnsi="SimSun" w:eastAsia="SimSun"/>
          <w:sz w:val="21"/>
        </w:rPr>
        <w:t>[1] Perez F, Ribeiro I. Ignore Previous Prompt: Attack Techniques For Language Models[C]//NeurIPS ML Safety Workshop. 2022.</w:t>
      </w:r>
    </w:p>
    <w:p>
      <w:pPr>
        <w:spacing w:line="360" w:lineRule="auto"/>
        <w:ind w:left="360" w:hanging="360"/>
      </w:pPr>
      <w:r>
        <w:rPr>
          <w:rFonts w:ascii="SimSun" w:hAnsi="SimSun" w:eastAsia="SimSun"/>
          <w:sz w:val="21"/>
        </w:rPr>
        <w:t>[2] Greshake K, Abdelnabi S, Mishra S, et al. Not what you have signed up for: Compromising Real-World LLM-Integrated Applications with Indirect Prompt Injection[C]//AISec. 2023.</w:t>
      </w:r>
    </w:p>
    <w:p>
      <w:pPr>
        <w:spacing w:line="360" w:lineRule="auto"/>
        <w:ind w:left="360" w:hanging="360"/>
      </w:pPr>
      <w:r>
        <w:rPr>
          <w:rFonts w:ascii="SimSun" w:hAnsi="SimSun" w:eastAsia="SimSun"/>
          <w:sz w:val="21"/>
        </w:rPr>
        <w:t>[3] OWASP Foundation. OWASP Top 10 for Large Language Model Applications[EB/OL]. 2025.</w:t>
      </w:r>
    </w:p>
    <w:p>
      <w:pPr>
        <w:spacing w:line="360" w:lineRule="auto"/>
        <w:ind w:left="360" w:hanging="360"/>
      </w:pPr>
      <w:r>
        <w:rPr>
          <w:rFonts w:ascii="SimSun" w:hAnsi="SimSun" w:eastAsia="SimSun"/>
          <w:sz w:val="21"/>
        </w:rPr>
        <w:t>[4] Yao S, Zhao J, Yu D, et al. ReAct: Synergizing Reasoning and Acting in Language Models[C]//ICLR. 2023.</w:t>
      </w:r>
    </w:p>
    <w:p>
      <w:pPr>
        <w:spacing w:line="360" w:lineRule="auto"/>
        <w:ind w:left="360" w:hanging="360"/>
      </w:pPr>
      <w:r>
        <w:rPr>
          <w:rFonts w:ascii="SimSun" w:hAnsi="SimSun" w:eastAsia="SimSun"/>
          <w:sz w:val="21"/>
        </w:rPr>
        <w:t>[5] Kumar S S, Cummings M, Stimpson A. Strengthening LLM trust boundaries: A survey of prompt injection attacks[C]//IEEE International Conference on Human-Machine Systems. 2024.</w:t>
      </w:r>
    </w:p>
    <w:p>
      <w:pPr>
        <w:spacing w:line="360" w:lineRule="auto"/>
        <w:ind w:left="360" w:hanging="360"/>
      </w:pPr>
      <w:r>
        <w:rPr>
          <w:rFonts w:ascii="SimSun" w:hAnsi="SimSun" w:eastAsia="SimSun"/>
          <w:sz w:val="21"/>
        </w:rPr>
        <w:t>[6] Pryzant R, Iter D, Li J, Lee Y, Zhu C, Zeng M. Automatic prompt optimization with gradient descent and beam search[C]//EMNLP. 2023: 7957-7968.</w:t>
      </w:r>
    </w:p>
    <w:p>
      <w:pPr>
        <w:spacing w:line="360" w:lineRule="auto"/>
        <w:ind w:left="360" w:hanging="360"/>
      </w:pPr>
      <w:r>
        <w:rPr>
          <w:rFonts w:ascii="SimSun" w:hAnsi="SimSun" w:eastAsia="SimSun"/>
          <w:sz w:val="21"/>
        </w:rPr>
        <w:t>[7] Wallace E, Feng S, Kandpal N, Gardner M, Singh S. Universal adversarial triggers for attacking and analyzing NLP[C]//EMNLP-IJCNLP. 2019: 2153-2162.</w:t>
      </w:r>
    </w:p>
    <w:p>
      <w:pPr>
        <w:spacing w:line="360" w:lineRule="auto"/>
        <w:ind w:left="360" w:hanging="360"/>
      </w:pPr>
      <w:r>
        <w:rPr>
          <w:rFonts w:ascii="SimSun" w:hAnsi="SimSun" w:eastAsia="SimSun"/>
          <w:sz w:val="21"/>
        </w:rPr>
        <w:t>[8] Zeng Y, Lin H, Zhang J, Yang D, Jia R, Shi W. How Johnny can persuade LLMs to jailbreak them: Rethinking persuasion to challenge AI safety by humanizing LLMs[C]//ACL. 2024: 14322-14350.</w:t>
      </w:r>
    </w:p>
    <w:p>
      <w:pPr>
        <w:spacing w:line="360" w:lineRule="auto"/>
        <w:ind w:left="360" w:hanging="360"/>
      </w:pPr>
      <w:r>
        <w:rPr>
          <w:rFonts w:ascii="SimSun" w:hAnsi="SimSun" w:eastAsia="SimSun"/>
          <w:sz w:val="21"/>
        </w:rPr>
        <w:t>[9] Li L, Ma R, Guo Q, Xue X, Qiu X. BERT-attack: Adversarial attack against BERT using BERT[C]//EMNLP. 2020: 6193-6202.</w:t>
      </w:r>
    </w:p>
    <w:p>
      <w:pPr>
        <w:spacing w:line="360" w:lineRule="auto"/>
        <w:ind w:left="360" w:hanging="360"/>
      </w:pPr>
      <w:r>
        <w:rPr>
          <w:rFonts w:ascii="SimSun" w:hAnsi="SimSun" w:eastAsia="SimSun"/>
          <w:sz w:val="21"/>
        </w:rPr>
        <w:t>[10] Naik A, Ravichander A, Sadeh N, Rose C, Neubig G. Stress test evaluation for natural language inference[EB/OL]. arXiv:1806.00692, 2018.</w:t>
      </w:r>
    </w:p>
    <w:p>
      <w:pPr>
        <w:spacing w:line="360" w:lineRule="auto"/>
        <w:ind w:left="360" w:hanging="360"/>
      </w:pPr>
      <w:r>
        <w:rPr>
          <w:rFonts w:ascii="SimSun" w:hAnsi="SimSun" w:eastAsia="SimSun"/>
          <w:sz w:val="21"/>
        </w:rPr>
        <w:t>[11] Ding P, Kuang J, Ma D, Cao X, Xian Y, Chen J, Huang S. A wolf in sheep’s clothing: Generalized nested jailbreak prompts can fool large language models easily[C]//NAACL-HLT. 2024: 2136-2153.</w:t>
      </w:r>
    </w:p>
    <w:p>
      <w:pPr>
        <w:spacing w:line="360" w:lineRule="auto"/>
        <w:ind w:left="360" w:hanging="360"/>
      </w:pPr>
      <w:r>
        <w:rPr>
          <w:rFonts w:ascii="SimSun" w:hAnsi="SimSun" w:eastAsia="SimSun"/>
          <w:sz w:val="21"/>
        </w:rPr>
        <w:t>[12] Muliarevych O. Enhancing system security: LLM-driven defense against prompt injection vulnerabilities[C]//IEEE TCSET. 2024: 420-423.</w:t>
      </w:r>
    </w:p>
    <w:p>
      <w:pPr>
        <w:spacing w:line="360" w:lineRule="auto"/>
        <w:ind w:left="360" w:hanging="360"/>
      </w:pPr>
      <w:r>
        <w:rPr>
          <w:rFonts w:ascii="SimSun" w:hAnsi="SimSun" w:eastAsia="SimSun"/>
          <w:sz w:val="21"/>
        </w:rPr>
        <w:t>[13] Yip D W, Esmradi A, Chan C F. A novel evaluation framework for assessing resilience against prompt injection attacks in large language models[C]//IEEE Asia-Pacific Conference on Computer Science and Data Engineering. 2023: 1-5.</w:t>
      </w:r>
    </w:p>
    <w:p>
      <w:pPr>
        <w:spacing w:line="360" w:lineRule="auto"/>
        <w:ind w:left="360" w:hanging="360"/>
      </w:pPr>
      <w:r>
        <w:rPr>
          <w:rFonts w:ascii="SimSun" w:hAnsi="SimSun" w:eastAsia="SimSun"/>
          <w:sz w:val="21"/>
        </w:rPr>
        <w:t>[14] Zhan Q, Liang Z, Ying Z, Kang D. InjecAgent: Benchmarking indirect prompt injections in tool-integrated large language model agents[C]//Findings of ACL. 2024.</w:t>
      </w:r>
    </w:p>
    <w:p>
      <w:pPr>
        <w:spacing w:line="360" w:lineRule="auto"/>
        <w:ind w:left="360" w:hanging="360"/>
      </w:pPr>
      <w:r>
        <w:rPr>
          <w:rFonts w:ascii="SimSun" w:hAnsi="SimSun" w:eastAsia="SimSun"/>
          <w:sz w:val="21"/>
        </w:rPr>
        <w:t>[15] Miceli-Barone A V, Sun Z. A test suite of prompt injection attacks for LLM-based machine translation[C]//WMT. 2024.</w:t>
      </w:r>
    </w:p>
    <w:sectPr>
      <w:footerReference w:type="default" r:id="rId19"/>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t>M³-PI Guard 作品报告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imSun" w:hAnsi="SimSun" w:eastAsia="SimSu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M3-PI Guard 作品报告</dc:title>
  <dc:subject>面向工具调用智能体的提示注入行为监督系统</dc:subject>
  <dc:creator/>
  <cp:keywords/>
  <dc:description/>
  <cp:lastModifiedBy/>
  <cp:revision>1</cp:revision>
  <dcterms:created xsi:type="dcterms:W3CDTF">2013-12-23T23:15:00Z</dcterms:created>
  <dcterms:modified xsi:type="dcterms:W3CDTF">2013-12-23T23:15:00Z</dcterms:modified>
  <cp:category/>
</cp:coreProperties>
</file>