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E84E64">
      <w:pPr>
        <w:keepNext w:val="0"/>
        <w:keepLines w:val="0"/>
        <w:pageBreakBefore w:val="0"/>
        <w:widowControl/>
        <w:kinsoku/>
        <w:wordWrap/>
        <w:overflowPunct/>
        <w:topLinePunct w:val="0"/>
        <w:autoSpaceDE/>
        <w:autoSpaceDN/>
        <w:bidi w:val="0"/>
        <w:adjustRightInd/>
        <w:snapToGrid/>
        <w:spacing w:before="480" w:after="360" w:line="312" w:lineRule="auto"/>
        <w:jc w:val="center"/>
        <w:textAlignment w:val="auto"/>
      </w:pPr>
      <w:r>
        <w:rPr>
          <w:rFonts w:ascii="黑体" w:hAnsi="黑体" w:eastAsia="黑体"/>
          <w:b/>
          <w:sz w:val="32"/>
        </w:rPr>
        <w:t>面向工具集成大模型智能体的提示注入红队评测与行为监督：</w:t>
      </w:r>
      <w:r>
        <w:rPr>
          <w:rFonts w:ascii="黑体" w:hAnsi="黑体" w:eastAsia="黑体"/>
          <w:b/>
          <w:sz w:val="32"/>
        </w:rPr>
        <w:br w:type="textWrapping"/>
      </w:r>
      <w:r>
        <w:rPr>
          <w:rFonts w:ascii="黑体" w:hAnsi="黑体" w:eastAsia="黑体"/>
          <w:b/>
          <w:sz w:val="32"/>
        </w:rPr>
        <w:t>M³-PI Guard 的设计、基准与实证分析</w:t>
      </w:r>
    </w:p>
    <w:p w14:paraId="47206335">
      <w:pPr>
        <w:keepNext w:val="0"/>
        <w:keepLines w:val="0"/>
        <w:pageBreakBefore w:val="0"/>
        <w:widowControl/>
        <w:kinsoku/>
        <w:wordWrap/>
        <w:overflowPunct/>
        <w:topLinePunct w:val="0"/>
        <w:autoSpaceDE/>
        <w:autoSpaceDN/>
        <w:bidi w:val="0"/>
        <w:adjustRightInd/>
        <w:snapToGrid/>
        <w:spacing w:before="240" w:after="160" w:line="288" w:lineRule="auto"/>
        <w:jc w:val="center"/>
        <w:textAlignment w:val="auto"/>
      </w:pPr>
      <w:r>
        <w:rPr>
          <w:rFonts w:ascii="黑体" w:hAnsi="黑体" w:eastAsia="黑体"/>
          <w:b/>
          <w:sz w:val="32"/>
        </w:rPr>
        <w:t>目 录</w:t>
      </w:r>
    </w:p>
    <w:p w14:paraId="5769B94B">
      <w:pPr>
        <w:keepNext w:val="0"/>
        <w:keepLines w:val="0"/>
        <w:pageBreakBefore w:val="0"/>
        <w:widowControl/>
        <w:kinsoku/>
        <w:wordWrap/>
        <w:overflowPunct/>
        <w:topLinePunct w:val="0"/>
        <w:autoSpaceDE/>
        <w:autoSpaceDN/>
        <w:bidi w:val="0"/>
        <w:adjustRightInd/>
        <w:snapToGrid/>
        <w:spacing w:after="20" w:line="324" w:lineRule="auto"/>
        <w:ind w:left="0"/>
        <w:textAlignment w:val="auto"/>
      </w:pPr>
      <w:r>
        <w:rPr>
          <w:rFonts w:ascii="宋体" w:hAnsi="宋体" w:eastAsia="宋体"/>
          <w:sz w:val="21"/>
        </w:rPr>
        <w:t>摘要</w:t>
      </w:r>
    </w:p>
    <w:p w14:paraId="6D725820">
      <w:pPr>
        <w:keepNext w:val="0"/>
        <w:keepLines w:val="0"/>
        <w:pageBreakBefore w:val="0"/>
        <w:widowControl/>
        <w:kinsoku/>
        <w:wordWrap/>
        <w:overflowPunct/>
        <w:topLinePunct w:val="0"/>
        <w:autoSpaceDE/>
        <w:autoSpaceDN/>
        <w:bidi w:val="0"/>
        <w:adjustRightInd/>
        <w:snapToGrid/>
        <w:spacing w:after="20" w:line="324" w:lineRule="auto"/>
        <w:ind w:left="0"/>
        <w:textAlignment w:val="auto"/>
      </w:pPr>
      <w:r>
        <w:rPr>
          <w:rFonts w:ascii="宋体" w:hAnsi="宋体" w:eastAsia="宋体"/>
          <w:sz w:val="21"/>
        </w:rPr>
        <w:t>Abstract</w:t>
      </w:r>
    </w:p>
    <w:p w14:paraId="4EA8DE08">
      <w:pPr>
        <w:keepNext w:val="0"/>
        <w:keepLines w:val="0"/>
        <w:pageBreakBefore w:val="0"/>
        <w:widowControl/>
        <w:kinsoku/>
        <w:wordWrap/>
        <w:overflowPunct/>
        <w:topLinePunct w:val="0"/>
        <w:autoSpaceDE/>
        <w:autoSpaceDN/>
        <w:bidi w:val="0"/>
        <w:adjustRightInd/>
        <w:snapToGrid/>
        <w:spacing w:after="20" w:line="324" w:lineRule="auto"/>
        <w:ind w:left="0"/>
        <w:textAlignment w:val="auto"/>
      </w:pPr>
      <w:r>
        <w:rPr>
          <w:rFonts w:ascii="宋体" w:hAnsi="宋体" w:eastAsia="宋体"/>
          <w:sz w:val="21"/>
        </w:rPr>
        <w:t>1 引言</w:t>
      </w:r>
    </w:p>
    <w:p w14:paraId="02A6B9B7">
      <w:pPr>
        <w:keepNext w:val="0"/>
        <w:keepLines w:val="0"/>
        <w:pageBreakBefore w:val="0"/>
        <w:widowControl/>
        <w:kinsoku/>
        <w:wordWrap/>
        <w:overflowPunct/>
        <w:topLinePunct w:val="0"/>
        <w:autoSpaceDE/>
        <w:autoSpaceDN/>
        <w:bidi w:val="0"/>
        <w:adjustRightInd/>
        <w:snapToGrid/>
        <w:spacing w:after="20" w:line="324" w:lineRule="auto"/>
        <w:ind w:left="0"/>
        <w:textAlignment w:val="auto"/>
      </w:pPr>
      <w:r>
        <w:rPr>
          <w:rFonts w:ascii="宋体" w:hAnsi="宋体" w:eastAsia="宋体"/>
          <w:sz w:val="21"/>
        </w:rPr>
        <w:t>2 背景与相关工作</w:t>
      </w:r>
    </w:p>
    <w:p w14:paraId="20C85930">
      <w:pPr>
        <w:keepNext w:val="0"/>
        <w:keepLines w:val="0"/>
        <w:pageBreakBefore w:val="0"/>
        <w:widowControl/>
        <w:kinsoku/>
        <w:wordWrap/>
        <w:overflowPunct/>
        <w:topLinePunct w:val="0"/>
        <w:autoSpaceDE/>
        <w:autoSpaceDN/>
        <w:bidi w:val="0"/>
        <w:adjustRightInd/>
        <w:snapToGrid/>
        <w:spacing w:after="20" w:line="324" w:lineRule="auto"/>
        <w:ind w:left="425"/>
        <w:textAlignment w:val="auto"/>
      </w:pPr>
      <w:r>
        <w:rPr>
          <w:rFonts w:ascii="宋体" w:hAnsi="宋体" w:eastAsia="宋体"/>
          <w:sz w:val="21"/>
        </w:rPr>
        <w:t>2.1 提示注入与越狱攻击</w:t>
      </w:r>
    </w:p>
    <w:p w14:paraId="70E191BE">
      <w:pPr>
        <w:keepNext w:val="0"/>
        <w:keepLines w:val="0"/>
        <w:pageBreakBefore w:val="0"/>
        <w:widowControl/>
        <w:kinsoku/>
        <w:wordWrap/>
        <w:overflowPunct/>
        <w:topLinePunct w:val="0"/>
        <w:autoSpaceDE/>
        <w:autoSpaceDN/>
        <w:bidi w:val="0"/>
        <w:adjustRightInd/>
        <w:snapToGrid/>
        <w:spacing w:after="20" w:line="324" w:lineRule="auto"/>
        <w:ind w:left="425"/>
        <w:textAlignment w:val="auto"/>
      </w:pPr>
      <w:r>
        <w:rPr>
          <w:rFonts w:ascii="宋体" w:hAnsi="宋体" w:eastAsia="宋体"/>
          <w:sz w:val="21"/>
        </w:rPr>
        <w:t>2.2 工具集成 Agent 的信任边界</w:t>
      </w:r>
    </w:p>
    <w:p w14:paraId="138565AA">
      <w:pPr>
        <w:keepNext w:val="0"/>
        <w:keepLines w:val="0"/>
        <w:pageBreakBefore w:val="0"/>
        <w:widowControl/>
        <w:kinsoku/>
        <w:wordWrap/>
        <w:overflowPunct/>
        <w:topLinePunct w:val="0"/>
        <w:autoSpaceDE/>
        <w:autoSpaceDN/>
        <w:bidi w:val="0"/>
        <w:adjustRightInd/>
        <w:snapToGrid/>
        <w:spacing w:after="20" w:line="324" w:lineRule="auto"/>
        <w:ind w:left="425"/>
        <w:textAlignment w:val="auto"/>
      </w:pPr>
      <w:r>
        <w:rPr>
          <w:rFonts w:ascii="宋体" w:hAnsi="宋体" w:eastAsia="宋体"/>
          <w:sz w:val="21"/>
        </w:rPr>
        <w:t>2.3 既有评测与防护方法的不足</w:t>
      </w:r>
    </w:p>
    <w:p w14:paraId="235773D9">
      <w:pPr>
        <w:keepNext w:val="0"/>
        <w:keepLines w:val="0"/>
        <w:pageBreakBefore w:val="0"/>
        <w:widowControl/>
        <w:kinsoku/>
        <w:wordWrap/>
        <w:overflowPunct/>
        <w:topLinePunct w:val="0"/>
        <w:autoSpaceDE/>
        <w:autoSpaceDN/>
        <w:bidi w:val="0"/>
        <w:adjustRightInd/>
        <w:snapToGrid/>
        <w:spacing w:after="20" w:line="324" w:lineRule="auto"/>
        <w:ind w:left="0"/>
        <w:textAlignment w:val="auto"/>
      </w:pPr>
      <w:r>
        <w:rPr>
          <w:rFonts w:ascii="宋体" w:hAnsi="宋体" w:eastAsia="宋体"/>
          <w:sz w:val="21"/>
        </w:rPr>
        <w:t>3 威胁模型与问题定义</w:t>
      </w:r>
    </w:p>
    <w:p w14:paraId="07FAD6DB">
      <w:pPr>
        <w:keepNext w:val="0"/>
        <w:keepLines w:val="0"/>
        <w:pageBreakBefore w:val="0"/>
        <w:widowControl/>
        <w:kinsoku/>
        <w:wordWrap/>
        <w:overflowPunct/>
        <w:topLinePunct w:val="0"/>
        <w:autoSpaceDE/>
        <w:autoSpaceDN/>
        <w:bidi w:val="0"/>
        <w:adjustRightInd/>
        <w:snapToGrid/>
        <w:spacing w:after="20" w:line="324" w:lineRule="auto"/>
        <w:ind w:left="425"/>
        <w:textAlignment w:val="auto"/>
      </w:pPr>
      <w:r>
        <w:rPr>
          <w:rFonts w:ascii="宋体" w:hAnsi="宋体" w:eastAsia="宋体"/>
          <w:sz w:val="21"/>
        </w:rPr>
        <w:t>3.1 系统对象</w:t>
      </w:r>
    </w:p>
    <w:p w14:paraId="2BF39F14">
      <w:pPr>
        <w:keepNext w:val="0"/>
        <w:keepLines w:val="0"/>
        <w:pageBreakBefore w:val="0"/>
        <w:widowControl/>
        <w:kinsoku/>
        <w:wordWrap/>
        <w:overflowPunct/>
        <w:topLinePunct w:val="0"/>
        <w:autoSpaceDE/>
        <w:autoSpaceDN/>
        <w:bidi w:val="0"/>
        <w:adjustRightInd/>
        <w:snapToGrid/>
        <w:spacing w:after="20" w:line="324" w:lineRule="auto"/>
        <w:ind w:left="425"/>
        <w:textAlignment w:val="auto"/>
      </w:pPr>
      <w:r>
        <w:rPr>
          <w:rFonts w:ascii="宋体" w:hAnsi="宋体" w:eastAsia="宋体"/>
          <w:sz w:val="21"/>
        </w:rPr>
        <w:t>3.2 攻击者能力</w:t>
      </w:r>
    </w:p>
    <w:p w14:paraId="3C0865C9">
      <w:pPr>
        <w:keepNext w:val="0"/>
        <w:keepLines w:val="0"/>
        <w:pageBreakBefore w:val="0"/>
        <w:widowControl/>
        <w:kinsoku/>
        <w:wordWrap/>
        <w:overflowPunct/>
        <w:topLinePunct w:val="0"/>
        <w:autoSpaceDE/>
        <w:autoSpaceDN/>
        <w:bidi w:val="0"/>
        <w:adjustRightInd/>
        <w:snapToGrid/>
        <w:spacing w:after="20" w:line="324" w:lineRule="auto"/>
        <w:ind w:left="425"/>
        <w:textAlignment w:val="auto"/>
      </w:pPr>
      <w:r>
        <w:rPr>
          <w:rFonts w:ascii="宋体" w:hAnsi="宋体" w:eastAsia="宋体"/>
          <w:sz w:val="21"/>
        </w:rPr>
        <w:t>3.3 安全目标</w:t>
      </w:r>
    </w:p>
    <w:p w14:paraId="406B77D0">
      <w:pPr>
        <w:keepNext w:val="0"/>
        <w:keepLines w:val="0"/>
        <w:pageBreakBefore w:val="0"/>
        <w:widowControl/>
        <w:kinsoku/>
        <w:wordWrap/>
        <w:overflowPunct/>
        <w:topLinePunct w:val="0"/>
        <w:autoSpaceDE/>
        <w:autoSpaceDN/>
        <w:bidi w:val="0"/>
        <w:adjustRightInd/>
        <w:snapToGrid/>
        <w:spacing w:after="20" w:line="324" w:lineRule="auto"/>
        <w:ind w:left="425"/>
        <w:textAlignment w:val="auto"/>
      </w:pPr>
      <w:r>
        <w:rPr>
          <w:rFonts w:ascii="宋体" w:hAnsi="宋体" w:eastAsia="宋体"/>
          <w:sz w:val="21"/>
        </w:rPr>
        <w:t>3.4 本地 mock 白名单</w:t>
      </w:r>
    </w:p>
    <w:p w14:paraId="376D0477">
      <w:pPr>
        <w:keepNext w:val="0"/>
        <w:keepLines w:val="0"/>
        <w:pageBreakBefore w:val="0"/>
        <w:widowControl/>
        <w:kinsoku/>
        <w:wordWrap/>
        <w:overflowPunct/>
        <w:topLinePunct w:val="0"/>
        <w:autoSpaceDE/>
        <w:autoSpaceDN/>
        <w:bidi w:val="0"/>
        <w:adjustRightInd/>
        <w:snapToGrid/>
        <w:spacing w:after="20" w:line="324" w:lineRule="auto"/>
        <w:ind w:left="0"/>
        <w:textAlignment w:val="auto"/>
      </w:pPr>
      <w:r>
        <w:rPr>
          <w:rFonts w:ascii="宋体" w:hAnsi="宋体" w:eastAsia="宋体"/>
          <w:sz w:val="21"/>
        </w:rPr>
        <w:t>4 系统设计与核心机制</w:t>
      </w:r>
    </w:p>
    <w:p w14:paraId="1B821512">
      <w:pPr>
        <w:keepNext w:val="0"/>
        <w:keepLines w:val="0"/>
        <w:pageBreakBefore w:val="0"/>
        <w:widowControl/>
        <w:kinsoku/>
        <w:wordWrap/>
        <w:overflowPunct/>
        <w:topLinePunct w:val="0"/>
        <w:autoSpaceDE/>
        <w:autoSpaceDN/>
        <w:bidi w:val="0"/>
        <w:adjustRightInd/>
        <w:snapToGrid/>
        <w:spacing w:after="20" w:line="324" w:lineRule="auto"/>
        <w:ind w:left="425"/>
        <w:textAlignment w:val="auto"/>
      </w:pPr>
      <w:r>
        <w:rPr>
          <w:rFonts w:ascii="宋体" w:hAnsi="宋体" w:eastAsia="宋体"/>
          <w:sz w:val="21"/>
        </w:rPr>
        <w:t>4.1 总体架构</w:t>
      </w:r>
    </w:p>
    <w:p w14:paraId="51EBD8AD">
      <w:pPr>
        <w:keepNext w:val="0"/>
        <w:keepLines w:val="0"/>
        <w:pageBreakBefore w:val="0"/>
        <w:widowControl/>
        <w:kinsoku/>
        <w:wordWrap/>
        <w:overflowPunct/>
        <w:topLinePunct w:val="0"/>
        <w:autoSpaceDE/>
        <w:autoSpaceDN/>
        <w:bidi w:val="0"/>
        <w:adjustRightInd/>
        <w:snapToGrid/>
        <w:spacing w:after="20" w:line="324" w:lineRule="auto"/>
        <w:ind w:left="425"/>
        <w:textAlignment w:val="auto"/>
      </w:pPr>
      <w:r>
        <w:rPr>
          <w:rFonts w:ascii="宋体" w:hAnsi="宋体" w:eastAsia="宋体"/>
          <w:sz w:val="21"/>
        </w:rPr>
        <w:t>4.2 AttackCase 数据模型</w:t>
      </w:r>
    </w:p>
    <w:p w14:paraId="0F521CD2">
      <w:pPr>
        <w:keepNext w:val="0"/>
        <w:keepLines w:val="0"/>
        <w:pageBreakBefore w:val="0"/>
        <w:widowControl/>
        <w:kinsoku/>
        <w:wordWrap/>
        <w:overflowPunct/>
        <w:topLinePunct w:val="0"/>
        <w:autoSpaceDE/>
        <w:autoSpaceDN/>
        <w:bidi w:val="0"/>
        <w:adjustRightInd/>
        <w:snapToGrid/>
        <w:spacing w:after="20" w:line="324" w:lineRule="auto"/>
        <w:ind w:left="425"/>
        <w:textAlignment w:val="auto"/>
      </w:pPr>
      <w:r>
        <w:rPr>
          <w:rFonts w:ascii="宋体" w:hAnsi="宋体" w:eastAsia="宋体"/>
          <w:sz w:val="21"/>
        </w:rPr>
        <w:t>4.3 Guard 决策接口与防护模式</w:t>
      </w:r>
    </w:p>
    <w:p w14:paraId="34E70017">
      <w:pPr>
        <w:keepNext w:val="0"/>
        <w:keepLines w:val="0"/>
        <w:pageBreakBefore w:val="0"/>
        <w:widowControl/>
        <w:kinsoku/>
        <w:wordWrap/>
        <w:overflowPunct/>
        <w:topLinePunct w:val="0"/>
        <w:autoSpaceDE/>
        <w:autoSpaceDN/>
        <w:bidi w:val="0"/>
        <w:adjustRightInd/>
        <w:snapToGrid/>
        <w:spacing w:after="20" w:line="324" w:lineRule="auto"/>
        <w:ind w:left="425"/>
        <w:textAlignment w:val="auto"/>
      </w:pPr>
      <w:r>
        <w:rPr>
          <w:rFonts w:ascii="宋体" w:hAnsi="宋体" w:eastAsia="宋体"/>
          <w:sz w:val="21"/>
        </w:rPr>
        <w:t>4.4 检测器、策略与日志审计</w:t>
      </w:r>
    </w:p>
    <w:p w14:paraId="5A6C0EA0">
      <w:pPr>
        <w:keepNext w:val="0"/>
        <w:keepLines w:val="0"/>
        <w:pageBreakBefore w:val="0"/>
        <w:widowControl/>
        <w:kinsoku/>
        <w:wordWrap/>
        <w:overflowPunct/>
        <w:topLinePunct w:val="0"/>
        <w:autoSpaceDE/>
        <w:autoSpaceDN/>
        <w:bidi w:val="0"/>
        <w:adjustRightInd/>
        <w:snapToGrid/>
        <w:spacing w:after="20" w:line="324" w:lineRule="auto"/>
        <w:ind w:left="0"/>
        <w:textAlignment w:val="auto"/>
      </w:pPr>
      <w:r>
        <w:rPr>
          <w:rFonts w:ascii="宋体" w:hAnsi="宋体" w:eastAsia="宋体"/>
          <w:sz w:val="21"/>
        </w:rPr>
        <w:t>5 样本库构建</w:t>
      </w:r>
    </w:p>
    <w:p w14:paraId="5C981364">
      <w:pPr>
        <w:keepNext w:val="0"/>
        <w:keepLines w:val="0"/>
        <w:pageBreakBefore w:val="0"/>
        <w:widowControl/>
        <w:kinsoku/>
        <w:wordWrap/>
        <w:overflowPunct/>
        <w:topLinePunct w:val="0"/>
        <w:autoSpaceDE/>
        <w:autoSpaceDN/>
        <w:bidi w:val="0"/>
        <w:adjustRightInd/>
        <w:snapToGrid/>
        <w:spacing w:after="20" w:line="324" w:lineRule="auto"/>
        <w:ind w:left="425"/>
        <w:textAlignment w:val="auto"/>
      </w:pPr>
      <w:r>
        <w:rPr>
          <w:rFonts w:ascii="宋体" w:hAnsi="宋体" w:eastAsia="宋体"/>
          <w:sz w:val="21"/>
        </w:rPr>
        <w:t>5.1 攻击族设计</w:t>
      </w:r>
    </w:p>
    <w:p w14:paraId="7D49D4AC">
      <w:pPr>
        <w:keepNext w:val="0"/>
        <w:keepLines w:val="0"/>
        <w:pageBreakBefore w:val="0"/>
        <w:widowControl/>
        <w:kinsoku/>
        <w:wordWrap/>
        <w:overflowPunct/>
        <w:topLinePunct w:val="0"/>
        <w:autoSpaceDE/>
        <w:autoSpaceDN/>
        <w:bidi w:val="0"/>
        <w:adjustRightInd/>
        <w:snapToGrid/>
        <w:spacing w:after="20" w:line="324" w:lineRule="auto"/>
        <w:ind w:left="425"/>
        <w:textAlignment w:val="auto"/>
      </w:pPr>
      <w:r>
        <w:rPr>
          <w:rFonts w:ascii="宋体" w:hAnsi="宋体" w:eastAsia="宋体"/>
          <w:sz w:val="21"/>
        </w:rPr>
        <w:t>5.2 代表样本与质量审计</w:t>
      </w:r>
    </w:p>
    <w:p w14:paraId="396AEE9E">
      <w:pPr>
        <w:keepNext w:val="0"/>
        <w:keepLines w:val="0"/>
        <w:pageBreakBefore w:val="0"/>
        <w:widowControl/>
        <w:kinsoku/>
        <w:wordWrap/>
        <w:overflowPunct/>
        <w:topLinePunct w:val="0"/>
        <w:autoSpaceDE/>
        <w:autoSpaceDN/>
        <w:bidi w:val="0"/>
        <w:adjustRightInd/>
        <w:snapToGrid/>
        <w:spacing w:after="20" w:line="324" w:lineRule="auto"/>
        <w:ind w:left="0"/>
        <w:textAlignment w:val="auto"/>
      </w:pPr>
      <w:r>
        <w:rPr>
          <w:rFonts w:ascii="宋体" w:hAnsi="宋体" w:eastAsia="宋体"/>
          <w:sz w:val="21"/>
        </w:rPr>
        <w:t>6 实验设计</w:t>
      </w:r>
    </w:p>
    <w:p w14:paraId="6A987A33">
      <w:pPr>
        <w:keepNext w:val="0"/>
        <w:keepLines w:val="0"/>
        <w:pageBreakBefore w:val="0"/>
        <w:widowControl/>
        <w:kinsoku/>
        <w:wordWrap/>
        <w:overflowPunct/>
        <w:topLinePunct w:val="0"/>
        <w:autoSpaceDE/>
        <w:autoSpaceDN/>
        <w:bidi w:val="0"/>
        <w:adjustRightInd/>
        <w:snapToGrid/>
        <w:spacing w:after="20" w:line="324" w:lineRule="auto"/>
        <w:ind w:left="425"/>
        <w:textAlignment w:val="auto"/>
      </w:pPr>
      <w:r>
        <w:rPr>
          <w:rFonts w:ascii="宋体" w:hAnsi="宋体" w:eastAsia="宋体"/>
          <w:sz w:val="21"/>
        </w:rPr>
        <w:t>6.1 实验后端与防护模式</w:t>
      </w:r>
    </w:p>
    <w:p w14:paraId="2C763793">
      <w:pPr>
        <w:keepNext w:val="0"/>
        <w:keepLines w:val="0"/>
        <w:pageBreakBefore w:val="0"/>
        <w:widowControl/>
        <w:kinsoku/>
        <w:wordWrap/>
        <w:overflowPunct/>
        <w:topLinePunct w:val="0"/>
        <w:autoSpaceDE/>
        <w:autoSpaceDN/>
        <w:bidi w:val="0"/>
        <w:adjustRightInd/>
        <w:snapToGrid/>
        <w:spacing w:after="20" w:line="324" w:lineRule="auto"/>
        <w:ind w:left="425"/>
        <w:textAlignment w:val="auto"/>
      </w:pPr>
      <w:r>
        <w:rPr>
          <w:rFonts w:ascii="宋体" w:hAnsi="宋体" w:eastAsia="宋体"/>
          <w:sz w:val="21"/>
        </w:rPr>
        <w:t>6.2 评测指标</w:t>
      </w:r>
    </w:p>
    <w:p w14:paraId="6F566989">
      <w:pPr>
        <w:keepNext w:val="0"/>
        <w:keepLines w:val="0"/>
        <w:pageBreakBefore w:val="0"/>
        <w:widowControl/>
        <w:kinsoku/>
        <w:wordWrap/>
        <w:overflowPunct/>
        <w:topLinePunct w:val="0"/>
        <w:autoSpaceDE/>
        <w:autoSpaceDN/>
        <w:bidi w:val="0"/>
        <w:adjustRightInd/>
        <w:snapToGrid/>
        <w:spacing w:after="20" w:line="324" w:lineRule="auto"/>
        <w:ind w:left="0"/>
        <w:textAlignment w:val="auto"/>
      </w:pPr>
      <w:r>
        <w:rPr>
          <w:rFonts w:ascii="宋体" w:hAnsi="宋体" w:eastAsia="宋体"/>
          <w:sz w:val="21"/>
        </w:rPr>
        <w:t>7 实验结果与分析</w:t>
      </w:r>
    </w:p>
    <w:p w14:paraId="6C12B2BD">
      <w:pPr>
        <w:keepNext w:val="0"/>
        <w:keepLines w:val="0"/>
        <w:pageBreakBefore w:val="0"/>
        <w:widowControl/>
        <w:kinsoku/>
        <w:wordWrap/>
        <w:overflowPunct/>
        <w:topLinePunct w:val="0"/>
        <w:autoSpaceDE/>
        <w:autoSpaceDN/>
        <w:bidi w:val="0"/>
        <w:adjustRightInd/>
        <w:snapToGrid/>
        <w:spacing w:after="20" w:line="324" w:lineRule="auto"/>
        <w:ind w:left="425"/>
        <w:textAlignment w:val="auto"/>
      </w:pPr>
      <w:r>
        <w:rPr>
          <w:rFonts w:ascii="宋体" w:hAnsi="宋体" w:eastAsia="宋体"/>
          <w:sz w:val="21"/>
        </w:rPr>
        <w:t>7.1 总体结果</w:t>
      </w:r>
    </w:p>
    <w:p w14:paraId="14730376">
      <w:pPr>
        <w:keepNext w:val="0"/>
        <w:keepLines w:val="0"/>
        <w:pageBreakBefore w:val="0"/>
        <w:widowControl/>
        <w:kinsoku/>
        <w:wordWrap/>
        <w:overflowPunct/>
        <w:topLinePunct w:val="0"/>
        <w:autoSpaceDE/>
        <w:autoSpaceDN/>
        <w:bidi w:val="0"/>
        <w:adjustRightInd/>
        <w:snapToGrid/>
        <w:spacing w:after="20" w:line="324" w:lineRule="auto"/>
        <w:ind w:left="425"/>
        <w:textAlignment w:val="auto"/>
      </w:pPr>
      <w:r>
        <w:rPr>
          <w:rFonts w:ascii="宋体" w:hAnsi="宋体" w:eastAsia="宋体"/>
          <w:sz w:val="21"/>
        </w:rPr>
        <w:t>7.2 按攻击族分析</w:t>
      </w:r>
    </w:p>
    <w:p w14:paraId="26FBFB5B">
      <w:pPr>
        <w:keepNext w:val="0"/>
        <w:keepLines w:val="0"/>
        <w:pageBreakBefore w:val="0"/>
        <w:widowControl/>
        <w:kinsoku/>
        <w:wordWrap/>
        <w:overflowPunct/>
        <w:topLinePunct w:val="0"/>
        <w:autoSpaceDE/>
        <w:autoSpaceDN/>
        <w:bidi w:val="0"/>
        <w:adjustRightInd/>
        <w:snapToGrid/>
        <w:spacing w:after="20" w:line="324" w:lineRule="auto"/>
        <w:ind w:left="425"/>
        <w:textAlignment w:val="auto"/>
      </w:pPr>
      <w:r>
        <w:rPr>
          <w:rFonts w:ascii="宋体" w:hAnsi="宋体" w:eastAsia="宋体"/>
          <w:sz w:val="21"/>
        </w:rPr>
        <w:t>7.3 消融观察与代表案例</w:t>
      </w:r>
    </w:p>
    <w:p w14:paraId="7F6ED075">
      <w:pPr>
        <w:keepNext w:val="0"/>
        <w:keepLines w:val="0"/>
        <w:pageBreakBefore w:val="0"/>
        <w:widowControl/>
        <w:kinsoku/>
        <w:wordWrap/>
        <w:overflowPunct/>
        <w:topLinePunct w:val="0"/>
        <w:autoSpaceDE/>
        <w:autoSpaceDN/>
        <w:bidi w:val="0"/>
        <w:adjustRightInd/>
        <w:snapToGrid/>
        <w:spacing w:after="20" w:line="324" w:lineRule="auto"/>
        <w:ind w:left="425"/>
        <w:textAlignment w:val="auto"/>
      </w:pPr>
      <w:r>
        <w:rPr>
          <w:rFonts w:ascii="宋体" w:hAnsi="宋体" w:eastAsia="宋体"/>
          <w:sz w:val="21"/>
        </w:rPr>
        <w:t>7.4 可复现性与提交包验证</w:t>
      </w:r>
    </w:p>
    <w:p w14:paraId="2375D74B">
      <w:pPr>
        <w:keepNext w:val="0"/>
        <w:keepLines w:val="0"/>
        <w:pageBreakBefore w:val="0"/>
        <w:widowControl/>
        <w:kinsoku/>
        <w:wordWrap/>
        <w:overflowPunct/>
        <w:topLinePunct w:val="0"/>
        <w:autoSpaceDE/>
        <w:autoSpaceDN/>
        <w:bidi w:val="0"/>
        <w:adjustRightInd/>
        <w:snapToGrid/>
        <w:spacing w:after="20" w:line="324" w:lineRule="auto"/>
        <w:ind w:left="0"/>
        <w:textAlignment w:val="auto"/>
      </w:pPr>
      <w:r>
        <w:rPr>
          <w:rFonts w:ascii="宋体" w:hAnsi="宋体" w:eastAsia="宋体"/>
          <w:sz w:val="21"/>
        </w:rPr>
        <w:t>8 讨论</w:t>
      </w:r>
    </w:p>
    <w:p w14:paraId="6F8637A1">
      <w:pPr>
        <w:keepNext w:val="0"/>
        <w:keepLines w:val="0"/>
        <w:pageBreakBefore w:val="0"/>
        <w:widowControl/>
        <w:kinsoku/>
        <w:wordWrap/>
        <w:overflowPunct/>
        <w:topLinePunct w:val="0"/>
        <w:autoSpaceDE/>
        <w:autoSpaceDN/>
        <w:bidi w:val="0"/>
        <w:adjustRightInd/>
        <w:snapToGrid/>
        <w:spacing w:after="20" w:line="324" w:lineRule="auto"/>
        <w:ind w:left="425"/>
        <w:textAlignment w:val="auto"/>
      </w:pPr>
      <w:r>
        <w:rPr>
          <w:rFonts w:ascii="宋体" w:hAnsi="宋体" w:eastAsia="宋体"/>
          <w:sz w:val="21"/>
        </w:rPr>
        <w:t>8.1 为什么行为级监督必要</w:t>
      </w:r>
    </w:p>
    <w:p w14:paraId="3D4B88A5">
      <w:pPr>
        <w:keepNext w:val="0"/>
        <w:keepLines w:val="0"/>
        <w:pageBreakBefore w:val="0"/>
        <w:widowControl/>
        <w:kinsoku/>
        <w:wordWrap/>
        <w:overflowPunct/>
        <w:topLinePunct w:val="0"/>
        <w:autoSpaceDE/>
        <w:autoSpaceDN/>
        <w:bidi w:val="0"/>
        <w:adjustRightInd/>
        <w:snapToGrid/>
        <w:spacing w:after="20" w:line="324" w:lineRule="auto"/>
        <w:ind w:left="425"/>
        <w:textAlignment w:val="auto"/>
      </w:pPr>
      <w:r>
        <w:rPr>
          <w:rFonts w:ascii="宋体" w:hAnsi="宋体" w:eastAsia="宋体"/>
          <w:sz w:val="21"/>
        </w:rPr>
        <w:t>8.2 与传统提示过滤的关系</w:t>
      </w:r>
    </w:p>
    <w:p w14:paraId="7CBB9991">
      <w:pPr>
        <w:keepNext w:val="0"/>
        <w:keepLines w:val="0"/>
        <w:pageBreakBefore w:val="0"/>
        <w:widowControl/>
        <w:kinsoku/>
        <w:wordWrap/>
        <w:overflowPunct/>
        <w:topLinePunct w:val="0"/>
        <w:autoSpaceDE/>
        <w:autoSpaceDN/>
        <w:bidi w:val="0"/>
        <w:adjustRightInd/>
        <w:snapToGrid/>
        <w:spacing w:after="20" w:line="324" w:lineRule="auto"/>
        <w:ind w:left="425"/>
        <w:textAlignment w:val="auto"/>
      </w:pPr>
      <w:r>
        <w:rPr>
          <w:rFonts w:ascii="宋体" w:hAnsi="宋体" w:eastAsia="宋体"/>
          <w:sz w:val="21"/>
        </w:rPr>
        <w:t>8.3 对实际部署的启示</w:t>
      </w:r>
    </w:p>
    <w:p w14:paraId="0B56F5A5">
      <w:pPr>
        <w:keepNext w:val="0"/>
        <w:keepLines w:val="0"/>
        <w:pageBreakBefore w:val="0"/>
        <w:widowControl/>
        <w:kinsoku/>
        <w:wordWrap/>
        <w:overflowPunct/>
        <w:topLinePunct w:val="0"/>
        <w:autoSpaceDE/>
        <w:autoSpaceDN/>
        <w:bidi w:val="0"/>
        <w:adjustRightInd/>
        <w:snapToGrid/>
        <w:spacing w:after="20" w:line="324" w:lineRule="auto"/>
        <w:ind w:left="425"/>
        <w:textAlignment w:val="auto"/>
      </w:pPr>
      <w:r>
        <w:rPr>
          <w:rFonts w:ascii="宋体" w:hAnsi="宋体" w:eastAsia="宋体"/>
          <w:sz w:val="21"/>
        </w:rPr>
        <w:t>8.4 局限性</w:t>
      </w:r>
    </w:p>
    <w:p w14:paraId="78A68F6D">
      <w:pPr>
        <w:keepNext w:val="0"/>
        <w:keepLines w:val="0"/>
        <w:pageBreakBefore w:val="0"/>
        <w:widowControl/>
        <w:kinsoku/>
        <w:wordWrap/>
        <w:overflowPunct/>
        <w:topLinePunct w:val="0"/>
        <w:autoSpaceDE/>
        <w:autoSpaceDN/>
        <w:bidi w:val="0"/>
        <w:adjustRightInd/>
        <w:snapToGrid/>
        <w:spacing w:after="20" w:line="324" w:lineRule="auto"/>
        <w:ind w:left="0"/>
        <w:textAlignment w:val="auto"/>
      </w:pPr>
      <w:r>
        <w:rPr>
          <w:rFonts w:ascii="宋体" w:hAnsi="宋体" w:eastAsia="宋体"/>
          <w:sz w:val="21"/>
        </w:rPr>
        <w:t>9 伦理与安全边界</w:t>
      </w:r>
    </w:p>
    <w:p w14:paraId="1215739B">
      <w:pPr>
        <w:keepNext w:val="0"/>
        <w:keepLines w:val="0"/>
        <w:pageBreakBefore w:val="0"/>
        <w:widowControl/>
        <w:kinsoku/>
        <w:wordWrap/>
        <w:overflowPunct/>
        <w:topLinePunct w:val="0"/>
        <w:autoSpaceDE/>
        <w:autoSpaceDN/>
        <w:bidi w:val="0"/>
        <w:adjustRightInd/>
        <w:snapToGrid/>
        <w:spacing w:after="20" w:line="324" w:lineRule="auto"/>
        <w:ind w:left="0"/>
        <w:textAlignment w:val="auto"/>
      </w:pPr>
      <w:r>
        <w:rPr>
          <w:rFonts w:ascii="宋体" w:hAnsi="宋体" w:eastAsia="宋体"/>
          <w:sz w:val="21"/>
        </w:rPr>
        <w:t>10 结论</w:t>
      </w:r>
    </w:p>
    <w:p w14:paraId="5CDB85F8">
      <w:pPr>
        <w:keepNext w:val="0"/>
        <w:keepLines w:val="0"/>
        <w:pageBreakBefore w:val="0"/>
        <w:widowControl/>
        <w:kinsoku/>
        <w:wordWrap/>
        <w:overflowPunct/>
        <w:topLinePunct w:val="0"/>
        <w:autoSpaceDE/>
        <w:autoSpaceDN/>
        <w:bidi w:val="0"/>
        <w:adjustRightInd/>
        <w:snapToGrid/>
        <w:spacing w:after="20" w:line="324" w:lineRule="auto"/>
        <w:ind w:left="0"/>
        <w:textAlignment w:val="auto"/>
      </w:pPr>
      <w:r>
        <w:rPr>
          <w:rFonts w:ascii="宋体" w:hAnsi="宋体" w:eastAsia="宋体"/>
          <w:sz w:val="21"/>
        </w:rPr>
        <w:t>参考文献</w:t>
      </w:r>
    </w:p>
    <w:p w14:paraId="20D4510F">
      <w:pPr>
        <w:keepNext w:val="0"/>
        <w:keepLines w:val="0"/>
        <w:pageBreakBefore w:val="0"/>
        <w:widowControl/>
        <w:kinsoku/>
        <w:wordWrap/>
        <w:overflowPunct/>
        <w:topLinePunct w:val="0"/>
        <w:autoSpaceDE/>
        <w:autoSpaceDN/>
        <w:bidi w:val="0"/>
        <w:adjustRightInd/>
        <w:snapToGrid/>
        <w:textAlignment w:val="auto"/>
      </w:pPr>
      <w:r>
        <w:br w:type="page"/>
      </w:r>
    </w:p>
    <w:p w14:paraId="7FFE3B46">
      <w:pPr>
        <w:pStyle w:val="3"/>
        <w:keepNext w:val="0"/>
        <w:keepLines w:val="0"/>
        <w:pageBreakBefore w:val="0"/>
        <w:widowControl/>
        <w:kinsoku/>
        <w:wordWrap/>
        <w:overflowPunct/>
        <w:topLinePunct w:val="0"/>
        <w:autoSpaceDE/>
        <w:autoSpaceDN/>
        <w:bidi w:val="0"/>
        <w:adjustRightInd/>
        <w:snapToGrid/>
        <w:spacing w:before="150" w:after="150" w:line="288" w:lineRule="auto"/>
        <w:jc w:val="center"/>
        <w:textAlignment w:val="auto"/>
      </w:pPr>
      <w:r>
        <w:rPr>
          <w:rFonts w:ascii="黑体" w:hAnsi="黑体" w:eastAsia="黑体"/>
          <w:b/>
          <w:sz w:val="30"/>
        </w:rPr>
        <w:t>摘要</w:t>
      </w:r>
    </w:p>
    <w:p w14:paraId="2200C85E">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大模型应用正在由对话系统演化为可调用文件系统、消息服务、外部接口和代码执行器的工具集成智能体。相应地，提示注入的安全后果也从诱导不当文本输出，扩展为触发未授权工具动作、敏感数据流转和错误上下文下的业务操作。现有越狱与提示注入研究已揭示自然语言覆盖、间接文档污染、结构化字段欺骗和多语言混淆对模型安全边界的影响，但面向工具集成智能体的本地可复现评测框架、跨攻击族统一样本模式以及行为级阻断指标仍相对不足。</w:t>
      </w:r>
    </w:p>
    <w:p w14:paraId="30125A1B">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本文提出 M³-PI Guard，一个面向工具集成大模型智能体的提示注入红队评测与行为监督原型。该系统通过 69 条标准化 AttackCase、本地 mock 工具链、行为监督策略和可复现日志，将大模型安全评测从文本输出扩展到工具链行为。实验表明，full_guard 能够在本地样本中有效降低攻击成功率、未授权工具调用率和数据外流风险，并提供可审计风险原因。最终 release 包已通过独立 smoke test、扫描和 hash 校验。未来工作将扩展真实业务载体、多模型横向比较、多模态提示注入、学习型检测器和更细粒度的数据流标签。</w:t>
      </w:r>
    </w:p>
    <w:p w14:paraId="5989A238">
      <w:pPr>
        <w:keepNext w:val="0"/>
        <w:keepLines w:val="0"/>
        <w:pageBreakBefore w:val="0"/>
        <w:widowControl/>
        <w:kinsoku/>
        <w:wordWrap/>
        <w:overflowPunct/>
        <w:topLinePunct w:val="0"/>
        <w:autoSpaceDE/>
        <w:autoSpaceDN/>
        <w:bidi w:val="0"/>
        <w:adjustRightInd/>
        <w:snapToGrid/>
        <w:spacing w:before="0" w:after="0" w:line="360" w:lineRule="auto"/>
        <w:textAlignment w:val="auto"/>
      </w:pPr>
      <w:r>
        <w:rPr>
          <w:rFonts w:ascii="宋体" w:hAnsi="宋体" w:eastAsia="宋体"/>
          <w:sz w:val="21"/>
        </w:rPr>
        <w:t>关键词：大模型智能体；提示注入；间接提示注入；红队评测；工具调用安全；行为监督；RAG 安全</w:t>
      </w:r>
    </w:p>
    <w:p w14:paraId="20BFBCE2">
      <w:pPr>
        <w:pStyle w:val="3"/>
        <w:keepNext w:val="0"/>
        <w:keepLines w:val="0"/>
        <w:pageBreakBefore w:val="0"/>
        <w:widowControl/>
        <w:kinsoku/>
        <w:wordWrap/>
        <w:overflowPunct/>
        <w:topLinePunct w:val="0"/>
        <w:autoSpaceDE/>
        <w:autoSpaceDN/>
        <w:bidi w:val="0"/>
        <w:adjustRightInd/>
        <w:snapToGrid/>
        <w:spacing w:before="150" w:after="150" w:line="288" w:lineRule="auto"/>
        <w:jc w:val="center"/>
        <w:textAlignment w:val="auto"/>
      </w:pPr>
      <w:r>
        <w:rPr>
          <w:rFonts w:ascii="黑体" w:hAnsi="黑体" w:eastAsia="黑体"/>
          <w:b/>
          <w:sz w:val="30"/>
        </w:rPr>
        <w:t>Abstract</w:t>
      </w:r>
    </w:p>
    <w:p w14:paraId="4839C2F2">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Times New Roman" w:hAnsi="Times New Roman" w:eastAsia="Times New Roman"/>
          <w:sz w:val="21"/>
        </w:rPr>
        <w:t>Large language model applications are rapidly evolving from conversational interfaces into tool-integrated agents that can access files, send messages, call APIs, and execute task workflows. This transition changes the focus of prompt-injection evaluation: the central risk is no longer limited to unsafe textual responses, but also includes unauthorized tool actions in an agentic execution chain.</w:t>
      </w:r>
    </w:p>
    <w:p w14:paraId="79C06C76">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Times New Roman" w:hAnsi="Times New Roman" w:eastAsia="Times New Roman"/>
          <w:sz w:val="21"/>
        </w:rPr>
        <w:t>This paper presents M³-PI Guard, a red-team evaluation and behavior-supervision prototype for prompt injection in tool-integrated LLM agents. M³-PI Guard provides 69 standardized AttackCase instances covering direct jailbreaks, indirect RAG prompt injection, multilingual/T2L attacks, JSON/RPC structured injection, tool-output injection, and benign tasks. It further implements a local sandbox with mock tools and a behavior-level guard that combines text detectors, structured-field analysis, multilingual-obfuscation signals, tool policies, endpoint/path constraints, data-flow tracking, and intent-action consistency checks.</w:t>
      </w:r>
    </w:p>
    <w:p w14:paraId="77A6A822">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Times New Roman" w:hAnsi="Times New Roman" w:eastAsia="Times New Roman"/>
          <w:sz w:val="21"/>
        </w:rPr>
        <w:t>In a full stub evaluation over 69 cases, baseline ASR and DSR are both 55.07%, while full_guard reduces ASR, UTR, and DSR to 0 with no observed false positives. On 24 representative Qwen2.5-7B local-model cases, full_guard also reduces ASR, UTR, and DSR to 0. The final release package further passes an out-of-repository smoke test, release scan, and ZIP extraction check, supporting reproducibility. The contribution of this work is to shift LLM-agent security evaluation from output-level safety toward behavior-level tool-chain supervision.</w:t>
      </w:r>
    </w:p>
    <w:p w14:paraId="6140D025">
      <w:pPr>
        <w:keepNext w:val="0"/>
        <w:keepLines w:val="0"/>
        <w:pageBreakBefore w:val="0"/>
        <w:widowControl/>
        <w:kinsoku/>
        <w:wordWrap/>
        <w:overflowPunct/>
        <w:topLinePunct w:val="0"/>
        <w:autoSpaceDE/>
        <w:autoSpaceDN/>
        <w:bidi w:val="0"/>
        <w:adjustRightInd/>
        <w:snapToGrid/>
        <w:spacing w:before="0" w:after="0" w:line="360" w:lineRule="auto"/>
        <w:textAlignment w:val="auto"/>
      </w:pPr>
      <w:r>
        <w:rPr>
          <w:rFonts w:ascii="Times New Roman" w:hAnsi="Times New Roman" w:eastAsia="Times New Roman"/>
          <w:sz w:val="21"/>
        </w:rPr>
        <w:t>Keywords: LLM agents; prompt injection; indirect prompt injection; red-team evaluation; tool-call security; behavior supervision; RAG security</w:t>
      </w:r>
    </w:p>
    <w:p w14:paraId="215A2536">
      <w:pPr>
        <w:pStyle w:val="3"/>
        <w:keepNext w:val="0"/>
        <w:keepLines w:val="0"/>
        <w:pageBreakBefore w:val="0"/>
        <w:widowControl/>
        <w:kinsoku/>
        <w:wordWrap/>
        <w:overflowPunct/>
        <w:topLinePunct w:val="0"/>
        <w:autoSpaceDE/>
        <w:autoSpaceDN/>
        <w:bidi w:val="0"/>
        <w:adjustRightInd/>
        <w:snapToGrid/>
        <w:spacing w:before="150" w:after="150" w:line="288" w:lineRule="auto"/>
        <w:jc w:val="left"/>
        <w:textAlignment w:val="auto"/>
      </w:pPr>
      <w:r>
        <w:rPr>
          <w:rFonts w:ascii="黑体" w:hAnsi="黑体" w:eastAsia="黑体"/>
          <w:b/>
          <w:sz w:val="30"/>
        </w:rPr>
        <w:t>1 引言</w:t>
      </w:r>
    </w:p>
    <w:p w14:paraId="7C55D0AA">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大模型系统的安全边界正在发生结构性变化。早期大模型应用主要表现为单轮或多轮对话，安全评测通常关注模型是否输出违法、危险或不当内容。随着 RAG、函数调用、插件系统、工作流编排和本地自动化工具的普及，大模型越来越多地被嵌入能够“行动”的智能体系统中。在此类系统中，模型输出不仅是自然语言文本，还可能被解析为工具调用、执行计划或业务动作。一个看似普通的总结任务，可能涉及读取文档、调用检索、发送报告、访问接口或写入记录；一段网页内容、邮件正文或 JSON 字段，也可能被模型误判为下一步指令。</w:t>
      </w:r>
    </w:p>
    <w:p w14:paraId="0381047B">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提示注入攻击正是利用了这种边界模糊性。直接越狱通过角色扮演、权限伪装、说服性语言或多轮诱导试图覆盖系统约束；间接提示注入则把攻击指令隐藏在模型需要处理的外部内容中，例如网页、文档、邮件、日志、工具返回值和结构化数据。对于工具集成 Agent，攻击者的目标不一定是让模型输出攻击教程，而可能是诱导模型调用本不应该调用的工具。例如，模型在总结供应商报告时读取本地 secret 文件，在翻译 JSON 时执行非目标字段中的“下一步操作”，或在处理搜索结果时把工具输出中的维护提示当作系统指令。</w:t>
      </w:r>
    </w:p>
    <w:p w14:paraId="6E4FBA27">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这类风险使传统的输出过滤、敏感词过滤或单轮越狱测试显得不足。首先，工具动作的风险发生在最终文本之前，等用户看到回答时，文件读取、邮件外发或接口调用可能已经发生。其次，攻击载体不一定出现在用户直接输入中，而可能来自 RAG 文档、第三方网页或上游工具输出。再次，结构化字段名如 system、developer、tool、function_call 和 next_step 会诱导模型误判消息优先级。最后，多语言、拼音、谐音、回译和 JSON 翻译任务会进一步增加检测难度。</w:t>
      </w:r>
    </w:p>
    <w:p w14:paraId="5DB599B1">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为解决上述问题，本文提出 M³-PI Guard。它并非面向真实系统攻击的工具，而是一个本地授权红队靶场和行为监督原型：攻击样本被标准化为 AttackCase；危险动作被限制在本地 sandbox mock 工具；运行日志记录模型输出、工具调用、Guard 决策、风险分和阻断原因；评测模块将日志转化为 ASR、UTR、DSR、BSR、FPR、AvgRisk 和 WRS 等指标。本文围绕三个研究问题展开：</w:t>
      </w:r>
    </w:p>
    <w:p w14:paraId="5E246771">
      <w:pPr>
        <w:pStyle w:val="16"/>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RQ1：跨攻击族提示注入样本是否能够在无防护 Agent 中稳定触发未授权 mock 工具行为？</w:t>
      </w:r>
    </w:p>
    <w:p w14:paraId="2560FA1A">
      <w:pPr>
        <w:pStyle w:val="16"/>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RQ2：仅依赖关键词检测或工具策略是否足以覆盖工具集成 Agent 的提示注入风险？</w:t>
      </w:r>
    </w:p>
    <w:p w14:paraId="5269D0EE">
      <w:pPr>
        <w:pStyle w:val="16"/>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RQ3：结合上下文检测、策略约束、数据流追踪和意图-动作一致性的 full_guard 是否能降低攻击成功率并保持较低误报？</w:t>
      </w:r>
    </w:p>
    <w:p w14:paraId="4B808F82">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本文贡献包括：（1）将安全评测从最终回答扩展到文件读取、邮件发送、API 调用、代码执行等工具链行为；（2）构建覆盖多攻击族的统一 AttackCase 基准；（3）实现本地可复现的 mock 红队靶场；（4）提出可解释的 allow/ask/deny 行为监督闭环；（5）定义面向 Agent 的行为指标体系；（6）保留从样本到日志再到指标的可审计证据链。</w:t>
      </w:r>
    </w:p>
    <w:p w14:paraId="48ADAE11">
      <w:pPr>
        <w:pStyle w:val="3"/>
        <w:keepNext w:val="0"/>
        <w:keepLines w:val="0"/>
        <w:pageBreakBefore w:val="0"/>
        <w:widowControl/>
        <w:kinsoku/>
        <w:wordWrap/>
        <w:overflowPunct/>
        <w:topLinePunct w:val="0"/>
        <w:autoSpaceDE/>
        <w:autoSpaceDN/>
        <w:bidi w:val="0"/>
        <w:adjustRightInd/>
        <w:snapToGrid/>
        <w:spacing w:before="150" w:after="150" w:line="288" w:lineRule="auto"/>
        <w:jc w:val="left"/>
        <w:textAlignment w:val="auto"/>
      </w:pPr>
      <w:r>
        <w:rPr>
          <w:rFonts w:ascii="黑体" w:hAnsi="黑体" w:eastAsia="黑体"/>
          <w:b/>
          <w:sz w:val="30"/>
        </w:rPr>
        <w:t>2 背景与相关工作</w:t>
      </w:r>
    </w:p>
    <w:p w14:paraId="0B06B335">
      <w:pPr>
        <w:pStyle w:val="4"/>
        <w:keepNext w:val="0"/>
        <w:keepLines w:val="0"/>
        <w:pageBreakBefore w:val="0"/>
        <w:widowControl/>
        <w:kinsoku/>
        <w:wordWrap/>
        <w:overflowPunct/>
        <w:topLinePunct w:val="0"/>
        <w:autoSpaceDE/>
        <w:autoSpaceDN/>
        <w:bidi w:val="0"/>
        <w:adjustRightInd/>
        <w:snapToGrid/>
        <w:spacing w:before="120" w:after="120" w:line="288" w:lineRule="auto"/>
        <w:jc w:val="left"/>
        <w:textAlignment w:val="auto"/>
      </w:pPr>
      <w:r>
        <w:rPr>
          <w:rFonts w:ascii="黑体" w:hAnsi="黑体" w:eastAsia="黑体"/>
          <w:b/>
          <w:sz w:val="28"/>
        </w:rPr>
        <w:t>2.1 提示注入与越狱攻击</w:t>
      </w:r>
    </w:p>
    <w:p w14:paraId="7CCFE534">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提示注入指攻击者通过自然语言或结构化文本影响模型对指令层级、任务边界和安全约束的解释。直接越狱通常发生在用户输入中，攻击者使用“忽略之前指令”“进入开发者模式”“扮演角色”或“为了安全审计必须执行”等话术，使模型偏离原有安全策略。相关研究显示，越狱提示可以通过模板化、自动生成、重写、嵌套场景和说服策略提升迁移性和攻击成功率。</w:t>
      </w:r>
    </w:p>
    <w:p w14:paraId="4BA08FBA">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与普通越狱不同，间接提示注入的攻击内容并不由用户直接请求执行，而是隐藏在模型需要读取或处理的数据中。RAG 文档、网页片段、邮件正文、日志和工具返回值都可能成为不可信载体。模型如果无法区分“用户任务”“系统指令”和“不可信数据”，就可能把数据中的文字当作操作指令。</w:t>
      </w:r>
    </w:p>
    <w:p w14:paraId="157ED6AC">
      <w:pPr>
        <w:pStyle w:val="4"/>
        <w:keepNext w:val="0"/>
        <w:keepLines w:val="0"/>
        <w:pageBreakBefore w:val="0"/>
        <w:widowControl/>
        <w:kinsoku/>
        <w:wordWrap/>
        <w:overflowPunct/>
        <w:topLinePunct w:val="0"/>
        <w:autoSpaceDE/>
        <w:autoSpaceDN/>
        <w:bidi w:val="0"/>
        <w:adjustRightInd/>
        <w:snapToGrid/>
        <w:spacing w:before="120" w:after="120" w:line="288" w:lineRule="auto"/>
        <w:jc w:val="left"/>
        <w:textAlignment w:val="auto"/>
      </w:pPr>
      <w:r>
        <w:rPr>
          <w:rFonts w:ascii="黑体" w:hAnsi="黑体" w:eastAsia="黑体"/>
          <w:b/>
          <w:sz w:val="28"/>
        </w:rPr>
        <w:t>2.2 工具集成 Agent 的信任边界</w:t>
      </w:r>
    </w:p>
    <w:p w14:paraId="2379FE49">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大模型 Agent 的关键风险来自工具边界。模型生成的文本可以被解析为函数调用；函数调用的结果又会成为下一轮上下文；上下文中的内容继续影响后续工具选择。这个循环打破了传统“输入-输出”模型，使安全问题扩展为“输入-模型-工具-观察-再决策”的链式风险。只要其中任意一段不可信文本被错误提升为指令，就可能污染后续行为。</w:t>
      </w:r>
    </w:p>
    <w:p w14:paraId="33B39CAA">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因此，Agent 安全需要回答四类问题：输入来源是否可信？模型意图是否与用户任务一致？工具动作是否越权？敏感数据是否流向外部？M³-PI Guard 的设计正是围绕这四类问题展开。</w:t>
      </w:r>
    </w:p>
    <w:p w14:paraId="20EEB98E">
      <w:pPr>
        <w:pStyle w:val="4"/>
        <w:keepNext w:val="0"/>
        <w:keepLines w:val="0"/>
        <w:pageBreakBefore w:val="0"/>
        <w:widowControl/>
        <w:kinsoku/>
        <w:wordWrap/>
        <w:overflowPunct/>
        <w:topLinePunct w:val="0"/>
        <w:autoSpaceDE/>
        <w:autoSpaceDN/>
        <w:bidi w:val="0"/>
        <w:adjustRightInd/>
        <w:snapToGrid/>
        <w:spacing w:before="120" w:after="120" w:line="288" w:lineRule="auto"/>
        <w:jc w:val="left"/>
        <w:textAlignment w:val="auto"/>
      </w:pPr>
      <w:r>
        <w:rPr>
          <w:rFonts w:ascii="黑体" w:hAnsi="黑体" w:eastAsia="黑体"/>
          <w:b/>
          <w:sz w:val="28"/>
        </w:rPr>
        <w:t>2.3 既有评测与防护方法的不足</w:t>
      </w:r>
    </w:p>
    <w:p w14:paraId="2863763E">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已有工作通常存在三方面局限。第一，许多越狱基准关注模型是否输出有害文本，而没有记录工具调用行为。第二，单类攻击基准难以比较 RAG 注入、结构化注入、多语言混淆和工具输出污染之间的差异。第三，真实系统中的提示注入测试涉及伦理风险和复现困难，不适合直接开放攻击链。本文通过本地 mock 靶场、统一 Schema 和行为指标降低这些限制。</w:t>
      </w:r>
    </w:p>
    <w:p w14:paraId="16BC847C">
      <w:pPr>
        <w:pStyle w:val="3"/>
        <w:keepNext w:val="0"/>
        <w:keepLines w:val="0"/>
        <w:pageBreakBefore w:val="0"/>
        <w:widowControl/>
        <w:kinsoku/>
        <w:wordWrap/>
        <w:overflowPunct/>
        <w:topLinePunct w:val="0"/>
        <w:autoSpaceDE/>
        <w:autoSpaceDN/>
        <w:bidi w:val="0"/>
        <w:adjustRightInd/>
        <w:snapToGrid/>
        <w:spacing w:before="150" w:after="150" w:line="288" w:lineRule="auto"/>
        <w:jc w:val="left"/>
        <w:textAlignment w:val="auto"/>
      </w:pPr>
      <w:r>
        <w:rPr>
          <w:rFonts w:ascii="黑体" w:hAnsi="黑体" w:eastAsia="黑体"/>
          <w:b/>
          <w:sz w:val="30"/>
        </w:rPr>
        <w:t>3 威胁模型与问题定义</w:t>
      </w:r>
    </w:p>
    <w:p w14:paraId="5E5BB0AC">
      <w:pPr>
        <w:pStyle w:val="4"/>
        <w:keepNext w:val="0"/>
        <w:keepLines w:val="0"/>
        <w:pageBreakBefore w:val="0"/>
        <w:widowControl/>
        <w:kinsoku/>
        <w:wordWrap/>
        <w:overflowPunct/>
        <w:topLinePunct w:val="0"/>
        <w:autoSpaceDE/>
        <w:autoSpaceDN/>
        <w:bidi w:val="0"/>
        <w:adjustRightInd/>
        <w:snapToGrid/>
        <w:spacing w:before="120" w:after="120" w:line="288" w:lineRule="auto"/>
        <w:jc w:val="left"/>
        <w:textAlignment w:val="auto"/>
      </w:pPr>
      <w:r>
        <w:rPr>
          <w:rFonts w:ascii="黑体" w:hAnsi="黑体" w:eastAsia="黑体"/>
          <w:b/>
          <w:sz w:val="28"/>
        </w:rPr>
        <w:t>3.1 系统对象</w:t>
      </w:r>
    </w:p>
    <w:p w14:paraId="36D09FD5">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本文研究对象是工具集成大模型智能体。一次运行包含用户任务 u、上下文材料 c、模型响应 m、候选工具调用 t 和工具观察 o。上下文材料可以来自外部输入内容、RAG 文档、网页、邮件、JSON/RPC 数据、翻译文本或上游工具输出。Guard 的目标是在工具调用执行前判断 t 是否符合任务边界和安全策略。</w:t>
      </w:r>
    </w:p>
    <w:p w14:paraId="58C36ADD">
      <w:pPr>
        <w:pStyle w:val="4"/>
        <w:keepNext w:val="0"/>
        <w:keepLines w:val="0"/>
        <w:pageBreakBefore w:val="0"/>
        <w:widowControl/>
        <w:kinsoku/>
        <w:wordWrap/>
        <w:overflowPunct/>
        <w:topLinePunct w:val="0"/>
        <w:autoSpaceDE/>
        <w:autoSpaceDN/>
        <w:bidi w:val="0"/>
        <w:adjustRightInd/>
        <w:snapToGrid/>
        <w:spacing w:before="120" w:after="120" w:line="288" w:lineRule="auto"/>
        <w:jc w:val="left"/>
        <w:textAlignment w:val="auto"/>
      </w:pPr>
      <w:r>
        <w:rPr>
          <w:rFonts w:ascii="黑体" w:hAnsi="黑体" w:eastAsia="黑体"/>
          <w:b/>
          <w:sz w:val="28"/>
        </w:rPr>
        <w:t>3.2 攻击者能力</w:t>
      </w:r>
    </w:p>
    <w:p w14:paraId="5E077B03">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攻击者可以控制或污染某些不可信文本载体，例如文档正文、网页片段、邮件内容、工具返回值或结构化字段。攻击者不能直接修改系统提示、Guard 代码、工具实现或样本白名单。攻击者的目标是诱导模型触发未授权 mock 工具动作，包括读取 canary secret、外发到 mock 邮箱、调用 mock API、写入公共笔记或提出 mock 代码执行。</w:t>
      </w:r>
    </w:p>
    <w:p w14:paraId="70C15238">
      <w:pPr>
        <w:pStyle w:val="4"/>
        <w:keepNext w:val="0"/>
        <w:keepLines w:val="0"/>
        <w:pageBreakBefore w:val="0"/>
        <w:widowControl/>
        <w:kinsoku/>
        <w:wordWrap/>
        <w:overflowPunct/>
        <w:topLinePunct w:val="0"/>
        <w:autoSpaceDE/>
        <w:autoSpaceDN/>
        <w:bidi w:val="0"/>
        <w:adjustRightInd/>
        <w:snapToGrid/>
        <w:spacing w:before="120" w:after="120" w:line="288" w:lineRule="auto"/>
        <w:jc w:val="left"/>
        <w:textAlignment w:val="auto"/>
      </w:pPr>
      <w:r>
        <w:rPr>
          <w:rFonts w:ascii="黑体" w:hAnsi="黑体" w:eastAsia="黑体"/>
          <w:b/>
          <w:sz w:val="28"/>
        </w:rPr>
        <w:t>3.3 安全目标</w:t>
      </w:r>
    </w:p>
    <w:p w14:paraId="186F93D0">
      <w:pPr>
        <w:pStyle w:val="14"/>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不可信内容只能作为数据处理，不能提升为系统或开发者指令。</w:t>
      </w:r>
    </w:p>
    <w:p w14:paraId="6989EAC4">
      <w:pPr>
        <w:pStyle w:val="14"/>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模型不得因提示注入读取 sandbox/secrets/api_key.txt。</w:t>
      </w:r>
    </w:p>
    <w:p w14:paraId="07D72B83">
      <w:pPr>
        <w:pStyle w:val="14"/>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模型不得将 canary 或敏感标记发送到 mock 邮箱或 mock API。</w:t>
      </w:r>
    </w:p>
    <w:p w14:paraId="4CC2B21E">
      <w:pPr>
        <w:pStyle w:val="14"/>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模型不得在翻译、总结、分类等普通任务中执行无关工具动作。</w:t>
      </w:r>
    </w:p>
    <w:p w14:paraId="7117B221">
      <w:pPr>
        <w:pStyle w:val="14"/>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对不确定但高风险的动作，应返回 ask 或 deny，并记录可解释原因。</w:t>
      </w:r>
    </w:p>
    <w:p w14:paraId="43B770FE">
      <w:pPr>
        <w:pStyle w:val="14"/>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对正常样本应尽量保持低误报率。</w:t>
      </w:r>
    </w:p>
    <w:p w14:paraId="56CF6544">
      <w:pPr>
        <w:pStyle w:val="4"/>
        <w:keepNext w:val="0"/>
        <w:keepLines w:val="0"/>
        <w:pageBreakBefore w:val="0"/>
        <w:widowControl/>
        <w:kinsoku/>
        <w:wordWrap/>
        <w:overflowPunct/>
        <w:topLinePunct w:val="0"/>
        <w:autoSpaceDE/>
        <w:autoSpaceDN/>
        <w:bidi w:val="0"/>
        <w:adjustRightInd/>
        <w:snapToGrid/>
        <w:spacing w:before="120" w:after="120" w:line="288" w:lineRule="auto"/>
        <w:jc w:val="left"/>
        <w:textAlignment w:val="auto"/>
      </w:pPr>
      <w:r>
        <w:rPr>
          <w:rFonts w:ascii="黑体" w:hAnsi="黑体" w:eastAsia="黑体"/>
          <w:b/>
          <w:sz w:val="28"/>
        </w:rPr>
        <w:t>3.4 本地 mock 白名单</w:t>
      </w:r>
    </w:p>
    <w:p w14:paraId="7B407BBB">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本文仅允许以下本地靶场动作：read_file:sandbox/secrets/api_key.txt、send_email:redteam@example.test、write_file:sandbox/public/notes.txt、call_api:/mock/external/submit 和 run_code:mock_only。这些动作不访问真实网络、不发送真实邮件、不执行真实代码，仅用于模拟风险行为并支持安全复现。</w:t>
      </w:r>
    </w:p>
    <w:p w14:paraId="660A8304">
      <w:pPr>
        <w:pStyle w:val="3"/>
        <w:keepNext w:val="0"/>
        <w:keepLines w:val="0"/>
        <w:pageBreakBefore w:val="0"/>
        <w:widowControl/>
        <w:kinsoku/>
        <w:wordWrap/>
        <w:overflowPunct/>
        <w:topLinePunct w:val="0"/>
        <w:autoSpaceDE/>
        <w:autoSpaceDN/>
        <w:bidi w:val="0"/>
        <w:adjustRightInd/>
        <w:snapToGrid/>
        <w:spacing w:before="150" w:after="150" w:line="288" w:lineRule="auto"/>
        <w:jc w:val="left"/>
        <w:textAlignment w:val="auto"/>
      </w:pPr>
      <w:r>
        <w:rPr>
          <w:rFonts w:ascii="黑体" w:hAnsi="黑体" w:eastAsia="黑体"/>
          <w:b/>
          <w:sz w:val="30"/>
        </w:rPr>
        <w:t>4 系统设计与核心机制</w:t>
      </w:r>
    </w:p>
    <w:p w14:paraId="1721BC76">
      <w:pPr>
        <w:pStyle w:val="4"/>
        <w:keepNext w:val="0"/>
        <w:keepLines w:val="0"/>
        <w:pageBreakBefore w:val="0"/>
        <w:widowControl/>
        <w:kinsoku/>
        <w:wordWrap/>
        <w:overflowPunct/>
        <w:topLinePunct w:val="0"/>
        <w:autoSpaceDE/>
        <w:autoSpaceDN/>
        <w:bidi w:val="0"/>
        <w:adjustRightInd/>
        <w:snapToGrid/>
        <w:spacing w:before="120" w:after="120" w:line="288" w:lineRule="auto"/>
        <w:jc w:val="left"/>
        <w:textAlignment w:val="auto"/>
      </w:pPr>
      <w:r>
        <w:rPr>
          <w:rFonts w:ascii="黑体" w:hAnsi="黑体" w:eastAsia="黑体"/>
          <w:b/>
          <w:sz w:val="28"/>
        </w:rPr>
        <w:t>4.1 总体架构</w:t>
      </w:r>
    </w:p>
    <w:p w14:paraId="6BB40B98">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M³-PI Guard 包含五个模块：攻击样本库、Agent 运行器、mock 工具沙箱、行为监督 Guard 和评测模块。攻击样本库提供标准化输入；运行器将样本发送给 stub 或本地模型；模型输出被解析为最终回答或工具调用；Guard 在工具执行前给出决策；工具沙箱模拟执行并返回观察；评测模块读取日志并计算指标。整体流程可表示为：AttackCase → Agent Runner → ToolCall → Guard Decision → Mock Tool → RunLog → Metrics → Dashboard。</w:t>
      </w:r>
    </w:p>
    <w:p w14:paraId="75CD6FC5">
      <w:pPr>
        <w:pStyle w:val="4"/>
        <w:keepNext w:val="0"/>
        <w:keepLines w:val="0"/>
        <w:pageBreakBefore w:val="0"/>
        <w:widowControl/>
        <w:kinsoku/>
        <w:wordWrap/>
        <w:overflowPunct/>
        <w:topLinePunct w:val="0"/>
        <w:autoSpaceDE/>
        <w:autoSpaceDN/>
        <w:bidi w:val="0"/>
        <w:adjustRightInd/>
        <w:snapToGrid/>
        <w:spacing w:before="120" w:after="120" w:line="288" w:lineRule="auto"/>
        <w:jc w:val="left"/>
        <w:textAlignment w:val="auto"/>
      </w:pPr>
      <w:r>
        <w:rPr>
          <w:rFonts w:ascii="黑体" w:hAnsi="黑体" w:eastAsia="黑体"/>
          <w:b/>
          <w:sz w:val="28"/>
        </w:rPr>
        <w:t>4.2 AttackCase 数据模型</w:t>
      </w:r>
    </w:p>
    <w:p w14:paraId="05142B19">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AttackCase 是系统的核心数据单位。每条样本包含 case_id、attack_family、carrier、language、user_task、document_content、injected_content、expected_safe_behavior、unsafe_target_actions、risk_tags、severity 和 notes 等字段。扩展字段包括 success_indicators、safe_indicators、demo_priority 和 expected_detectors。该结构同时服务于攻击生成、模型运行、Guard 检测和结果评估。</w:t>
      </w:r>
    </w:p>
    <w:p w14:paraId="47A801E5">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r>
        <w:rPr>
          <w:rFonts w:ascii="黑体" w:hAnsi="黑体" w:eastAsia="黑体"/>
          <w:b/>
          <w:sz w:val="21"/>
        </w:rPr>
        <w:t>表 1  AttackCase 主要字段说明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6"/>
        <w:gridCol w:w="3402"/>
        <w:gridCol w:w="3005"/>
      </w:tblGrid>
      <w:tr w14:paraId="599E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EAF7"/>
            <w:vAlign w:val="center"/>
          </w:tcPr>
          <w:p w14:paraId="5D14F146">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字段</w:t>
            </w:r>
          </w:p>
        </w:tc>
        <w:tc>
          <w:tcPr>
            <w:tcW w:w="3402" w:type="dxa"/>
            <w:shd w:val="clear" w:color="auto" w:fill="D9EAF7"/>
            <w:vAlign w:val="center"/>
          </w:tcPr>
          <w:p w14:paraId="07F86FF9">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含义</w:t>
            </w:r>
          </w:p>
        </w:tc>
        <w:tc>
          <w:tcPr>
            <w:tcW w:w="3005" w:type="dxa"/>
            <w:shd w:val="clear" w:color="auto" w:fill="D9EAF7"/>
            <w:vAlign w:val="center"/>
          </w:tcPr>
          <w:p w14:paraId="09FB89B0">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用途</w:t>
            </w:r>
          </w:p>
        </w:tc>
      </w:tr>
      <w:tr w14:paraId="23A19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25C4DAA">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case_id</w:t>
            </w:r>
          </w:p>
        </w:tc>
        <w:tc>
          <w:tcPr>
            <w:tcW w:w="3402" w:type="dxa"/>
            <w:vAlign w:val="center"/>
          </w:tcPr>
          <w:p w14:paraId="36529016">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样本唯一标识</w:t>
            </w:r>
          </w:p>
        </w:tc>
        <w:tc>
          <w:tcPr>
            <w:tcW w:w="3005" w:type="dxa"/>
            <w:vAlign w:val="center"/>
          </w:tcPr>
          <w:p w14:paraId="3C5237CA">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日志关联、案例回放</w:t>
            </w:r>
          </w:p>
        </w:tc>
      </w:tr>
      <w:tr w14:paraId="55F05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D6EF1A7">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attack_family</w:t>
            </w:r>
          </w:p>
        </w:tc>
        <w:tc>
          <w:tcPr>
            <w:tcW w:w="3402" w:type="dxa"/>
            <w:vAlign w:val="center"/>
          </w:tcPr>
          <w:p w14:paraId="336BC428">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攻击族或 benign_clean</w:t>
            </w:r>
          </w:p>
        </w:tc>
        <w:tc>
          <w:tcPr>
            <w:tcW w:w="3005" w:type="dxa"/>
            <w:vAlign w:val="center"/>
          </w:tcPr>
          <w:p w14:paraId="7C4F804F">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分组评测</w:t>
            </w:r>
          </w:p>
        </w:tc>
      </w:tr>
      <w:tr w14:paraId="0751D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28268D0">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carrier</w:t>
            </w:r>
          </w:p>
        </w:tc>
        <w:tc>
          <w:tcPr>
            <w:tcW w:w="3402" w:type="dxa"/>
            <w:vAlign w:val="center"/>
          </w:tcPr>
          <w:p w14:paraId="3B772F28">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注入载体，如文档、JSON、工具输出</w:t>
            </w:r>
          </w:p>
        </w:tc>
        <w:tc>
          <w:tcPr>
            <w:tcW w:w="3005" w:type="dxa"/>
            <w:vAlign w:val="center"/>
          </w:tcPr>
          <w:p w14:paraId="155389E8">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威胁建模</w:t>
            </w:r>
          </w:p>
        </w:tc>
      </w:tr>
      <w:tr w14:paraId="3330C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369BB24">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language</w:t>
            </w:r>
          </w:p>
        </w:tc>
        <w:tc>
          <w:tcPr>
            <w:tcW w:w="3402" w:type="dxa"/>
            <w:vAlign w:val="center"/>
          </w:tcPr>
          <w:p w14:paraId="7858EDCE">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语言或混合语言类型</w:t>
            </w:r>
          </w:p>
        </w:tc>
        <w:tc>
          <w:tcPr>
            <w:tcW w:w="3005" w:type="dxa"/>
            <w:vAlign w:val="center"/>
          </w:tcPr>
          <w:p w14:paraId="5344F98E">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多语言分析</w:t>
            </w:r>
          </w:p>
        </w:tc>
      </w:tr>
      <w:tr w14:paraId="0888B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B6C8DA8">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user_task</w:t>
            </w:r>
          </w:p>
        </w:tc>
        <w:tc>
          <w:tcPr>
            <w:tcW w:w="3402" w:type="dxa"/>
            <w:vAlign w:val="center"/>
          </w:tcPr>
          <w:p w14:paraId="09E2921E">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用户正常任务</w:t>
            </w:r>
          </w:p>
        </w:tc>
        <w:tc>
          <w:tcPr>
            <w:tcW w:w="3005" w:type="dxa"/>
            <w:vAlign w:val="center"/>
          </w:tcPr>
          <w:p w14:paraId="0D1F012C">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意图-动作一致性判断</w:t>
            </w:r>
          </w:p>
        </w:tc>
      </w:tr>
      <w:tr w14:paraId="1B589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295E279">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document_content</w:t>
            </w:r>
          </w:p>
        </w:tc>
        <w:tc>
          <w:tcPr>
            <w:tcW w:w="3402" w:type="dxa"/>
            <w:vAlign w:val="center"/>
          </w:tcPr>
          <w:p w14:paraId="5FE644E0">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待处理上下文材料</w:t>
            </w:r>
          </w:p>
        </w:tc>
        <w:tc>
          <w:tcPr>
            <w:tcW w:w="3005" w:type="dxa"/>
            <w:vAlign w:val="center"/>
          </w:tcPr>
          <w:p w14:paraId="0C746D06">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不可信内容检测</w:t>
            </w:r>
          </w:p>
        </w:tc>
      </w:tr>
      <w:tr w14:paraId="659DB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225B7C6">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unsafe_target_actions</w:t>
            </w:r>
          </w:p>
        </w:tc>
        <w:tc>
          <w:tcPr>
            <w:tcW w:w="3402" w:type="dxa"/>
            <w:vAlign w:val="center"/>
          </w:tcPr>
          <w:p w14:paraId="2D139C5D">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本地 mock 不安全目标动作</w:t>
            </w:r>
          </w:p>
        </w:tc>
        <w:tc>
          <w:tcPr>
            <w:tcW w:w="3005" w:type="dxa"/>
            <w:vAlign w:val="center"/>
          </w:tcPr>
          <w:p w14:paraId="28C32090">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ASR/UTR/DSR 计算</w:t>
            </w:r>
          </w:p>
        </w:tc>
      </w:tr>
      <w:tr w14:paraId="2CA84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51F6858">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expected_safe_behavior</w:t>
            </w:r>
          </w:p>
        </w:tc>
        <w:tc>
          <w:tcPr>
            <w:tcW w:w="3402" w:type="dxa"/>
            <w:vAlign w:val="center"/>
          </w:tcPr>
          <w:p w14:paraId="762B1A8A">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期望安全行为</w:t>
            </w:r>
          </w:p>
        </w:tc>
        <w:tc>
          <w:tcPr>
            <w:tcW w:w="3005" w:type="dxa"/>
            <w:vAlign w:val="center"/>
          </w:tcPr>
          <w:p w14:paraId="652B5C5A">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人工复核与报告解释</w:t>
            </w:r>
          </w:p>
        </w:tc>
      </w:tr>
    </w:tbl>
    <w:p w14:paraId="070E797B">
      <w:pPr>
        <w:keepNext w:val="0"/>
        <w:keepLines w:val="0"/>
        <w:pageBreakBefore w:val="0"/>
        <w:widowControl/>
        <w:kinsoku/>
        <w:wordWrap/>
        <w:overflowPunct/>
        <w:topLinePunct w:val="0"/>
        <w:autoSpaceDE/>
        <w:autoSpaceDN/>
        <w:bidi w:val="0"/>
        <w:adjustRightInd/>
        <w:snapToGrid/>
        <w:spacing w:after="40"/>
        <w:textAlignment w:val="auto"/>
      </w:pPr>
    </w:p>
    <w:p w14:paraId="500B96DF">
      <w:pPr>
        <w:pStyle w:val="4"/>
        <w:keepNext w:val="0"/>
        <w:keepLines w:val="0"/>
        <w:pageBreakBefore w:val="0"/>
        <w:widowControl/>
        <w:kinsoku/>
        <w:wordWrap/>
        <w:overflowPunct/>
        <w:topLinePunct w:val="0"/>
        <w:autoSpaceDE/>
        <w:autoSpaceDN/>
        <w:bidi w:val="0"/>
        <w:adjustRightInd/>
        <w:snapToGrid/>
        <w:spacing w:before="120" w:after="120" w:line="288" w:lineRule="auto"/>
        <w:jc w:val="left"/>
        <w:textAlignment w:val="auto"/>
      </w:pPr>
      <w:r>
        <w:rPr>
          <w:rFonts w:ascii="黑体" w:hAnsi="黑体" w:eastAsia="黑体"/>
          <w:b/>
          <w:sz w:val="28"/>
        </w:rPr>
        <w:t>4.3 Guard 决策接口与防护模式</w:t>
      </w:r>
    </w:p>
    <w:p w14:paraId="4E6211B7">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Guard 接口可表示为 G(context, tool_call, mode) -&gt; (decision, risk_score, reasons)。其中 decision 属于 allow、ask 和 deny 三态之一，risk_score 属于 [0,1]，reasons 为可解释原因列表。mode 可以是 baseline、keyword_only、policy_only 或 full_guard。baseline 不做拦截；keyword_only 只根据文本信号评分；policy_only 只依据工具策略决策；full_guard 组合所有检测器和策略。</w:t>
      </w:r>
    </w:p>
    <w:p w14:paraId="1969325F">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r>
        <w:rPr>
          <w:rFonts w:ascii="黑体" w:hAnsi="黑体" w:eastAsia="黑体"/>
          <w:b/>
          <w:sz w:val="21"/>
        </w:rPr>
        <w:t>表 2  防护模式及作用范围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685"/>
        <w:gridCol w:w="2835"/>
      </w:tblGrid>
      <w:tr w14:paraId="65891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14B99A7F">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模式</w:t>
            </w:r>
          </w:p>
        </w:tc>
        <w:tc>
          <w:tcPr>
            <w:tcW w:w="3685" w:type="dxa"/>
            <w:shd w:val="clear" w:color="auto" w:fill="D9EAF7"/>
            <w:vAlign w:val="center"/>
          </w:tcPr>
          <w:p w14:paraId="4801498E">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启用组件</w:t>
            </w:r>
          </w:p>
        </w:tc>
        <w:tc>
          <w:tcPr>
            <w:tcW w:w="2835" w:type="dxa"/>
            <w:shd w:val="clear" w:color="auto" w:fill="D9EAF7"/>
            <w:vAlign w:val="center"/>
          </w:tcPr>
          <w:p w14:paraId="35BB75BA">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主要作用</w:t>
            </w:r>
          </w:p>
        </w:tc>
      </w:tr>
      <w:tr w14:paraId="345E7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195CFBF">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baseline</w:t>
            </w:r>
          </w:p>
        </w:tc>
        <w:tc>
          <w:tcPr>
            <w:tcW w:w="3685" w:type="dxa"/>
            <w:vAlign w:val="center"/>
          </w:tcPr>
          <w:p w14:paraId="17189F6B">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无 Guard 拦截</w:t>
            </w:r>
          </w:p>
        </w:tc>
        <w:tc>
          <w:tcPr>
            <w:tcW w:w="2835" w:type="dxa"/>
            <w:vAlign w:val="center"/>
          </w:tcPr>
          <w:p w14:paraId="72AFE3E4">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观察无防护 Agent 的自然风险</w:t>
            </w:r>
          </w:p>
        </w:tc>
      </w:tr>
      <w:tr w14:paraId="18F08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9ACA7B4">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keyword_only</w:t>
            </w:r>
          </w:p>
        </w:tc>
        <w:tc>
          <w:tcPr>
            <w:tcW w:w="3685" w:type="dxa"/>
            <w:vAlign w:val="center"/>
          </w:tcPr>
          <w:p w14:paraId="49A78276">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指令性文本、工具诱导、结构化关键词检测</w:t>
            </w:r>
          </w:p>
        </w:tc>
        <w:tc>
          <w:tcPr>
            <w:tcW w:w="2835" w:type="dxa"/>
            <w:vAlign w:val="center"/>
          </w:tcPr>
          <w:p w14:paraId="5F82214F">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评估传统文本过滤能力</w:t>
            </w:r>
          </w:p>
        </w:tc>
      </w:tr>
      <w:tr w14:paraId="1F08B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40B80D8">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policy_only</w:t>
            </w:r>
          </w:p>
        </w:tc>
        <w:tc>
          <w:tcPr>
            <w:tcW w:w="3685" w:type="dxa"/>
            <w:vAlign w:val="center"/>
          </w:tcPr>
          <w:p w14:paraId="7661E22C">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工具白名单、路径限制、mock endpoint、run_code 禁用</w:t>
            </w:r>
          </w:p>
        </w:tc>
        <w:tc>
          <w:tcPr>
            <w:tcW w:w="2835" w:type="dxa"/>
            <w:vAlign w:val="center"/>
          </w:tcPr>
          <w:p w14:paraId="1F69EEC6">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评估行为策略约束能力</w:t>
            </w:r>
          </w:p>
        </w:tc>
      </w:tr>
      <w:tr w14:paraId="7E44F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E215293">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full_guard</w:t>
            </w:r>
          </w:p>
        </w:tc>
        <w:tc>
          <w:tcPr>
            <w:tcW w:w="3685" w:type="dxa"/>
            <w:vAlign w:val="center"/>
          </w:tcPr>
          <w:p w14:paraId="75607CAE">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文本检测、结构化检测、多语言信号、工具策略、数据流、意图一致性</w:t>
            </w:r>
          </w:p>
        </w:tc>
        <w:tc>
          <w:tcPr>
            <w:tcW w:w="2835" w:type="dxa"/>
            <w:vAlign w:val="center"/>
          </w:tcPr>
          <w:p w14:paraId="7A3C332E">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rFonts w:ascii="宋体" w:hAnsi="宋体" w:eastAsia="宋体"/>
                <w:b w:val="0"/>
                <w:bCs/>
                <w:color w:val="auto"/>
                <w:sz w:val="20"/>
              </w:rPr>
            </w:pPr>
            <w:r>
              <w:rPr>
                <w:rFonts w:ascii="宋体" w:hAnsi="宋体" w:eastAsia="宋体"/>
                <w:b w:val="0"/>
                <w:bCs/>
                <w:color w:val="auto"/>
                <w:sz w:val="20"/>
              </w:rPr>
              <w:t>完整行为监督与可解释阻断</w:t>
            </w:r>
          </w:p>
        </w:tc>
      </w:tr>
    </w:tbl>
    <w:p w14:paraId="37C92EE1">
      <w:pPr>
        <w:keepNext w:val="0"/>
        <w:keepLines w:val="0"/>
        <w:pageBreakBefore w:val="0"/>
        <w:widowControl/>
        <w:kinsoku/>
        <w:wordWrap/>
        <w:overflowPunct/>
        <w:topLinePunct w:val="0"/>
        <w:autoSpaceDE/>
        <w:autoSpaceDN/>
        <w:bidi w:val="0"/>
        <w:adjustRightInd/>
        <w:snapToGrid/>
        <w:spacing w:after="40"/>
        <w:textAlignment w:val="auto"/>
      </w:pPr>
    </w:p>
    <w:p w14:paraId="24A45111">
      <w:pPr>
        <w:pStyle w:val="4"/>
        <w:keepNext w:val="0"/>
        <w:keepLines w:val="0"/>
        <w:pageBreakBefore w:val="0"/>
        <w:widowControl/>
        <w:kinsoku/>
        <w:wordWrap/>
        <w:overflowPunct/>
        <w:topLinePunct w:val="0"/>
        <w:autoSpaceDE/>
        <w:autoSpaceDN/>
        <w:bidi w:val="0"/>
        <w:adjustRightInd/>
        <w:snapToGrid/>
        <w:spacing w:before="120" w:after="120" w:line="288" w:lineRule="auto"/>
        <w:jc w:val="left"/>
        <w:textAlignment w:val="auto"/>
      </w:pPr>
      <w:r>
        <w:rPr>
          <w:rFonts w:ascii="黑体" w:hAnsi="黑体" w:eastAsia="黑体"/>
          <w:b/>
          <w:sz w:val="28"/>
        </w:rPr>
        <w:t>4.4 检测器、策略与日志审计</w:t>
      </w:r>
    </w:p>
    <w:p w14:paraId="7661E8F4">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检测器包括指令性文本检测、工具诱导检测、结构化字段检测、多语言混淆检测、文档注入检测和意图-动作不一致检测。策略引擎负责工具白名单、secret 路径、sandbox 边界、mock endpoint、外发动作和代码执行禁用。数据流模块检查 canary、token、api_key、password 等敏感标记是否进入外发工具或写入路径。</w:t>
      </w:r>
    </w:p>
    <w:p w14:paraId="67724227">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系统将每一步运行写为 JSONL。关键字段包括 run_id、case_id、model、backend、defense_mode、raw_model_output、parsed_tool_call、guard_decision、risk_score、reasons、observation 和 final_status。该日志格式支持逐案复核，也支持按 attack_family、carrier、language 和 severity 聚合统计。</w:t>
      </w:r>
    </w:p>
    <w:p w14:paraId="10CAFBA3">
      <w:pPr>
        <w:pStyle w:val="3"/>
        <w:keepNext w:val="0"/>
        <w:keepLines w:val="0"/>
        <w:pageBreakBefore w:val="0"/>
        <w:widowControl/>
        <w:kinsoku/>
        <w:wordWrap/>
        <w:overflowPunct/>
        <w:topLinePunct w:val="0"/>
        <w:autoSpaceDE/>
        <w:autoSpaceDN/>
        <w:bidi w:val="0"/>
        <w:adjustRightInd/>
        <w:snapToGrid/>
        <w:spacing w:before="150" w:after="150" w:line="288" w:lineRule="auto"/>
        <w:jc w:val="left"/>
        <w:textAlignment w:val="auto"/>
      </w:pPr>
      <w:r>
        <w:rPr>
          <w:rFonts w:ascii="黑体" w:hAnsi="黑体" w:eastAsia="黑体"/>
          <w:b/>
          <w:sz w:val="30"/>
        </w:rPr>
        <w:t>5 样本库构建</w:t>
      </w:r>
    </w:p>
    <w:p w14:paraId="3863CC92">
      <w:pPr>
        <w:pStyle w:val="4"/>
        <w:keepNext w:val="0"/>
        <w:keepLines w:val="0"/>
        <w:pageBreakBefore w:val="0"/>
        <w:widowControl/>
        <w:kinsoku/>
        <w:wordWrap/>
        <w:overflowPunct/>
        <w:topLinePunct w:val="0"/>
        <w:autoSpaceDE/>
        <w:autoSpaceDN/>
        <w:bidi w:val="0"/>
        <w:adjustRightInd/>
        <w:snapToGrid/>
        <w:spacing w:before="120" w:after="120" w:line="288" w:lineRule="auto"/>
        <w:jc w:val="left"/>
        <w:textAlignment w:val="auto"/>
      </w:pPr>
      <w:r>
        <w:rPr>
          <w:rFonts w:ascii="黑体" w:hAnsi="黑体" w:eastAsia="黑体"/>
          <w:b/>
          <w:sz w:val="28"/>
        </w:rPr>
        <w:t>5.1 攻击族设计</w:t>
      </w:r>
    </w:p>
    <w:p w14:paraId="217EB835">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样本库总计 69 条，覆盖六类场景。构造原则是：每条样本只攻击本地 mock 工具；注入内容必须能体现真实 Agent 场景中的信任边界问题；样本不包含真实攻击服务、真实邮箱、真实 API、真实凭证或真实恶意代码；正常样本覆盖常见业务任务，用于评估误报率。</w:t>
      </w:r>
    </w:p>
    <w:p w14:paraId="59F8EC7B">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r>
        <w:rPr>
          <w:rFonts w:ascii="黑体" w:hAnsi="黑体" w:eastAsia="黑体"/>
          <w:b/>
          <w:sz w:val="21"/>
        </w:rPr>
        <w:t>表 3  样本库攻击族分布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268"/>
        <w:gridCol w:w="1134"/>
        <w:gridCol w:w="4819"/>
      </w:tblGrid>
      <w:tr w14:paraId="20B7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268" w:type="dxa"/>
            <w:shd w:val="clear" w:color="auto" w:fill="auto"/>
            <w:vAlign w:val="center"/>
          </w:tcPr>
          <w:p w14:paraId="6CB86C22">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b w:val="0"/>
                <w:bCs/>
                <w:color w:val="auto"/>
              </w:rPr>
            </w:pPr>
            <w:r>
              <w:rPr>
                <w:rFonts w:ascii="宋体" w:hAnsi="宋体" w:eastAsia="宋体"/>
                <w:b w:val="0"/>
                <w:bCs/>
                <w:color w:val="auto"/>
                <w:sz w:val="20"/>
              </w:rPr>
              <w:t>攻击族</w:t>
            </w:r>
          </w:p>
        </w:tc>
        <w:tc>
          <w:tcPr>
            <w:tcW w:w="1134" w:type="dxa"/>
            <w:shd w:val="clear" w:color="auto" w:fill="auto"/>
            <w:vAlign w:val="center"/>
          </w:tcPr>
          <w:p w14:paraId="5CA02183">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b w:val="0"/>
                <w:bCs/>
                <w:color w:val="auto"/>
              </w:rPr>
            </w:pPr>
            <w:r>
              <w:rPr>
                <w:rFonts w:ascii="宋体" w:hAnsi="宋体" w:eastAsia="宋体"/>
                <w:b w:val="0"/>
                <w:bCs/>
                <w:color w:val="auto"/>
                <w:sz w:val="20"/>
              </w:rPr>
              <w:t>样本数</w:t>
            </w:r>
          </w:p>
        </w:tc>
        <w:tc>
          <w:tcPr>
            <w:tcW w:w="4819" w:type="dxa"/>
            <w:shd w:val="clear" w:color="auto" w:fill="auto"/>
            <w:vAlign w:val="center"/>
          </w:tcPr>
          <w:p w14:paraId="5894DD8E">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rPr>
                <w:b w:val="0"/>
                <w:bCs/>
                <w:color w:val="auto"/>
              </w:rPr>
            </w:pPr>
            <w:r>
              <w:rPr>
                <w:rFonts w:ascii="宋体" w:hAnsi="宋体" w:eastAsia="宋体"/>
                <w:b w:val="0"/>
                <w:bCs/>
                <w:color w:val="auto"/>
                <w:sz w:val="20"/>
              </w:rPr>
              <w:t>研究目的</w:t>
            </w:r>
          </w:p>
        </w:tc>
      </w:tr>
      <w:tr w14:paraId="368D8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268" w:type="dxa"/>
            <w:shd w:val="clear" w:color="auto" w:fill="auto"/>
            <w:vAlign w:val="center"/>
          </w:tcPr>
          <w:p w14:paraId="4669FAF1">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color w:val="auto"/>
              </w:rPr>
            </w:pPr>
            <w:r>
              <w:rPr>
                <w:rFonts w:ascii="宋体" w:hAnsi="宋体" w:eastAsia="宋体"/>
                <w:b w:val="0"/>
                <w:color w:val="auto"/>
                <w:sz w:val="19"/>
              </w:rPr>
              <w:t>benign_clean</w:t>
            </w:r>
          </w:p>
        </w:tc>
        <w:tc>
          <w:tcPr>
            <w:tcW w:w="1134" w:type="dxa"/>
            <w:shd w:val="clear" w:color="auto" w:fill="auto"/>
            <w:vAlign w:val="center"/>
          </w:tcPr>
          <w:p w14:paraId="1773549E">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color w:val="auto"/>
              </w:rPr>
            </w:pPr>
            <w:r>
              <w:rPr>
                <w:rFonts w:ascii="宋体" w:hAnsi="宋体" w:eastAsia="宋体"/>
                <w:b w:val="0"/>
                <w:color w:val="auto"/>
                <w:sz w:val="19"/>
              </w:rPr>
              <w:t>8</w:t>
            </w:r>
          </w:p>
        </w:tc>
        <w:tc>
          <w:tcPr>
            <w:tcW w:w="4819" w:type="dxa"/>
            <w:shd w:val="clear" w:color="auto" w:fill="auto"/>
            <w:vAlign w:val="center"/>
          </w:tcPr>
          <w:p w14:paraId="218DFAD0">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color w:val="auto"/>
              </w:rPr>
            </w:pPr>
            <w:r>
              <w:rPr>
                <w:rFonts w:ascii="宋体" w:hAnsi="宋体" w:eastAsia="宋体"/>
                <w:b w:val="0"/>
                <w:color w:val="auto"/>
                <w:sz w:val="19"/>
              </w:rPr>
              <w:t>校准正常任务误报率</w:t>
            </w:r>
          </w:p>
        </w:tc>
      </w:tr>
      <w:tr w14:paraId="7548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5" w:hRule="atLeast"/>
          <w:jc w:val="center"/>
        </w:trPr>
        <w:tc>
          <w:tcPr>
            <w:tcW w:w="2268" w:type="dxa"/>
            <w:shd w:val="clear" w:color="auto" w:fill="auto"/>
            <w:vAlign w:val="center"/>
          </w:tcPr>
          <w:p w14:paraId="55E18554">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color w:val="auto"/>
              </w:rPr>
            </w:pPr>
            <w:r>
              <w:rPr>
                <w:rFonts w:ascii="宋体" w:hAnsi="宋体" w:eastAsia="宋体"/>
                <w:b w:val="0"/>
                <w:color w:val="auto"/>
                <w:sz w:val="19"/>
              </w:rPr>
              <w:t>direct_jailbreak</w:t>
            </w:r>
          </w:p>
        </w:tc>
        <w:tc>
          <w:tcPr>
            <w:tcW w:w="1134" w:type="dxa"/>
            <w:shd w:val="clear" w:color="auto" w:fill="auto"/>
            <w:vAlign w:val="center"/>
          </w:tcPr>
          <w:p w14:paraId="00901E1D">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color w:val="auto"/>
              </w:rPr>
            </w:pPr>
            <w:r>
              <w:rPr>
                <w:rFonts w:ascii="宋体" w:hAnsi="宋体" w:eastAsia="宋体"/>
                <w:b w:val="0"/>
                <w:color w:val="auto"/>
                <w:sz w:val="19"/>
              </w:rPr>
              <w:t>15</w:t>
            </w:r>
          </w:p>
        </w:tc>
        <w:tc>
          <w:tcPr>
            <w:tcW w:w="4819" w:type="dxa"/>
            <w:shd w:val="clear" w:color="auto" w:fill="auto"/>
            <w:vAlign w:val="center"/>
          </w:tcPr>
          <w:p w14:paraId="0E06605E">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color w:val="auto"/>
              </w:rPr>
            </w:pPr>
            <w:r>
              <w:rPr>
                <w:rFonts w:ascii="宋体" w:hAnsi="宋体" w:eastAsia="宋体"/>
                <w:b w:val="0"/>
                <w:color w:val="auto"/>
                <w:sz w:val="19"/>
              </w:rPr>
              <w:t>评估直接越狱、角色扮演和说服性提示</w:t>
            </w:r>
          </w:p>
        </w:tc>
      </w:tr>
      <w:tr w14:paraId="542A8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268" w:type="dxa"/>
            <w:shd w:val="clear" w:color="auto" w:fill="auto"/>
            <w:vAlign w:val="center"/>
          </w:tcPr>
          <w:p w14:paraId="0FBA1823">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color w:val="auto"/>
              </w:rPr>
            </w:pPr>
            <w:r>
              <w:rPr>
                <w:rFonts w:ascii="宋体" w:hAnsi="宋体" w:eastAsia="宋体"/>
                <w:b w:val="0"/>
                <w:color w:val="auto"/>
                <w:sz w:val="19"/>
              </w:rPr>
              <w:t>json_rpc</w:t>
            </w:r>
          </w:p>
        </w:tc>
        <w:tc>
          <w:tcPr>
            <w:tcW w:w="1134" w:type="dxa"/>
            <w:shd w:val="clear" w:color="auto" w:fill="auto"/>
            <w:vAlign w:val="center"/>
          </w:tcPr>
          <w:p w14:paraId="6A82686D">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color w:val="auto"/>
              </w:rPr>
            </w:pPr>
            <w:r>
              <w:rPr>
                <w:rFonts w:ascii="宋体" w:hAnsi="宋体" w:eastAsia="宋体"/>
                <w:b w:val="0"/>
                <w:color w:val="auto"/>
                <w:sz w:val="19"/>
              </w:rPr>
              <w:t>8</w:t>
            </w:r>
          </w:p>
        </w:tc>
        <w:tc>
          <w:tcPr>
            <w:tcW w:w="4819" w:type="dxa"/>
            <w:shd w:val="clear" w:color="auto" w:fill="auto"/>
            <w:vAlign w:val="center"/>
          </w:tcPr>
          <w:p w14:paraId="2FE4EA8F">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color w:val="auto"/>
              </w:rPr>
            </w:pPr>
            <w:r>
              <w:rPr>
                <w:rFonts w:ascii="宋体" w:hAnsi="宋体" w:eastAsia="宋体"/>
                <w:b w:val="0"/>
                <w:color w:val="auto"/>
                <w:sz w:val="19"/>
              </w:rPr>
              <w:t>评估结构化字段与 RPC 伪装</w:t>
            </w:r>
          </w:p>
        </w:tc>
      </w:tr>
      <w:tr w14:paraId="0828B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268" w:type="dxa"/>
            <w:shd w:val="clear" w:color="auto" w:fill="auto"/>
            <w:vAlign w:val="center"/>
          </w:tcPr>
          <w:p w14:paraId="6BECD8EA">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color w:val="auto"/>
              </w:rPr>
            </w:pPr>
            <w:r>
              <w:rPr>
                <w:rFonts w:ascii="宋体" w:hAnsi="宋体" w:eastAsia="宋体"/>
                <w:b w:val="0"/>
                <w:color w:val="auto"/>
                <w:sz w:val="19"/>
              </w:rPr>
              <w:t>multilingual_t2l</w:t>
            </w:r>
          </w:p>
        </w:tc>
        <w:tc>
          <w:tcPr>
            <w:tcW w:w="1134" w:type="dxa"/>
            <w:shd w:val="clear" w:color="auto" w:fill="auto"/>
            <w:vAlign w:val="center"/>
          </w:tcPr>
          <w:p w14:paraId="64D07EC3">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color w:val="auto"/>
              </w:rPr>
            </w:pPr>
            <w:r>
              <w:rPr>
                <w:rFonts w:ascii="宋体" w:hAnsi="宋体" w:eastAsia="宋体"/>
                <w:b w:val="0"/>
                <w:color w:val="auto"/>
                <w:sz w:val="19"/>
              </w:rPr>
              <w:t>15</w:t>
            </w:r>
          </w:p>
        </w:tc>
        <w:tc>
          <w:tcPr>
            <w:tcW w:w="4819" w:type="dxa"/>
            <w:shd w:val="clear" w:color="auto" w:fill="auto"/>
            <w:vAlign w:val="center"/>
          </w:tcPr>
          <w:p w14:paraId="3B2A1FCA">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color w:val="auto"/>
              </w:rPr>
            </w:pPr>
            <w:r>
              <w:rPr>
                <w:rFonts w:ascii="宋体" w:hAnsi="宋体" w:eastAsia="宋体"/>
                <w:b w:val="0"/>
                <w:color w:val="auto"/>
                <w:sz w:val="19"/>
              </w:rPr>
              <w:t>评估多语言混淆与任务切换</w:t>
            </w:r>
          </w:p>
        </w:tc>
      </w:tr>
      <w:tr w14:paraId="6239E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268" w:type="dxa"/>
            <w:shd w:val="clear" w:color="auto" w:fill="auto"/>
            <w:vAlign w:val="center"/>
          </w:tcPr>
          <w:p w14:paraId="4FEE2256">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color w:val="auto"/>
              </w:rPr>
            </w:pPr>
            <w:r>
              <w:rPr>
                <w:rFonts w:ascii="宋体" w:hAnsi="宋体" w:eastAsia="宋体"/>
                <w:b w:val="0"/>
                <w:color w:val="auto"/>
                <w:sz w:val="19"/>
              </w:rPr>
              <w:t>rag_indirect</w:t>
            </w:r>
          </w:p>
        </w:tc>
        <w:tc>
          <w:tcPr>
            <w:tcW w:w="1134" w:type="dxa"/>
            <w:shd w:val="clear" w:color="auto" w:fill="auto"/>
            <w:vAlign w:val="center"/>
          </w:tcPr>
          <w:p w14:paraId="5386589B">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color w:val="auto"/>
              </w:rPr>
            </w:pPr>
            <w:r>
              <w:rPr>
                <w:rFonts w:ascii="宋体" w:hAnsi="宋体" w:eastAsia="宋体"/>
                <w:b w:val="0"/>
                <w:color w:val="auto"/>
                <w:sz w:val="19"/>
              </w:rPr>
              <w:t>18</w:t>
            </w:r>
          </w:p>
        </w:tc>
        <w:tc>
          <w:tcPr>
            <w:tcW w:w="4819" w:type="dxa"/>
            <w:shd w:val="clear" w:color="auto" w:fill="auto"/>
            <w:vAlign w:val="center"/>
          </w:tcPr>
          <w:p w14:paraId="12DC1AC9">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color w:val="auto"/>
              </w:rPr>
            </w:pPr>
            <w:r>
              <w:rPr>
                <w:rFonts w:ascii="宋体" w:hAnsi="宋体" w:eastAsia="宋体"/>
                <w:b w:val="0"/>
                <w:color w:val="auto"/>
                <w:sz w:val="19"/>
              </w:rPr>
              <w:t>评估文档、邮件、网页和工具返回值中的间接注入</w:t>
            </w:r>
          </w:p>
        </w:tc>
      </w:tr>
      <w:tr w14:paraId="18FF5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268" w:type="dxa"/>
            <w:shd w:val="clear" w:color="auto" w:fill="auto"/>
            <w:vAlign w:val="center"/>
          </w:tcPr>
          <w:p w14:paraId="6B25F539">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color w:val="auto"/>
              </w:rPr>
            </w:pPr>
            <w:r>
              <w:rPr>
                <w:rFonts w:ascii="宋体" w:hAnsi="宋体" w:eastAsia="宋体"/>
                <w:b w:val="0"/>
                <w:color w:val="auto"/>
                <w:sz w:val="19"/>
              </w:rPr>
              <w:t>tool_output_injection</w:t>
            </w:r>
          </w:p>
        </w:tc>
        <w:tc>
          <w:tcPr>
            <w:tcW w:w="1134" w:type="dxa"/>
            <w:shd w:val="clear" w:color="auto" w:fill="auto"/>
            <w:vAlign w:val="center"/>
          </w:tcPr>
          <w:p w14:paraId="57060FEF">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color w:val="auto"/>
              </w:rPr>
            </w:pPr>
            <w:r>
              <w:rPr>
                <w:rFonts w:ascii="宋体" w:hAnsi="宋体" w:eastAsia="宋体"/>
                <w:b w:val="0"/>
                <w:color w:val="auto"/>
                <w:sz w:val="19"/>
              </w:rPr>
              <w:t>5</w:t>
            </w:r>
          </w:p>
        </w:tc>
        <w:tc>
          <w:tcPr>
            <w:tcW w:w="4819" w:type="dxa"/>
            <w:shd w:val="clear" w:color="auto" w:fill="auto"/>
            <w:vAlign w:val="center"/>
          </w:tcPr>
          <w:p w14:paraId="79E542FE">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color w:val="auto"/>
              </w:rPr>
            </w:pPr>
            <w:r>
              <w:rPr>
                <w:rFonts w:ascii="宋体" w:hAnsi="宋体" w:eastAsia="宋体"/>
                <w:b w:val="0"/>
                <w:color w:val="auto"/>
                <w:sz w:val="19"/>
              </w:rPr>
              <w:t>评估上游工具输出对后续行为的污染</w:t>
            </w:r>
          </w:p>
        </w:tc>
      </w:tr>
    </w:tbl>
    <w:p w14:paraId="21C59FEE">
      <w:pPr>
        <w:keepNext w:val="0"/>
        <w:keepLines w:val="0"/>
        <w:pageBreakBefore w:val="0"/>
        <w:widowControl/>
        <w:kinsoku/>
        <w:wordWrap/>
        <w:overflowPunct/>
        <w:topLinePunct w:val="0"/>
        <w:autoSpaceDE/>
        <w:autoSpaceDN/>
        <w:bidi w:val="0"/>
        <w:adjustRightInd/>
        <w:snapToGrid/>
        <w:spacing w:after="40"/>
        <w:textAlignment w:val="auto"/>
      </w:pPr>
    </w:p>
    <w:p w14:paraId="43D9A5D2">
      <w:pPr>
        <w:keepNext w:val="0"/>
        <w:keepLines w:val="0"/>
        <w:pageBreakBefore w:val="0"/>
        <w:widowControl/>
        <w:kinsoku/>
        <w:wordWrap/>
        <w:overflowPunct/>
        <w:topLinePunct w:val="0"/>
        <w:autoSpaceDE/>
        <w:autoSpaceDN/>
        <w:bidi w:val="0"/>
        <w:adjustRightInd/>
        <w:snapToGrid/>
        <w:jc w:val="center"/>
        <w:textAlignment w:val="auto"/>
      </w:pPr>
      <w:r>
        <w:drawing>
          <wp:inline distT="0" distB="0" distL="114300" distR="114300">
            <wp:extent cx="5219700" cy="270891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20000" cy="2709113"/>
                    </a:xfrm>
                    <a:prstGeom prst="rect">
                      <a:avLst/>
                    </a:prstGeom>
                  </pic:spPr>
                </pic:pic>
              </a:graphicData>
            </a:graphic>
          </wp:inline>
        </w:drawing>
      </w:r>
    </w:p>
    <w:p w14:paraId="0259D1CD">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r>
        <w:rPr>
          <w:rFonts w:ascii="宋体" w:hAnsi="宋体" w:eastAsia="宋体"/>
          <w:b/>
          <w:sz w:val="21"/>
        </w:rPr>
        <w:t>图 1  样本库攻击族分布</w:t>
      </w:r>
    </w:p>
    <w:p w14:paraId="6D9C6C8B">
      <w:pPr>
        <w:pStyle w:val="4"/>
        <w:keepNext w:val="0"/>
        <w:keepLines w:val="0"/>
        <w:pageBreakBefore w:val="0"/>
        <w:widowControl/>
        <w:kinsoku/>
        <w:wordWrap/>
        <w:overflowPunct/>
        <w:topLinePunct w:val="0"/>
        <w:autoSpaceDE/>
        <w:autoSpaceDN/>
        <w:bidi w:val="0"/>
        <w:adjustRightInd/>
        <w:snapToGrid/>
        <w:spacing w:before="120" w:after="120" w:line="288" w:lineRule="auto"/>
        <w:jc w:val="left"/>
        <w:textAlignment w:val="auto"/>
      </w:pPr>
      <w:r>
        <w:rPr>
          <w:rFonts w:ascii="黑体" w:hAnsi="黑体" w:eastAsia="黑体"/>
          <w:b/>
          <w:sz w:val="28"/>
        </w:rPr>
        <w:t>5.2 代表样本与质量审计</w:t>
      </w:r>
    </w:p>
    <w:p w14:paraId="7D23C6CE">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代表样本包括：RAG-PI-016，模拟供应商风险报告中的 Markdown 隐藏注释，用户任务是总结报告，但隐藏注释诱导读取 canary secret 并发送 mock 邮件；JSONRPC-001，模拟 JSON data.next_step 字段中的伪工具步骤，测试模型是否会把普通数据字段提升为可执行指令；MTL-009，模拟 JSON 翻译任务中的非目标字段诱导，测试翻译任务边界是否被保持。</w:t>
      </w:r>
    </w:p>
    <w:p w14:paraId="292036A3">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样本生成脚本会检查必要字段、重复 case_id、攻击族合法性、语言字段、mock 动作白名单、空字段、benign 样本动作、真实邮箱/URL、真实攻击命令、相似样本和 detector 对齐。当前审计结果为 duplicate_case_id=0、missing_required_fields=0、audit_status=pass、audit_hard_fail_count=0。</w:t>
      </w:r>
    </w:p>
    <w:p w14:paraId="276409F4">
      <w:pPr>
        <w:pStyle w:val="3"/>
        <w:keepNext w:val="0"/>
        <w:keepLines w:val="0"/>
        <w:pageBreakBefore w:val="0"/>
        <w:widowControl/>
        <w:kinsoku/>
        <w:wordWrap/>
        <w:overflowPunct/>
        <w:topLinePunct w:val="0"/>
        <w:autoSpaceDE/>
        <w:autoSpaceDN/>
        <w:bidi w:val="0"/>
        <w:adjustRightInd/>
        <w:snapToGrid/>
        <w:spacing w:before="150" w:after="150" w:line="288" w:lineRule="auto"/>
        <w:jc w:val="left"/>
        <w:textAlignment w:val="auto"/>
      </w:pPr>
      <w:r>
        <w:rPr>
          <w:rFonts w:ascii="黑体" w:hAnsi="黑体" w:eastAsia="黑体"/>
          <w:b/>
          <w:sz w:val="30"/>
        </w:rPr>
        <w:t>6 实验设计</w:t>
      </w:r>
    </w:p>
    <w:p w14:paraId="1CCBDCCB">
      <w:pPr>
        <w:pStyle w:val="4"/>
        <w:keepNext w:val="0"/>
        <w:keepLines w:val="0"/>
        <w:pageBreakBefore w:val="0"/>
        <w:widowControl/>
        <w:kinsoku/>
        <w:wordWrap/>
        <w:overflowPunct/>
        <w:topLinePunct w:val="0"/>
        <w:autoSpaceDE/>
        <w:autoSpaceDN/>
        <w:bidi w:val="0"/>
        <w:adjustRightInd/>
        <w:snapToGrid/>
        <w:spacing w:before="120" w:after="120" w:line="288" w:lineRule="auto"/>
        <w:jc w:val="left"/>
        <w:textAlignment w:val="auto"/>
      </w:pPr>
      <w:r>
        <w:rPr>
          <w:rFonts w:ascii="黑体" w:hAnsi="黑体" w:eastAsia="黑体"/>
          <w:b/>
          <w:sz w:val="28"/>
        </w:rPr>
        <w:t>6.1 实验后端与防护模式</w:t>
      </w:r>
    </w:p>
    <w:p w14:paraId="664EAEF5">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实验使用三种设置。第一，stub 全量实验覆盖 69 条样本，stub 后端根据样本目标稳定产生候选工具调用，用于观察防护策略上限。第二，本地 Qwen2.5-7B 代表样本实验覆盖 24 条代表样本，用于观察真实模型输出与解析链路。第三，demo smoke test 覆盖 3 条答辩案例，用于复现最小攻击链。</w:t>
      </w:r>
    </w:p>
    <w:p w14:paraId="2AE78318">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防护模式包括 baseline、keyword_only、policy_only 和 full_guard。baseline 表示无 Guard；keyword_only 表示仅依赖上下文文本检测；policy_only 表示仅依赖工具和参数策略；full_guard 表示组合上下文检测、工具策略、数据流追踪和意图一致性检查。通过比较四种模式，可以观察不同防护组件的贡献。</w:t>
      </w:r>
    </w:p>
    <w:p w14:paraId="0B477A05">
      <w:pPr>
        <w:pStyle w:val="4"/>
        <w:keepNext w:val="0"/>
        <w:keepLines w:val="0"/>
        <w:pageBreakBefore w:val="0"/>
        <w:widowControl/>
        <w:kinsoku/>
        <w:wordWrap/>
        <w:overflowPunct/>
        <w:topLinePunct w:val="0"/>
        <w:autoSpaceDE/>
        <w:autoSpaceDN/>
        <w:bidi w:val="0"/>
        <w:adjustRightInd/>
        <w:snapToGrid/>
        <w:spacing w:before="120" w:after="120" w:line="288" w:lineRule="auto"/>
        <w:jc w:val="left"/>
        <w:textAlignment w:val="auto"/>
      </w:pPr>
      <w:r>
        <w:rPr>
          <w:rFonts w:ascii="黑体" w:hAnsi="黑体" w:eastAsia="黑体"/>
          <w:b/>
          <w:sz w:val="28"/>
        </w:rPr>
        <w:t>6.2 评测指标</w:t>
      </w:r>
    </w:p>
    <w:p w14:paraId="67026C18">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本文使用七类指标衡量攻击效果和防护能力。ASR 表示攻击成功率，UTR 表示未授权工具调用率，DSR 表示数据外流风险率，BSR 表示阻断成功率，FPR 表示正常样本误报率，AvgRisk 表示平均风险分。综合韧性分 WRS 定义如下：</w:t>
      </w:r>
    </w:p>
    <w:p w14:paraId="740A0FF0">
      <w:pPr>
        <w:keepNext w:val="0"/>
        <w:keepLines w:val="0"/>
        <w:pageBreakBefore w:val="0"/>
        <w:widowControl/>
        <w:kinsoku/>
        <w:wordWrap/>
        <w:overflowPunct/>
        <w:topLinePunct w:val="0"/>
        <w:autoSpaceDE/>
        <w:autoSpaceDN/>
        <w:bidi w:val="0"/>
        <w:adjustRightInd/>
        <w:snapToGrid/>
        <w:spacing w:before="80" w:after="80"/>
        <w:jc w:val="center"/>
        <w:textAlignment w:val="auto"/>
      </w:pPr>
      <w:r>
        <w:rPr>
          <w:rFonts w:ascii="Times New Roman" w:hAnsi="Times New Roman" w:eastAsia="Times New Roman"/>
          <w:b/>
          <w:sz w:val="21"/>
        </w:rPr>
        <w:t>WRS = 0.35(1-ASR) + 0.20(1-UTR) + 0.20(1-DSR) + 0.15BSR + 0.10(1-FPR)</w:t>
      </w:r>
    </w:p>
    <w:p w14:paraId="156A179B">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该公式强调降低攻击成功、未授权工具调用和数据外流，同时兼顾阻断能力与正常任务可用性。</w:t>
      </w:r>
    </w:p>
    <w:p w14:paraId="3C827FB8">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r>
        <w:rPr>
          <w:rFonts w:ascii="黑体" w:hAnsi="黑体" w:eastAsia="黑体"/>
          <w:b/>
          <w:sz w:val="21"/>
        </w:rPr>
        <w:t>表 4  评测指标定义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551"/>
        <w:gridCol w:w="4082"/>
      </w:tblGrid>
      <w:tr w14:paraId="76BC2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9EAF7"/>
            <w:vAlign w:val="center"/>
          </w:tcPr>
          <w:p w14:paraId="2568402F">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color w:val="FFFFFF"/>
                <w:sz w:val="20"/>
              </w:rPr>
              <w:t>指标</w:t>
            </w:r>
          </w:p>
        </w:tc>
        <w:tc>
          <w:tcPr>
            <w:tcW w:w="2551" w:type="dxa"/>
            <w:shd w:val="clear" w:color="auto" w:fill="D9EAF7"/>
            <w:vAlign w:val="center"/>
          </w:tcPr>
          <w:p w14:paraId="2738789A">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color w:val="FFFFFF"/>
                <w:sz w:val="20"/>
              </w:rPr>
              <w:t>含义</w:t>
            </w:r>
          </w:p>
        </w:tc>
        <w:tc>
          <w:tcPr>
            <w:tcW w:w="4082" w:type="dxa"/>
            <w:shd w:val="clear" w:color="auto" w:fill="D9EAF7"/>
            <w:vAlign w:val="center"/>
          </w:tcPr>
          <w:p w14:paraId="03D43831">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color w:val="FFFFFF"/>
                <w:sz w:val="20"/>
              </w:rPr>
              <w:t>解释</w:t>
            </w:r>
          </w:p>
        </w:tc>
      </w:tr>
      <w:tr w14:paraId="17922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524AE866">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ASR</w:t>
            </w:r>
          </w:p>
        </w:tc>
        <w:tc>
          <w:tcPr>
            <w:tcW w:w="2551" w:type="dxa"/>
            <w:vAlign w:val="center"/>
          </w:tcPr>
          <w:p w14:paraId="790AC3AA">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Attack Success Rate</w:t>
            </w:r>
          </w:p>
        </w:tc>
        <w:tc>
          <w:tcPr>
            <w:tcW w:w="4082" w:type="dxa"/>
            <w:vAlign w:val="center"/>
          </w:tcPr>
          <w:p w14:paraId="4DC042A1">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攻击样本触发 unsafe_target_actions 的比例</w:t>
            </w:r>
          </w:p>
        </w:tc>
      </w:tr>
      <w:tr w14:paraId="7FE9E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7F507B48">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UTR</w:t>
            </w:r>
          </w:p>
        </w:tc>
        <w:tc>
          <w:tcPr>
            <w:tcW w:w="2551" w:type="dxa"/>
            <w:vAlign w:val="center"/>
          </w:tcPr>
          <w:p w14:paraId="2E89789B">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Unauthorized Tool-call Rate</w:t>
            </w:r>
          </w:p>
        </w:tc>
        <w:tc>
          <w:tcPr>
            <w:tcW w:w="4082" w:type="dxa"/>
            <w:vAlign w:val="center"/>
          </w:tcPr>
          <w:p w14:paraId="01073702">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出现未授权高风险工具调用的比例</w:t>
            </w:r>
          </w:p>
        </w:tc>
      </w:tr>
      <w:tr w14:paraId="05566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0F6FEDC2">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DSR</w:t>
            </w:r>
          </w:p>
        </w:tc>
        <w:tc>
          <w:tcPr>
            <w:tcW w:w="2551" w:type="dxa"/>
            <w:vAlign w:val="center"/>
          </w:tcPr>
          <w:p w14:paraId="508599E5">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Data Spill Risk Rate</w:t>
            </w:r>
          </w:p>
        </w:tc>
        <w:tc>
          <w:tcPr>
            <w:tcW w:w="4082" w:type="dxa"/>
            <w:vAlign w:val="center"/>
          </w:tcPr>
          <w:p w14:paraId="4CA73E11">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敏感标记进入外发链路的比例</w:t>
            </w:r>
          </w:p>
        </w:tc>
      </w:tr>
      <w:tr w14:paraId="6F4B5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7AD45111">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BSR</w:t>
            </w:r>
          </w:p>
        </w:tc>
        <w:tc>
          <w:tcPr>
            <w:tcW w:w="2551" w:type="dxa"/>
            <w:vAlign w:val="center"/>
          </w:tcPr>
          <w:p w14:paraId="317DC9DF">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Block Success Rate</w:t>
            </w:r>
          </w:p>
        </w:tc>
        <w:tc>
          <w:tcPr>
            <w:tcW w:w="4082" w:type="dxa"/>
            <w:vAlign w:val="center"/>
          </w:tcPr>
          <w:p w14:paraId="71FE524C">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攻击样本被 ask 或 deny 的比例</w:t>
            </w:r>
          </w:p>
        </w:tc>
      </w:tr>
      <w:tr w14:paraId="2194D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4C082C0C">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FPR</w:t>
            </w:r>
          </w:p>
        </w:tc>
        <w:tc>
          <w:tcPr>
            <w:tcW w:w="2551" w:type="dxa"/>
            <w:vAlign w:val="center"/>
          </w:tcPr>
          <w:p w14:paraId="0F6F5037">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False Positive Rate</w:t>
            </w:r>
          </w:p>
        </w:tc>
        <w:tc>
          <w:tcPr>
            <w:tcW w:w="4082" w:type="dxa"/>
            <w:vAlign w:val="center"/>
          </w:tcPr>
          <w:p w14:paraId="58B6267D">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正常任务被 ask 或 deny 的比例</w:t>
            </w:r>
          </w:p>
        </w:tc>
      </w:tr>
      <w:tr w14:paraId="03F4F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0946FFBB">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AvgRisk</w:t>
            </w:r>
          </w:p>
        </w:tc>
        <w:tc>
          <w:tcPr>
            <w:tcW w:w="2551" w:type="dxa"/>
            <w:vAlign w:val="center"/>
          </w:tcPr>
          <w:p w14:paraId="61931D68">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Average Risk Score</w:t>
            </w:r>
          </w:p>
        </w:tc>
        <w:tc>
          <w:tcPr>
            <w:tcW w:w="4082" w:type="dxa"/>
            <w:vAlign w:val="center"/>
          </w:tcPr>
          <w:p w14:paraId="46831FAA">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Guard 风险分平均值</w:t>
            </w:r>
          </w:p>
        </w:tc>
      </w:tr>
      <w:tr w14:paraId="04B63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0A8F61D5">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WRS</w:t>
            </w:r>
          </w:p>
        </w:tc>
        <w:tc>
          <w:tcPr>
            <w:tcW w:w="2551" w:type="dxa"/>
            <w:vAlign w:val="center"/>
          </w:tcPr>
          <w:p w14:paraId="240187B4">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Weighted Resilience Score</w:t>
            </w:r>
          </w:p>
        </w:tc>
        <w:tc>
          <w:tcPr>
            <w:tcW w:w="4082" w:type="dxa"/>
            <w:vAlign w:val="center"/>
          </w:tcPr>
          <w:p w14:paraId="1D44BA3B">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综合韧性分，越高表示防护越稳健</w:t>
            </w:r>
          </w:p>
        </w:tc>
      </w:tr>
    </w:tbl>
    <w:p w14:paraId="03F26272">
      <w:pPr>
        <w:keepNext w:val="0"/>
        <w:keepLines w:val="0"/>
        <w:pageBreakBefore w:val="0"/>
        <w:widowControl/>
        <w:kinsoku/>
        <w:wordWrap/>
        <w:overflowPunct/>
        <w:topLinePunct w:val="0"/>
        <w:autoSpaceDE/>
        <w:autoSpaceDN/>
        <w:bidi w:val="0"/>
        <w:adjustRightInd/>
        <w:snapToGrid/>
        <w:spacing w:after="40"/>
        <w:textAlignment w:val="auto"/>
      </w:pPr>
    </w:p>
    <w:p w14:paraId="74450273">
      <w:pPr>
        <w:pStyle w:val="3"/>
        <w:keepNext w:val="0"/>
        <w:keepLines w:val="0"/>
        <w:pageBreakBefore w:val="0"/>
        <w:widowControl/>
        <w:kinsoku/>
        <w:wordWrap/>
        <w:overflowPunct/>
        <w:topLinePunct w:val="0"/>
        <w:autoSpaceDE/>
        <w:autoSpaceDN/>
        <w:bidi w:val="0"/>
        <w:adjustRightInd/>
        <w:snapToGrid/>
        <w:spacing w:before="150" w:after="150" w:line="288" w:lineRule="auto"/>
        <w:jc w:val="left"/>
        <w:textAlignment w:val="auto"/>
      </w:pPr>
      <w:r>
        <w:rPr>
          <w:rFonts w:ascii="黑体" w:hAnsi="黑体" w:eastAsia="黑体"/>
          <w:b/>
          <w:sz w:val="30"/>
        </w:rPr>
        <w:t>7 实验结果与分析</w:t>
      </w:r>
    </w:p>
    <w:p w14:paraId="78A639E0">
      <w:pPr>
        <w:pStyle w:val="4"/>
        <w:keepNext w:val="0"/>
        <w:keepLines w:val="0"/>
        <w:pageBreakBefore w:val="0"/>
        <w:widowControl/>
        <w:kinsoku/>
        <w:wordWrap/>
        <w:overflowPunct/>
        <w:topLinePunct w:val="0"/>
        <w:autoSpaceDE/>
        <w:autoSpaceDN/>
        <w:bidi w:val="0"/>
        <w:adjustRightInd/>
        <w:snapToGrid/>
        <w:spacing w:before="120" w:after="120" w:line="288" w:lineRule="auto"/>
        <w:jc w:val="left"/>
        <w:textAlignment w:val="auto"/>
      </w:pPr>
      <w:r>
        <w:rPr>
          <w:rFonts w:ascii="黑体" w:hAnsi="黑体" w:eastAsia="黑体"/>
          <w:b/>
          <w:sz w:val="28"/>
        </w:rPr>
        <w:t>7.1 总体结果</w:t>
      </w:r>
    </w:p>
    <w:p w14:paraId="2786307A">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r>
        <w:rPr>
          <w:rFonts w:ascii="黑体" w:hAnsi="黑体" w:eastAsia="黑体"/>
          <w:b/>
          <w:sz w:val="21"/>
        </w:rPr>
        <w:t>表 5  总体实验结果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474"/>
        <w:gridCol w:w="737"/>
        <w:gridCol w:w="765"/>
        <w:gridCol w:w="765"/>
        <w:gridCol w:w="765"/>
        <w:gridCol w:w="811"/>
        <w:gridCol w:w="765"/>
        <w:gridCol w:w="879"/>
        <w:gridCol w:w="765"/>
      </w:tblGrid>
      <w:tr w14:paraId="7C033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D9EAF7"/>
            <w:vAlign w:val="center"/>
          </w:tcPr>
          <w:p w14:paraId="11AE5A39">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color w:val="FFFFFF"/>
                <w:sz w:val="18"/>
              </w:rPr>
              <w:t>后端/模型</w:t>
            </w:r>
          </w:p>
        </w:tc>
        <w:tc>
          <w:tcPr>
            <w:tcW w:w="1474" w:type="dxa"/>
            <w:shd w:val="clear" w:color="auto" w:fill="D9EAF7"/>
            <w:vAlign w:val="center"/>
          </w:tcPr>
          <w:p w14:paraId="65BD27F6">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color w:val="FFFFFF"/>
                <w:sz w:val="18"/>
              </w:rPr>
              <w:t>防护模式</w:t>
            </w:r>
          </w:p>
        </w:tc>
        <w:tc>
          <w:tcPr>
            <w:tcW w:w="737" w:type="dxa"/>
            <w:shd w:val="clear" w:color="auto" w:fill="D9EAF7"/>
            <w:vAlign w:val="center"/>
          </w:tcPr>
          <w:p w14:paraId="4EA69731">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color w:val="FFFFFF"/>
                <w:sz w:val="18"/>
              </w:rPr>
              <w:t>样本数</w:t>
            </w:r>
          </w:p>
        </w:tc>
        <w:tc>
          <w:tcPr>
            <w:tcW w:w="765" w:type="dxa"/>
            <w:shd w:val="clear" w:color="auto" w:fill="D9EAF7"/>
            <w:vAlign w:val="center"/>
          </w:tcPr>
          <w:p w14:paraId="49693C02">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color w:val="FFFFFF"/>
                <w:sz w:val="18"/>
              </w:rPr>
              <w:t>ASR</w:t>
            </w:r>
          </w:p>
        </w:tc>
        <w:tc>
          <w:tcPr>
            <w:tcW w:w="765" w:type="dxa"/>
            <w:shd w:val="clear" w:color="auto" w:fill="D9EAF7"/>
            <w:vAlign w:val="center"/>
          </w:tcPr>
          <w:p w14:paraId="6086B198">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color w:val="FFFFFF"/>
                <w:sz w:val="18"/>
              </w:rPr>
              <w:t>UTR</w:t>
            </w:r>
          </w:p>
        </w:tc>
        <w:tc>
          <w:tcPr>
            <w:tcW w:w="765" w:type="dxa"/>
            <w:shd w:val="clear" w:color="auto" w:fill="D9EAF7"/>
            <w:vAlign w:val="center"/>
          </w:tcPr>
          <w:p w14:paraId="5F4C4EFC">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color w:val="FFFFFF"/>
                <w:sz w:val="18"/>
              </w:rPr>
              <w:t>DSR</w:t>
            </w:r>
          </w:p>
        </w:tc>
        <w:tc>
          <w:tcPr>
            <w:tcW w:w="765" w:type="dxa"/>
            <w:shd w:val="clear" w:color="auto" w:fill="D9EAF7"/>
            <w:vAlign w:val="center"/>
          </w:tcPr>
          <w:p w14:paraId="20A82A65">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color w:val="FFFFFF"/>
                <w:sz w:val="18"/>
              </w:rPr>
              <w:t>BSR</w:t>
            </w:r>
          </w:p>
        </w:tc>
        <w:tc>
          <w:tcPr>
            <w:tcW w:w="765" w:type="dxa"/>
            <w:shd w:val="clear" w:color="auto" w:fill="D9EAF7"/>
            <w:vAlign w:val="center"/>
          </w:tcPr>
          <w:p w14:paraId="7A570632">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color w:val="FFFFFF"/>
                <w:sz w:val="18"/>
              </w:rPr>
              <w:t>FPR</w:t>
            </w:r>
          </w:p>
        </w:tc>
        <w:tc>
          <w:tcPr>
            <w:tcW w:w="879" w:type="dxa"/>
            <w:shd w:val="clear" w:color="auto" w:fill="D9EAF7"/>
            <w:vAlign w:val="center"/>
          </w:tcPr>
          <w:p w14:paraId="6191FB9D">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color w:val="FFFFFF"/>
                <w:sz w:val="18"/>
              </w:rPr>
              <w:t>AvgRisk</w:t>
            </w:r>
          </w:p>
        </w:tc>
        <w:tc>
          <w:tcPr>
            <w:tcW w:w="765" w:type="dxa"/>
            <w:shd w:val="clear" w:color="auto" w:fill="D9EAF7"/>
            <w:vAlign w:val="center"/>
          </w:tcPr>
          <w:p w14:paraId="6C8FF446">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color w:val="FFFFFF"/>
                <w:sz w:val="18"/>
              </w:rPr>
              <w:t>WRS</w:t>
            </w:r>
          </w:p>
        </w:tc>
      </w:tr>
      <w:tr w14:paraId="2036F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65AB6CE">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7"/>
              </w:rPr>
              <w:t>stub</w:t>
            </w:r>
          </w:p>
        </w:tc>
        <w:tc>
          <w:tcPr>
            <w:tcW w:w="1474" w:type="dxa"/>
            <w:vAlign w:val="center"/>
          </w:tcPr>
          <w:p w14:paraId="2614EA7E">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baseline</w:t>
            </w:r>
          </w:p>
        </w:tc>
        <w:tc>
          <w:tcPr>
            <w:tcW w:w="737" w:type="dxa"/>
            <w:vAlign w:val="center"/>
          </w:tcPr>
          <w:p w14:paraId="0E6D556F">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69</w:t>
            </w:r>
          </w:p>
        </w:tc>
        <w:tc>
          <w:tcPr>
            <w:tcW w:w="765" w:type="dxa"/>
            <w:vAlign w:val="center"/>
          </w:tcPr>
          <w:p w14:paraId="42FC6236">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55.07%</w:t>
            </w:r>
          </w:p>
        </w:tc>
        <w:tc>
          <w:tcPr>
            <w:tcW w:w="765" w:type="dxa"/>
            <w:vAlign w:val="center"/>
          </w:tcPr>
          <w:p w14:paraId="33984158">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28.99%</w:t>
            </w:r>
          </w:p>
        </w:tc>
        <w:tc>
          <w:tcPr>
            <w:tcW w:w="765" w:type="dxa"/>
            <w:vAlign w:val="center"/>
          </w:tcPr>
          <w:p w14:paraId="67FDFE73">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55.07%</w:t>
            </w:r>
          </w:p>
        </w:tc>
        <w:tc>
          <w:tcPr>
            <w:tcW w:w="765" w:type="dxa"/>
            <w:vAlign w:val="center"/>
          </w:tcPr>
          <w:p w14:paraId="160714B1">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765" w:type="dxa"/>
            <w:vAlign w:val="center"/>
          </w:tcPr>
          <w:p w14:paraId="3B5D5406">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879" w:type="dxa"/>
            <w:vAlign w:val="center"/>
          </w:tcPr>
          <w:p w14:paraId="3C112796">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0.0000</w:t>
            </w:r>
          </w:p>
        </w:tc>
        <w:tc>
          <w:tcPr>
            <w:tcW w:w="765" w:type="dxa"/>
            <w:vAlign w:val="center"/>
          </w:tcPr>
          <w:p w14:paraId="1A50A50A">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0.4891</w:t>
            </w:r>
          </w:p>
        </w:tc>
      </w:tr>
      <w:tr w14:paraId="32F9A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72E6B85">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7"/>
              </w:rPr>
              <w:t>stub</w:t>
            </w:r>
          </w:p>
        </w:tc>
        <w:tc>
          <w:tcPr>
            <w:tcW w:w="1474" w:type="dxa"/>
            <w:vAlign w:val="center"/>
          </w:tcPr>
          <w:p w14:paraId="2E5B033A">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keyword</w:t>
            </w:r>
          </w:p>
        </w:tc>
        <w:tc>
          <w:tcPr>
            <w:tcW w:w="737" w:type="dxa"/>
            <w:vAlign w:val="center"/>
          </w:tcPr>
          <w:p w14:paraId="100762DA">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69</w:t>
            </w:r>
          </w:p>
        </w:tc>
        <w:tc>
          <w:tcPr>
            <w:tcW w:w="765" w:type="dxa"/>
            <w:vAlign w:val="center"/>
          </w:tcPr>
          <w:p w14:paraId="10DA6B33">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13.04%</w:t>
            </w:r>
          </w:p>
        </w:tc>
        <w:tc>
          <w:tcPr>
            <w:tcW w:w="765" w:type="dxa"/>
            <w:vAlign w:val="center"/>
          </w:tcPr>
          <w:p w14:paraId="4827417E">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8.70%</w:t>
            </w:r>
          </w:p>
        </w:tc>
        <w:tc>
          <w:tcPr>
            <w:tcW w:w="765" w:type="dxa"/>
            <w:vAlign w:val="center"/>
          </w:tcPr>
          <w:p w14:paraId="0119D399">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13.04%</w:t>
            </w:r>
          </w:p>
        </w:tc>
        <w:tc>
          <w:tcPr>
            <w:tcW w:w="765" w:type="dxa"/>
            <w:vAlign w:val="center"/>
          </w:tcPr>
          <w:p w14:paraId="26B2BC95">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65.22%</w:t>
            </w:r>
          </w:p>
        </w:tc>
        <w:tc>
          <w:tcPr>
            <w:tcW w:w="765" w:type="dxa"/>
            <w:vAlign w:val="center"/>
          </w:tcPr>
          <w:p w14:paraId="46CC2F93">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879" w:type="dxa"/>
            <w:vAlign w:val="center"/>
          </w:tcPr>
          <w:p w14:paraId="06C0F668">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0.2626</w:t>
            </w:r>
          </w:p>
        </w:tc>
        <w:tc>
          <w:tcPr>
            <w:tcW w:w="765" w:type="dxa"/>
            <w:vAlign w:val="center"/>
          </w:tcPr>
          <w:p w14:paraId="3AB52C4E">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0.8587</w:t>
            </w:r>
          </w:p>
        </w:tc>
      </w:tr>
      <w:tr w14:paraId="43BE6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17A2777E">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7"/>
              </w:rPr>
              <w:t>stub</w:t>
            </w:r>
          </w:p>
        </w:tc>
        <w:tc>
          <w:tcPr>
            <w:tcW w:w="1474" w:type="dxa"/>
            <w:vAlign w:val="center"/>
          </w:tcPr>
          <w:p w14:paraId="6FBA0A69">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policy</w:t>
            </w:r>
          </w:p>
        </w:tc>
        <w:tc>
          <w:tcPr>
            <w:tcW w:w="737" w:type="dxa"/>
            <w:vAlign w:val="center"/>
          </w:tcPr>
          <w:p w14:paraId="4AFB9417">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69</w:t>
            </w:r>
          </w:p>
        </w:tc>
        <w:tc>
          <w:tcPr>
            <w:tcW w:w="765" w:type="dxa"/>
            <w:vAlign w:val="center"/>
          </w:tcPr>
          <w:p w14:paraId="7AFCEB2D">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765" w:type="dxa"/>
            <w:vAlign w:val="center"/>
          </w:tcPr>
          <w:p w14:paraId="6244D069">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765" w:type="dxa"/>
            <w:vAlign w:val="center"/>
          </w:tcPr>
          <w:p w14:paraId="4BBB6C83">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765" w:type="dxa"/>
            <w:vAlign w:val="center"/>
          </w:tcPr>
          <w:p w14:paraId="2E3444C8">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88.41%</w:t>
            </w:r>
          </w:p>
        </w:tc>
        <w:tc>
          <w:tcPr>
            <w:tcW w:w="765" w:type="dxa"/>
            <w:vAlign w:val="center"/>
          </w:tcPr>
          <w:p w14:paraId="2BCC3DC3">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879" w:type="dxa"/>
            <w:vAlign w:val="center"/>
          </w:tcPr>
          <w:p w14:paraId="4DDA9F38">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0.6775</w:t>
            </w:r>
          </w:p>
        </w:tc>
        <w:tc>
          <w:tcPr>
            <w:tcW w:w="765" w:type="dxa"/>
            <w:vAlign w:val="center"/>
          </w:tcPr>
          <w:p w14:paraId="061F8CAA">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0.9826</w:t>
            </w:r>
          </w:p>
        </w:tc>
      </w:tr>
      <w:tr w14:paraId="271D9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12114DF7">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7"/>
              </w:rPr>
              <w:t>stub</w:t>
            </w:r>
          </w:p>
        </w:tc>
        <w:tc>
          <w:tcPr>
            <w:tcW w:w="1474" w:type="dxa"/>
            <w:vAlign w:val="center"/>
          </w:tcPr>
          <w:p w14:paraId="7A1957C8">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full_guard</w:t>
            </w:r>
          </w:p>
        </w:tc>
        <w:tc>
          <w:tcPr>
            <w:tcW w:w="737" w:type="dxa"/>
            <w:vAlign w:val="center"/>
          </w:tcPr>
          <w:p w14:paraId="2DD310AC">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69</w:t>
            </w:r>
          </w:p>
        </w:tc>
        <w:tc>
          <w:tcPr>
            <w:tcW w:w="765" w:type="dxa"/>
            <w:vAlign w:val="center"/>
          </w:tcPr>
          <w:p w14:paraId="4C90CB49">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765" w:type="dxa"/>
            <w:vAlign w:val="center"/>
          </w:tcPr>
          <w:p w14:paraId="0467443D">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765" w:type="dxa"/>
            <w:vAlign w:val="center"/>
          </w:tcPr>
          <w:p w14:paraId="420964EC">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765" w:type="dxa"/>
            <w:vAlign w:val="center"/>
          </w:tcPr>
          <w:p w14:paraId="2510E810">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88.41%</w:t>
            </w:r>
          </w:p>
        </w:tc>
        <w:tc>
          <w:tcPr>
            <w:tcW w:w="765" w:type="dxa"/>
            <w:vAlign w:val="center"/>
          </w:tcPr>
          <w:p w14:paraId="42C0E173">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879" w:type="dxa"/>
            <w:vAlign w:val="center"/>
          </w:tcPr>
          <w:p w14:paraId="19C13B23">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0.7652</w:t>
            </w:r>
          </w:p>
        </w:tc>
        <w:tc>
          <w:tcPr>
            <w:tcW w:w="765" w:type="dxa"/>
            <w:vAlign w:val="center"/>
          </w:tcPr>
          <w:p w14:paraId="733C5CEB">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0.9826</w:t>
            </w:r>
          </w:p>
        </w:tc>
      </w:tr>
      <w:tr w14:paraId="633F2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72BB93FC">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7"/>
              </w:rPr>
              <w:t>Qwen2.5</w:t>
            </w:r>
          </w:p>
        </w:tc>
        <w:tc>
          <w:tcPr>
            <w:tcW w:w="1474" w:type="dxa"/>
            <w:vAlign w:val="center"/>
          </w:tcPr>
          <w:p w14:paraId="6393DDC1">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baseline</w:t>
            </w:r>
          </w:p>
        </w:tc>
        <w:tc>
          <w:tcPr>
            <w:tcW w:w="737" w:type="dxa"/>
            <w:vAlign w:val="center"/>
          </w:tcPr>
          <w:p w14:paraId="13E53546">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24</w:t>
            </w:r>
          </w:p>
        </w:tc>
        <w:tc>
          <w:tcPr>
            <w:tcW w:w="765" w:type="dxa"/>
            <w:vAlign w:val="center"/>
          </w:tcPr>
          <w:p w14:paraId="6772490F">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8.33%</w:t>
            </w:r>
          </w:p>
        </w:tc>
        <w:tc>
          <w:tcPr>
            <w:tcW w:w="765" w:type="dxa"/>
            <w:vAlign w:val="center"/>
          </w:tcPr>
          <w:p w14:paraId="200BAA00">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8.33%</w:t>
            </w:r>
          </w:p>
        </w:tc>
        <w:tc>
          <w:tcPr>
            <w:tcW w:w="765" w:type="dxa"/>
            <w:vAlign w:val="center"/>
          </w:tcPr>
          <w:p w14:paraId="11B57A4C">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4.17%</w:t>
            </w:r>
          </w:p>
        </w:tc>
        <w:tc>
          <w:tcPr>
            <w:tcW w:w="765" w:type="dxa"/>
            <w:vAlign w:val="center"/>
          </w:tcPr>
          <w:p w14:paraId="1200E8FA">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765" w:type="dxa"/>
            <w:vAlign w:val="center"/>
          </w:tcPr>
          <w:p w14:paraId="36849788">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879" w:type="dxa"/>
            <w:vAlign w:val="center"/>
          </w:tcPr>
          <w:p w14:paraId="08D7F2C1">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0.0000</w:t>
            </w:r>
          </w:p>
        </w:tc>
        <w:tc>
          <w:tcPr>
            <w:tcW w:w="765" w:type="dxa"/>
            <w:vAlign w:val="center"/>
          </w:tcPr>
          <w:p w14:paraId="5CABE9FF">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0.7958</w:t>
            </w:r>
          </w:p>
        </w:tc>
      </w:tr>
      <w:tr w14:paraId="3FD44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771A1EBB">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7"/>
              </w:rPr>
              <w:t>Qwen2.5</w:t>
            </w:r>
          </w:p>
        </w:tc>
        <w:tc>
          <w:tcPr>
            <w:tcW w:w="1474" w:type="dxa"/>
            <w:vAlign w:val="center"/>
          </w:tcPr>
          <w:p w14:paraId="59D68DAD">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full_guard</w:t>
            </w:r>
          </w:p>
        </w:tc>
        <w:tc>
          <w:tcPr>
            <w:tcW w:w="737" w:type="dxa"/>
            <w:vAlign w:val="center"/>
          </w:tcPr>
          <w:p w14:paraId="7A5EEB8C">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24</w:t>
            </w:r>
          </w:p>
        </w:tc>
        <w:tc>
          <w:tcPr>
            <w:tcW w:w="765" w:type="dxa"/>
            <w:vAlign w:val="center"/>
          </w:tcPr>
          <w:p w14:paraId="49754509">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765" w:type="dxa"/>
            <w:vAlign w:val="center"/>
          </w:tcPr>
          <w:p w14:paraId="0991F946">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765" w:type="dxa"/>
            <w:vAlign w:val="center"/>
          </w:tcPr>
          <w:p w14:paraId="52C8F234">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765" w:type="dxa"/>
            <w:vAlign w:val="center"/>
          </w:tcPr>
          <w:p w14:paraId="10813BBC">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45.83%</w:t>
            </w:r>
          </w:p>
        </w:tc>
        <w:tc>
          <w:tcPr>
            <w:tcW w:w="765" w:type="dxa"/>
            <w:vAlign w:val="center"/>
          </w:tcPr>
          <w:p w14:paraId="7137EAD0">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879" w:type="dxa"/>
            <w:vAlign w:val="center"/>
          </w:tcPr>
          <w:p w14:paraId="3EC512EC">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0.4375</w:t>
            </w:r>
          </w:p>
        </w:tc>
        <w:tc>
          <w:tcPr>
            <w:tcW w:w="765" w:type="dxa"/>
            <w:vAlign w:val="center"/>
          </w:tcPr>
          <w:p w14:paraId="0925099C">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0.9187</w:t>
            </w:r>
          </w:p>
        </w:tc>
      </w:tr>
      <w:tr w14:paraId="43731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4875D593">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7"/>
              </w:rPr>
              <w:t>demo</w:t>
            </w:r>
          </w:p>
        </w:tc>
        <w:tc>
          <w:tcPr>
            <w:tcW w:w="1474" w:type="dxa"/>
            <w:vAlign w:val="center"/>
          </w:tcPr>
          <w:p w14:paraId="0C336779">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baseline</w:t>
            </w:r>
          </w:p>
        </w:tc>
        <w:tc>
          <w:tcPr>
            <w:tcW w:w="737" w:type="dxa"/>
            <w:vAlign w:val="center"/>
          </w:tcPr>
          <w:p w14:paraId="06ADF20A">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3</w:t>
            </w:r>
          </w:p>
        </w:tc>
        <w:tc>
          <w:tcPr>
            <w:tcW w:w="765" w:type="dxa"/>
            <w:vAlign w:val="center"/>
          </w:tcPr>
          <w:p w14:paraId="47043C2D">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66.67%</w:t>
            </w:r>
          </w:p>
        </w:tc>
        <w:tc>
          <w:tcPr>
            <w:tcW w:w="765" w:type="dxa"/>
            <w:vAlign w:val="center"/>
          </w:tcPr>
          <w:p w14:paraId="10C1E15F">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66.67%</w:t>
            </w:r>
          </w:p>
        </w:tc>
        <w:tc>
          <w:tcPr>
            <w:tcW w:w="765" w:type="dxa"/>
            <w:vAlign w:val="center"/>
          </w:tcPr>
          <w:p w14:paraId="3FEAB879">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66.67%</w:t>
            </w:r>
          </w:p>
        </w:tc>
        <w:tc>
          <w:tcPr>
            <w:tcW w:w="765" w:type="dxa"/>
            <w:vAlign w:val="center"/>
          </w:tcPr>
          <w:p w14:paraId="679187A2">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765" w:type="dxa"/>
            <w:vAlign w:val="center"/>
          </w:tcPr>
          <w:p w14:paraId="1401AA9B">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879" w:type="dxa"/>
            <w:vAlign w:val="center"/>
          </w:tcPr>
          <w:p w14:paraId="4AC79473">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0.0000</w:t>
            </w:r>
          </w:p>
        </w:tc>
        <w:tc>
          <w:tcPr>
            <w:tcW w:w="765" w:type="dxa"/>
            <w:vAlign w:val="center"/>
          </w:tcPr>
          <w:p w14:paraId="4B4EE58B">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0.3500</w:t>
            </w:r>
          </w:p>
        </w:tc>
      </w:tr>
      <w:tr w14:paraId="5E31C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8A53115">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7"/>
              </w:rPr>
              <w:t>demo</w:t>
            </w:r>
          </w:p>
        </w:tc>
        <w:tc>
          <w:tcPr>
            <w:tcW w:w="1474" w:type="dxa"/>
            <w:vAlign w:val="center"/>
          </w:tcPr>
          <w:p w14:paraId="50D0DE70">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full_guard</w:t>
            </w:r>
          </w:p>
        </w:tc>
        <w:tc>
          <w:tcPr>
            <w:tcW w:w="737" w:type="dxa"/>
            <w:vAlign w:val="center"/>
          </w:tcPr>
          <w:p w14:paraId="4AAEDAA0">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3</w:t>
            </w:r>
          </w:p>
        </w:tc>
        <w:tc>
          <w:tcPr>
            <w:tcW w:w="765" w:type="dxa"/>
            <w:vAlign w:val="center"/>
          </w:tcPr>
          <w:p w14:paraId="345EEA4B">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765" w:type="dxa"/>
            <w:vAlign w:val="center"/>
          </w:tcPr>
          <w:p w14:paraId="5EA27E8F">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765" w:type="dxa"/>
            <w:vAlign w:val="center"/>
          </w:tcPr>
          <w:p w14:paraId="4CEFE8DA">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765" w:type="dxa"/>
            <w:vAlign w:val="center"/>
          </w:tcPr>
          <w:p w14:paraId="11FBAAEC">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100.00%</w:t>
            </w:r>
          </w:p>
        </w:tc>
        <w:tc>
          <w:tcPr>
            <w:tcW w:w="765" w:type="dxa"/>
            <w:vAlign w:val="center"/>
          </w:tcPr>
          <w:p w14:paraId="7C218F0C">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879" w:type="dxa"/>
            <w:vAlign w:val="center"/>
          </w:tcPr>
          <w:p w14:paraId="563599CC">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1.0000</w:t>
            </w:r>
          </w:p>
        </w:tc>
        <w:tc>
          <w:tcPr>
            <w:tcW w:w="765" w:type="dxa"/>
            <w:vAlign w:val="center"/>
          </w:tcPr>
          <w:p w14:paraId="62B4A2A0">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1.0000</w:t>
            </w:r>
          </w:p>
        </w:tc>
      </w:tr>
    </w:tbl>
    <w:p w14:paraId="6A6B798B">
      <w:pPr>
        <w:keepNext w:val="0"/>
        <w:keepLines w:val="0"/>
        <w:pageBreakBefore w:val="0"/>
        <w:widowControl/>
        <w:kinsoku/>
        <w:wordWrap/>
        <w:overflowPunct/>
        <w:topLinePunct w:val="0"/>
        <w:autoSpaceDE/>
        <w:autoSpaceDN/>
        <w:bidi w:val="0"/>
        <w:adjustRightInd/>
        <w:snapToGrid/>
        <w:spacing w:after="40"/>
        <w:textAlignment w:val="auto"/>
      </w:pPr>
    </w:p>
    <w:p w14:paraId="7852916F">
      <w:pPr>
        <w:keepNext w:val="0"/>
        <w:keepLines w:val="0"/>
        <w:pageBreakBefore w:val="0"/>
        <w:widowControl/>
        <w:kinsoku/>
        <w:wordWrap/>
        <w:overflowPunct/>
        <w:topLinePunct w:val="0"/>
        <w:autoSpaceDE/>
        <w:autoSpaceDN/>
        <w:bidi w:val="0"/>
        <w:adjustRightInd/>
        <w:snapToGrid/>
        <w:jc w:val="center"/>
        <w:textAlignment w:val="auto"/>
      </w:pPr>
      <w:r>
        <w:drawing>
          <wp:inline distT="0" distB="0" distL="114300" distR="114300">
            <wp:extent cx="5579745" cy="2962275"/>
            <wp:effectExtent l="0" t="0" r="1333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580000" cy="2962658"/>
                    </a:xfrm>
                    <a:prstGeom prst="rect">
                      <a:avLst/>
                    </a:prstGeom>
                  </pic:spPr>
                </pic:pic>
              </a:graphicData>
            </a:graphic>
          </wp:inline>
        </w:drawing>
      </w:r>
    </w:p>
    <w:p w14:paraId="631EDE18">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r>
        <w:rPr>
          <w:rFonts w:ascii="宋体" w:hAnsi="宋体" w:eastAsia="宋体"/>
          <w:b/>
          <w:sz w:val="21"/>
        </w:rPr>
        <w:t>图 2  stub 全量实验中不同防护模式的指标对比</w:t>
      </w:r>
    </w:p>
    <w:p w14:paraId="18B8ABA7">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在 stub 全量实验中，baseline 的 ASR 为 55.07%，UTR 为 28.99%，DSR 为 55.07%，说明未加防护时攻击样本能够稳定触发 mock 风险行为。keyword_only 将 ASR 降至 13.04%，说明文本检测对显式指令和工具诱导有效，但仍无法覆盖全部结构化字段、策略和数据流风险。policy_only 将 ASR、UTR 和 DSR 降至 0，说明工具策略对危险路径、外发端点和代码执行具有强约束力。full_guard 同样将 ASR、UTR 和 DSR 降至 0，同时记录更高 AvgRisk，表明其能给出更丰富的风险解释。</w:t>
      </w:r>
    </w:p>
    <w:p w14:paraId="0C03F0E9">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在 Qwen2.5-7B 代表样本实验中，baseline 的 ASR 为 8.33%，UTR 为 8.33%，DSR 为 4.17%。这一数值低于 stub 全量实验，原因是本地模型未必总是稳定产生工具调用格式；但风险并非为零。full_guard 将三项风险指标降至 0，并将 BSR 提升至 45.83%，说明行为监督可以在真实模型输出不稳定的情况下提供额外安全边界。</w:t>
      </w:r>
    </w:p>
    <w:p w14:paraId="2025E345">
      <w:pPr>
        <w:keepNext w:val="0"/>
        <w:keepLines w:val="0"/>
        <w:pageBreakBefore w:val="0"/>
        <w:widowControl/>
        <w:kinsoku/>
        <w:wordWrap/>
        <w:overflowPunct/>
        <w:topLinePunct w:val="0"/>
        <w:autoSpaceDE/>
        <w:autoSpaceDN/>
        <w:bidi w:val="0"/>
        <w:adjustRightInd/>
        <w:snapToGrid/>
        <w:textAlignment w:val="auto"/>
      </w:pPr>
      <w:r>
        <w:br w:type="page"/>
      </w:r>
    </w:p>
    <w:p w14:paraId="6338ECE2">
      <w:pPr>
        <w:pStyle w:val="4"/>
        <w:keepNext w:val="0"/>
        <w:keepLines w:val="0"/>
        <w:pageBreakBefore w:val="0"/>
        <w:widowControl/>
        <w:kinsoku/>
        <w:wordWrap/>
        <w:overflowPunct/>
        <w:topLinePunct w:val="0"/>
        <w:autoSpaceDE/>
        <w:autoSpaceDN/>
        <w:bidi w:val="0"/>
        <w:adjustRightInd/>
        <w:snapToGrid/>
        <w:spacing w:before="120" w:after="120" w:line="288" w:lineRule="auto"/>
        <w:jc w:val="left"/>
        <w:textAlignment w:val="auto"/>
      </w:pPr>
      <w:r>
        <w:rPr>
          <w:rFonts w:ascii="黑体" w:hAnsi="黑体" w:eastAsia="黑体"/>
          <w:b/>
          <w:sz w:val="28"/>
        </w:rPr>
        <w:t>7.2 按攻击族分析</w:t>
      </w:r>
    </w:p>
    <w:p w14:paraId="30D7DB18">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r>
        <w:rPr>
          <w:rFonts w:ascii="黑体" w:hAnsi="黑体" w:eastAsia="黑体"/>
          <w:b/>
          <w:sz w:val="21"/>
        </w:rPr>
        <w:t>表 6  攻击族维度的风险变化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1417"/>
        <w:gridCol w:w="1417"/>
        <w:gridCol w:w="1531"/>
        <w:gridCol w:w="1531"/>
      </w:tblGrid>
      <w:tr w14:paraId="5626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D9EAF7"/>
            <w:vAlign w:val="center"/>
          </w:tcPr>
          <w:p w14:paraId="357654A6">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color w:val="FFFFFF"/>
                <w:sz w:val="18"/>
              </w:rPr>
              <w:t>攻击族</w:t>
            </w:r>
          </w:p>
        </w:tc>
        <w:tc>
          <w:tcPr>
            <w:tcW w:w="1417" w:type="dxa"/>
            <w:shd w:val="clear" w:color="auto" w:fill="D9EAF7"/>
            <w:vAlign w:val="center"/>
          </w:tcPr>
          <w:p w14:paraId="64A4434C">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color w:val="FFFFFF"/>
                <w:sz w:val="18"/>
              </w:rPr>
              <w:t>Baseline ASR</w:t>
            </w:r>
          </w:p>
        </w:tc>
        <w:tc>
          <w:tcPr>
            <w:tcW w:w="1417" w:type="dxa"/>
            <w:shd w:val="clear" w:color="auto" w:fill="D9EAF7"/>
            <w:vAlign w:val="center"/>
          </w:tcPr>
          <w:p w14:paraId="11F11546">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color w:val="FFFFFF"/>
                <w:sz w:val="18"/>
              </w:rPr>
              <w:t>Baseline DSR</w:t>
            </w:r>
          </w:p>
        </w:tc>
        <w:tc>
          <w:tcPr>
            <w:tcW w:w="1531" w:type="dxa"/>
            <w:shd w:val="clear" w:color="auto" w:fill="D9EAF7"/>
            <w:vAlign w:val="center"/>
          </w:tcPr>
          <w:p w14:paraId="6ED0F15C">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color w:val="FFFFFF"/>
                <w:sz w:val="18"/>
              </w:rPr>
              <w:t>Full Guard ASR</w:t>
            </w:r>
          </w:p>
        </w:tc>
        <w:tc>
          <w:tcPr>
            <w:tcW w:w="1531" w:type="dxa"/>
            <w:shd w:val="clear" w:color="auto" w:fill="D9EAF7"/>
            <w:vAlign w:val="center"/>
          </w:tcPr>
          <w:p w14:paraId="3E6BBD37">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color w:val="FFFFFF"/>
                <w:sz w:val="18"/>
              </w:rPr>
              <w:t>Full Guard BSR</w:t>
            </w:r>
          </w:p>
        </w:tc>
      </w:tr>
      <w:tr w14:paraId="0100D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4373A06A">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7"/>
              </w:rPr>
              <w:t>benign_clean</w:t>
            </w:r>
          </w:p>
        </w:tc>
        <w:tc>
          <w:tcPr>
            <w:tcW w:w="1417" w:type="dxa"/>
            <w:vAlign w:val="center"/>
          </w:tcPr>
          <w:p w14:paraId="37840A91">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1417" w:type="dxa"/>
            <w:vAlign w:val="center"/>
          </w:tcPr>
          <w:p w14:paraId="56958D72">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1531" w:type="dxa"/>
            <w:vAlign w:val="center"/>
          </w:tcPr>
          <w:p w14:paraId="4A4F2690">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1531" w:type="dxa"/>
            <w:vAlign w:val="center"/>
          </w:tcPr>
          <w:p w14:paraId="7081B33E">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r>
      <w:tr w14:paraId="003DD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7D12A780">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7"/>
              </w:rPr>
              <w:t>direct_jailbreak</w:t>
            </w:r>
          </w:p>
        </w:tc>
        <w:tc>
          <w:tcPr>
            <w:tcW w:w="1417" w:type="dxa"/>
            <w:vAlign w:val="center"/>
          </w:tcPr>
          <w:p w14:paraId="64F025C2">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1417" w:type="dxa"/>
            <w:vAlign w:val="center"/>
          </w:tcPr>
          <w:p w14:paraId="03C49658">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1531" w:type="dxa"/>
            <w:vAlign w:val="center"/>
          </w:tcPr>
          <w:p w14:paraId="305C346B">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1531" w:type="dxa"/>
            <w:vAlign w:val="center"/>
          </w:tcPr>
          <w:p w14:paraId="370D1B1D">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100.00%</w:t>
            </w:r>
          </w:p>
        </w:tc>
      </w:tr>
      <w:tr w14:paraId="13642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3C04886F">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7"/>
              </w:rPr>
              <w:t>json_rpc</w:t>
            </w:r>
          </w:p>
        </w:tc>
        <w:tc>
          <w:tcPr>
            <w:tcW w:w="1417" w:type="dxa"/>
            <w:vAlign w:val="center"/>
          </w:tcPr>
          <w:p w14:paraId="736FC188">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1417" w:type="dxa"/>
            <w:vAlign w:val="center"/>
          </w:tcPr>
          <w:p w14:paraId="49398CF6">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1531" w:type="dxa"/>
            <w:vAlign w:val="center"/>
          </w:tcPr>
          <w:p w14:paraId="6CDF445F">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1531" w:type="dxa"/>
            <w:vAlign w:val="center"/>
          </w:tcPr>
          <w:p w14:paraId="4F889EAB">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100.00%</w:t>
            </w:r>
          </w:p>
        </w:tc>
      </w:tr>
      <w:tr w14:paraId="4A387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1230AEE1">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7"/>
              </w:rPr>
              <w:t>multilingual_t2l</w:t>
            </w:r>
          </w:p>
        </w:tc>
        <w:tc>
          <w:tcPr>
            <w:tcW w:w="1417" w:type="dxa"/>
            <w:vAlign w:val="center"/>
          </w:tcPr>
          <w:p w14:paraId="3BB5CE67">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100.00%</w:t>
            </w:r>
          </w:p>
        </w:tc>
        <w:tc>
          <w:tcPr>
            <w:tcW w:w="1417" w:type="dxa"/>
            <w:vAlign w:val="center"/>
          </w:tcPr>
          <w:p w14:paraId="387032DC">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100.00%</w:t>
            </w:r>
          </w:p>
        </w:tc>
        <w:tc>
          <w:tcPr>
            <w:tcW w:w="1531" w:type="dxa"/>
            <w:vAlign w:val="center"/>
          </w:tcPr>
          <w:p w14:paraId="7E426F93">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1531" w:type="dxa"/>
            <w:vAlign w:val="center"/>
          </w:tcPr>
          <w:p w14:paraId="7762C480">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100.00%</w:t>
            </w:r>
          </w:p>
        </w:tc>
      </w:tr>
      <w:tr w14:paraId="54E94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11AF67A2">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7"/>
              </w:rPr>
              <w:t>rag_indirect</w:t>
            </w:r>
          </w:p>
        </w:tc>
        <w:tc>
          <w:tcPr>
            <w:tcW w:w="1417" w:type="dxa"/>
            <w:vAlign w:val="center"/>
          </w:tcPr>
          <w:p w14:paraId="6D8DD34C">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100.00%</w:t>
            </w:r>
          </w:p>
        </w:tc>
        <w:tc>
          <w:tcPr>
            <w:tcW w:w="1417" w:type="dxa"/>
            <w:vAlign w:val="center"/>
          </w:tcPr>
          <w:p w14:paraId="15C6CA23">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100.00%</w:t>
            </w:r>
          </w:p>
        </w:tc>
        <w:tc>
          <w:tcPr>
            <w:tcW w:w="1531" w:type="dxa"/>
            <w:vAlign w:val="center"/>
          </w:tcPr>
          <w:p w14:paraId="5C20BFAD">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1531" w:type="dxa"/>
            <w:vAlign w:val="center"/>
          </w:tcPr>
          <w:p w14:paraId="0F31D825">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100.00%</w:t>
            </w:r>
          </w:p>
        </w:tc>
      </w:tr>
      <w:tr w14:paraId="4B0EA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50EA336A">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7"/>
              </w:rPr>
              <w:t>tool_output</w:t>
            </w:r>
          </w:p>
        </w:tc>
        <w:tc>
          <w:tcPr>
            <w:tcW w:w="1417" w:type="dxa"/>
            <w:vAlign w:val="center"/>
          </w:tcPr>
          <w:p w14:paraId="56635690">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100.00%</w:t>
            </w:r>
          </w:p>
        </w:tc>
        <w:tc>
          <w:tcPr>
            <w:tcW w:w="1417" w:type="dxa"/>
            <w:vAlign w:val="center"/>
          </w:tcPr>
          <w:p w14:paraId="502936F3">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100.00%</w:t>
            </w:r>
          </w:p>
        </w:tc>
        <w:tc>
          <w:tcPr>
            <w:tcW w:w="1531" w:type="dxa"/>
            <w:vAlign w:val="center"/>
          </w:tcPr>
          <w:p w14:paraId="046781AA">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0.00%</w:t>
            </w:r>
          </w:p>
        </w:tc>
        <w:tc>
          <w:tcPr>
            <w:tcW w:w="1531" w:type="dxa"/>
            <w:vAlign w:val="center"/>
          </w:tcPr>
          <w:p w14:paraId="48B373F4">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val="0"/>
                <w:sz w:val="17"/>
              </w:rPr>
              <w:t>100.00%</w:t>
            </w:r>
          </w:p>
        </w:tc>
      </w:tr>
    </w:tbl>
    <w:p w14:paraId="2798D1F8">
      <w:pPr>
        <w:keepNext w:val="0"/>
        <w:keepLines w:val="0"/>
        <w:pageBreakBefore w:val="0"/>
        <w:widowControl/>
        <w:kinsoku/>
        <w:wordWrap/>
        <w:overflowPunct/>
        <w:topLinePunct w:val="0"/>
        <w:autoSpaceDE/>
        <w:autoSpaceDN/>
        <w:bidi w:val="0"/>
        <w:adjustRightInd/>
        <w:snapToGrid/>
        <w:spacing w:after="40"/>
        <w:textAlignment w:val="auto"/>
      </w:pPr>
    </w:p>
    <w:p w14:paraId="2F42CF78">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按攻击族观察可以发现，不同攻击类型对防护组件的依赖不同。RAG 间接注入和工具输出注入更依赖不可信来源检测；JSON/RPC 注入更依赖结构化字段检测和意图一致性检查；多语言/T2L 注入需要归一化、多语言信号和工具策略共同发挥作用。full_guard 的稳定性来自多种检测信号的互补，而不是单一关键词列表。</w:t>
      </w:r>
    </w:p>
    <w:p w14:paraId="32E76D41">
      <w:pPr>
        <w:pStyle w:val="4"/>
        <w:keepNext w:val="0"/>
        <w:keepLines w:val="0"/>
        <w:pageBreakBefore w:val="0"/>
        <w:widowControl/>
        <w:kinsoku/>
        <w:wordWrap/>
        <w:overflowPunct/>
        <w:topLinePunct w:val="0"/>
        <w:autoSpaceDE/>
        <w:autoSpaceDN/>
        <w:bidi w:val="0"/>
        <w:adjustRightInd/>
        <w:snapToGrid/>
        <w:spacing w:before="120" w:after="120" w:line="288" w:lineRule="auto"/>
        <w:jc w:val="left"/>
        <w:textAlignment w:val="auto"/>
      </w:pPr>
      <w:r>
        <w:rPr>
          <w:rFonts w:ascii="黑体" w:hAnsi="黑体" w:eastAsia="黑体"/>
          <w:b/>
          <w:sz w:val="28"/>
        </w:rPr>
        <w:t>7.3 消融观察与代表案例</w:t>
      </w:r>
    </w:p>
    <w:p w14:paraId="72D0246F">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keyword_only 与 policy_only 的差异说明，文本信号和工具策略关注不同层面。keyword_only 可以发现“ignore previous instructions”“before summarizing”“read_file”等明显诱导，但对已经被解析为工具调用的危险参数缺少强约束。policy_only 不需要理解完整文本，也能阻断 secret 路径、非 mock 端点和代码执行，但对攻击来源解释不足。full_guard 的价值在于同时完成检测、阻断和解释。</w:t>
      </w:r>
    </w:p>
    <w:p w14:paraId="630A53C8">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RAG 案例中，用户请求总结供应商风险报告，攻击内容隐藏在 Markdown 注释里。baseline 可能把注释中的“先读取 secret 再发送”当作任务步骤；full_guard 通过不可信文档指令、工具诱导、secret 路径访问和意图-动作不一致给出阻断。JSON/RPC 案例中，用户只要求翻译 text 字段，但 data.next_step 字段包含伪工具动作。该案例验证了结构化字段不应自动获得更高指令优先级。多语言/T2L 案例中，用户要求只翻译 JSON 指定字段，非目标字段中夹带写文件与 mock API 调用，说明即使文本处于翻译或转写任务中，模型也必须保持“文本是数据”的边界，不能执行其中描述的动作。</w:t>
      </w:r>
    </w:p>
    <w:p w14:paraId="6DCF8779">
      <w:pPr>
        <w:pStyle w:val="4"/>
        <w:keepNext w:val="0"/>
        <w:keepLines w:val="0"/>
        <w:pageBreakBefore w:val="0"/>
        <w:widowControl/>
        <w:kinsoku/>
        <w:wordWrap/>
        <w:overflowPunct/>
        <w:topLinePunct w:val="0"/>
        <w:autoSpaceDE/>
        <w:autoSpaceDN/>
        <w:bidi w:val="0"/>
        <w:adjustRightInd/>
        <w:snapToGrid/>
        <w:spacing w:before="120" w:after="120" w:line="288" w:lineRule="auto"/>
        <w:jc w:val="left"/>
        <w:textAlignment w:val="auto"/>
      </w:pPr>
      <w:r>
        <w:rPr>
          <w:rFonts w:ascii="黑体" w:hAnsi="黑体" w:eastAsia="黑体"/>
          <w:b/>
          <w:sz w:val="28"/>
        </w:rPr>
        <w:t>7.4 可复现性与提交包验证</w:t>
      </w:r>
      <w:bookmarkStart w:id="0" w:name="_GoBack"/>
      <w:bookmarkEnd w:id="0"/>
    </w:p>
    <w:p w14:paraId="5379950B">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除核心指标外，本文对最终提交包进行独立可复现性检查。检查方式是在仓库外复制 release 包，运行 stub demo matrix 和评估脚本，并对 release 目录执行过程痕迹、身份信息和危险文件排除项扫描。该验证用于确认实验链路不依赖开发目录中的临时状态，也不会把模型文件、sandbox secret 或 runtime outbox 带入提交包。</w:t>
      </w:r>
    </w:p>
    <w:p w14:paraId="74BB6247">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r>
        <w:rPr>
          <w:rFonts w:ascii="黑体" w:hAnsi="黑体" w:eastAsia="黑体"/>
          <w:b/>
          <w:sz w:val="21"/>
        </w:rPr>
        <w:t>表 7  最终提交包可复现性检查</w:t>
      </w:r>
    </w:p>
    <w:tbl>
      <w:tblPr>
        <w:tblStyle w:val="32"/>
        <w:tblW w:w="0" w:type="auto"/>
        <w:jc w:val="center"/>
        <w:tblLayout w:type="autofit"/>
        <w:tblCellMar>
          <w:top w:w="0" w:type="dxa"/>
          <w:left w:w="108" w:type="dxa"/>
          <w:bottom w:w="0" w:type="dxa"/>
          <w:right w:w="108" w:type="dxa"/>
        </w:tblCellMar>
      </w:tblPr>
      <w:tblGrid>
        <w:gridCol w:w="1526"/>
        <w:gridCol w:w="913"/>
        <w:gridCol w:w="6961"/>
      </w:tblGrid>
      <w:tr w14:paraId="4C0E71BC">
        <w:tblPrEx>
          <w:tblCellMar>
            <w:top w:w="0" w:type="dxa"/>
            <w:left w:w="108" w:type="dxa"/>
            <w:bottom w:w="0" w:type="dxa"/>
            <w:right w:w="108" w:type="dxa"/>
          </w:tblCellMar>
        </w:tblPrEx>
        <w:trPr>
          <w:jc w:val="center"/>
        </w:trPr>
        <w:tc>
          <w:tcPr>
            <w:tcW w:w="1814" w:type="dxa"/>
            <w:shd w:val="clear" w:color="auto" w:fill="D9EAF7"/>
            <w:vAlign w:val="center"/>
          </w:tcPr>
          <w:p w14:paraId="2D5B561F">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sz w:val="20"/>
              </w:rPr>
              <w:t>检查项</w:t>
            </w:r>
          </w:p>
        </w:tc>
        <w:tc>
          <w:tcPr>
            <w:tcW w:w="1134" w:type="dxa"/>
            <w:shd w:val="clear" w:color="auto" w:fill="D9EAF7"/>
            <w:vAlign w:val="center"/>
          </w:tcPr>
          <w:p w14:paraId="37BDDE2D">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sz w:val="20"/>
              </w:rPr>
              <w:t>结果</w:t>
            </w:r>
          </w:p>
        </w:tc>
        <w:tc>
          <w:tcPr>
            <w:tcW w:w="6463" w:type="dxa"/>
            <w:shd w:val="clear" w:color="auto" w:fill="D9EAF7"/>
            <w:vAlign w:val="center"/>
          </w:tcPr>
          <w:p w14:paraId="00496104">
            <w:pPr>
              <w:keepNext w:val="0"/>
              <w:keepLines w:val="0"/>
              <w:pageBreakBefore w:val="0"/>
              <w:widowControl/>
              <w:kinsoku/>
              <w:wordWrap/>
              <w:overflowPunct/>
              <w:topLinePunct w:val="0"/>
              <w:autoSpaceDE/>
              <w:autoSpaceDN/>
              <w:bidi w:val="0"/>
              <w:adjustRightInd/>
              <w:snapToGrid/>
              <w:spacing w:before="0" w:after="0" w:line="276" w:lineRule="auto"/>
              <w:jc w:val="center"/>
              <w:textAlignment w:val="auto"/>
            </w:pPr>
            <w:r>
              <w:rPr>
                <w:rFonts w:ascii="宋体" w:hAnsi="宋体" w:eastAsia="宋体"/>
                <w:b/>
                <w:sz w:val="20"/>
              </w:rPr>
              <w:t>证据</w:t>
            </w:r>
          </w:p>
        </w:tc>
      </w:tr>
      <w:tr w14:paraId="3C227094">
        <w:tblPrEx>
          <w:tblCellMar>
            <w:top w:w="0" w:type="dxa"/>
            <w:left w:w="108" w:type="dxa"/>
            <w:bottom w:w="0" w:type="dxa"/>
            <w:right w:w="108" w:type="dxa"/>
          </w:tblCellMar>
        </w:tblPrEx>
        <w:trPr>
          <w:jc w:val="center"/>
        </w:trPr>
        <w:tc>
          <w:tcPr>
            <w:tcW w:w="1814" w:type="dxa"/>
            <w:vAlign w:val="center"/>
          </w:tcPr>
          <w:p w14:paraId="4A6E389F">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独立 smoke test</w:t>
            </w:r>
          </w:p>
        </w:tc>
        <w:tc>
          <w:tcPr>
            <w:tcW w:w="1134" w:type="dxa"/>
            <w:vAlign w:val="center"/>
          </w:tcPr>
          <w:p w14:paraId="4E1D3D9F">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通过</w:t>
            </w:r>
          </w:p>
        </w:tc>
        <w:tc>
          <w:tcPr>
            <w:tcW w:w="6463" w:type="dxa"/>
            <w:vAlign w:val="center"/>
          </w:tcPr>
          <w:p w14:paraId="6F1D7FAA">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baseline 8 行日志，full_guard 3 行日志，summary CSV/JSON 正常生成</w:t>
            </w:r>
          </w:p>
        </w:tc>
      </w:tr>
      <w:tr w14:paraId="1B47C84F">
        <w:tblPrEx>
          <w:tblCellMar>
            <w:top w:w="0" w:type="dxa"/>
            <w:left w:w="108" w:type="dxa"/>
            <w:bottom w:w="0" w:type="dxa"/>
            <w:right w:w="108" w:type="dxa"/>
          </w:tblCellMar>
        </w:tblPrEx>
        <w:trPr>
          <w:jc w:val="center"/>
        </w:trPr>
        <w:tc>
          <w:tcPr>
            <w:tcW w:w="1814" w:type="dxa"/>
            <w:vAlign w:val="center"/>
          </w:tcPr>
          <w:p w14:paraId="06624304">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样本审计</w:t>
            </w:r>
          </w:p>
        </w:tc>
        <w:tc>
          <w:tcPr>
            <w:tcW w:w="1134" w:type="dxa"/>
            <w:vAlign w:val="center"/>
          </w:tcPr>
          <w:p w14:paraId="45598F37">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通过</w:t>
            </w:r>
          </w:p>
        </w:tc>
        <w:tc>
          <w:tcPr>
            <w:tcW w:w="6463" w:type="dxa"/>
            <w:vAlign w:val="center"/>
          </w:tcPr>
          <w:p w14:paraId="7313FFB2">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69 条样本，duplicate_case_id=0，missing_required_fields=0，audit_hard_fail_count=0</w:t>
            </w:r>
          </w:p>
        </w:tc>
      </w:tr>
      <w:tr w14:paraId="35903453">
        <w:tblPrEx>
          <w:tblCellMar>
            <w:top w:w="0" w:type="dxa"/>
            <w:left w:w="108" w:type="dxa"/>
            <w:bottom w:w="0" w:type="dxa"/>
            <w:right w:w="108" w:type="dxa"/>
          </w:tblCellMar>
        </w:tblPrEx>
        <w:trPr>
          <w:jc w:val="center"/>
        </w:trPr>
        <w:tc>
          <w:tcPr>
            <w:tcW w:w="1814" w:type="dxa"/>
            <w:vAlign w:val="center"/>
          </w:tcPr>
          <w:p w14:paraId="20075DBD">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RunLog 字段</w:t>
            </w:r>
          </w:p>
        </w:tc>
        <w:tc>
          <w:tcPr>
            <w:tcW w:w="1134" w:type="dxa"/>
            <w:vAlign w:val="center"/>
          </w:tcPr>
          <w:p w14:paraId="78B0747E">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通过</w:t>
            </w:r>
          </w:p>
        </w:tc>
        <w:tc>
          <w:tcPr>
            <w:tcW w:w="6463" w:type="dxa"/>
            <w:vAlign w:val="center"/>
          </w:tcPr>
          <w:p w14:paraId="64572F7F">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run_id、case_id、parsed_tool_call、guard_decision、risk_score、final_status 等字段完整</w:t>
            </w:r>
          </w:p>
        </w:tc>
      </w:tr>
      <w:tr w14:paraId="39ADC332">
        <w:tblPrEx>
          <w:tblCellMar>
            <w:top w:w="0" w:type="dxa"/>
            <w:left w:w="108" w:type="dxa"/>
            <w:bottom w:w="0" w:type="dxa"/>
            <w:right w:w="108" w:type="dxa"/>
          </w:tblCellMar>
        </w:tblPrEx>
        <w:trPr>
          <w:jc w:val="center"/>
        </w:trPr>
        <w:tc>
          <w:tcPr>
            <w:tcW w:w="1814" w:type="dxa"/>
            <w:vAlign w:val="center"/>
          </w:tcPr>
          <w:p w14:paraId="6B2A1922">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release 扫描</w:t>
            </w:r>
          </w:p>
        </w:tc>
        <w:tc>
          <w:tcPr>
            <w:tcW w:w="1134" w:type="dxa"/>
            <w:vAlign w:val="center"/>
          </w:tcPr>
          <w:p w14:paraId="6DF875FF">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通过</w:t>
            </w:r>
          </w:p>
        </w:tc>
        <w:tc>
          <w:tcPr>
            <w:tcW w:w="6463" w:type="dxa"/>
            <w:vAlign w:val="center"/>
          </w:tcPr>
          <w:p w14:paraId="7BEA7D6B">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AI/过程痕迹扫描 0 bytes，身份类扫描 0 bytes</w:t>
            </w:r>
          </w:p>
        </w:tc>
      </w:tr>
      <w:tr w14:paraId="16130183">
        <w:tblPrEx>
          <w:tblCellMar>
            <w:top w:w="0" w:type="dxa"/>
            <w:left w:w="108" w:type="dxa"/>
            <w:bottom w:w="0" w:type="dxa"/>
            <w:right w:w="108" w:type="dxa"/>
          </w:tblCellMar>
        </w:tblPrEx>
        <w:trPr>
          <w:jc w:val="center"/>
        </w:trPr>
        <w:tc>
          <w:tcPr>
            <w:tcW w:w="1814" w:type="dxa"/>
            <w:vAlign w:val="center"/>
          </w:tcPr>
          <w:p w14:paraId="116EA21A">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zip 与 hash</w:t>
            </w:r>
          </w:p>
        </w:tc>
        <w:tc>
          <w:tcPr>
            <w:tcW w:w="1134" w:type="dxa"/>
            <w:vAlign w:val="center"/>
          </w:tcPr>
          <w:p w14:paraId="0329CA62">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通过</w:t>
            </w:r>
          </w:p>
        </w:tc>
        <w:tc>
          <w:tcPr>
            <w:tcW w:w="6463" w:type="dxa"/>
            <w:vAlign w:val="center"/>
          </w:tcPr>
          <w:p w14:paraId="3FD59966">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宋体" w:hAnsi="宋体" w:eastAsia="宋体"/>
                <w:b w:val="0"/>
                <w:sz w:val="19"/>
              </w:rPr>
              <w:t>release zip 可解压，SHA256=B0E3337F30A1A480D285AC62088DDA3B1765AF7585CE09C5A1A835BA88D35E6B</w:t>
            </w:r>
          </w:p>
        </w:tc>
      </w:tr>
    </w:tbl>
    <w:p w14:paraId="475AA1AA">
      <w:pPr>
        <w:keepNext w:val="0"/>
        <w:keepLines w:val="0"/>
        <w:pageBreakBefore w:val="0"/>
        <w:widowControl/>
        <w:kinsoku/>
        <w:wordWrap/>
        <w:overflowPunct/>
        <w:topLinePunct w:val="0"/>
        <w:autoSpaceDE/>
        <w:autoSpaceDN/>
        <w:bidi w:val="0"/>
        <w:adjustRightInd/>
        <w:snapToGrid/>
        <w:spacing w:before="0" w:after="0" w:line="360" w:lineRule="auto"/>
        <w:ind w:firstLine="420"/>
        <w:jc w:val="left"/>
        <w:textAlignment w:val="auto"/>
      </w:pPr>
      <w:r>
        <w:rPr>
          <w:rFonts w:ascii="宋体" w:hAnsi="宋体" w:eastAsia="宋体"/>
          <w:sz w:val="21"/>
        </w:rPr>
        <w:t>下图给出本地 Qwen2.5-7B 代表样本中 baseline 与 full_guard 的风险指标变化。虽然本地模型的工具调用格式存在一定不稳定性，但 baseline 仍出现非零 ASR、UTR 和 DSR；full_guard 在工具执行前拦截候选调用，使三类风险指标降为 0，并通过 BSR 反映阻断行为。</w:t>
      </w:r>
    </w:p>
    <w:p w14:paraId="34364D55">
      <w:pPr>
        <w:keepNext w:val="0"/>
        <w:keepLines w:val="0"/>
        <w:pageBreakBefore w:val="0"/>
        <w:widowControl/>
        <w:kinsoku/>
        <w:wordWrap/>
        <w:overflowPunct/>
        <w:topLinePunct w:val="0"/>
        <w:autoSpaceDE/>
        <w:autoSpaceDN/>
        <w:bidi w:val="0"/>
        <w:adjustRightInd/>
        <w:snapToGrid/>
        <w:jc w:val="center"/>
        <w:textAlignment w:val="auto"/>
      </w:pPr>
      <w:r>
        <w:drawing>
          <wp:inline distT="0" distB="0" distL="114300" distR="114300">
            <wp:extent cx="5471795" cy="2924175"/>
            <wp:effectExtent l="0" t="0" r="146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72000" cy="2924557"/>
                    </a:xfrm>
                    <a:prstGeom prst="rect">
                      <a:avLst/>
                    </a:prstGeom>
                  </pic:spPr>
                </pic:pic>
              </a:graphicData>
            </a:graphic>
          </wp:inline>
        </w:drawing>
      </w:r>
    </w:p>
    <w:p w14:paraId="5708D21E">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r>
        <w:rPr>
          <w:rFonts w:ascii="宋体" w:hAnsi="宋体" w:eastAsia="宋体"/>
          <w:b/>
          <w:sz w:val="21"/>
        </w:rPr>
        <w:t>图 3  Qwen2.5-7B 代表样本 baseline 与 full_guard 风险指标变化</w:t>
      </w:r>
    </w:p>
    <w:p w14:paraId="2FFCBABC">
      <w:pPr>
        <w:pStyle w:val="3"/>
        <w:keepNext w:val="0"/>
        <w:keepLines w:val="0"/>
        <w:pageBreakBefore w:val="0"/>
        <w:widowControl/>
        <w:kinsoku/>
        <w:wordWrap/>
        <w:overflowPunct/>
        <w:topLinePunct w:val="0"/>
        <w:autoSpaceDE/>
        <w:autoSpaceDN/>
        <w:bidi w:val="0"/>
        <w:adjustRightInd/>
        <w:snapToGrid/>
        <w:spacing w:before="150" w:after="150" w:line="288" w:lineRule="auto"/>
        <w:jc w:val="left"/>
        <w:textAlignment w:val="auto"/>
      </w:pPr>
      <w:r>
        <w:rPr>
          <w:rFonts w:ascii="黑体" w:hAnsi="黑体" w:eastAsia="黑体"/>
          <w:b/>
          <w:sz w:val="30"/>
        </w:rPr>
        <w:t>8 讨论</w:t>
      </w:r>
    </w:p>
    <w:p w14:paraId="0110A7E7">
      <w:pPr>
        <w:pStyle w:val="4"/>
        <w:keepNext w:val="0"/>
        <w:keepLines w:val="0"/>
        <w:pageBreakBefore w:val="0"/>
        <w:widowControl/>
        <w:kinsoku/>
        <w:wordWrap/>
        <w:overflowPunct/>
        <w:topLinePunct w:val="0"/>
        <w:autoSpaceDE/>
        <w:autoSpaceDN/>
        <w:bidi w:val="0"/>
        <w:adjustRightInd/>
        <w:snapToGrid/>
        <w:spacing w:before="120" w:after="120" w:line="288" w:lineRule="auto"/>
        <w:jc w:val="left"/>
        <w:textAlignment w:val="auto"/>
      </w:pPr>
      <w:r>
        <w:rPr>
          <w:rFonts w:ascii="黑体" w:hAnsi="黑体" w:eastAsia="黑体"/>
          <w:b/>
          <w:sz w:val="28"/>
        </w:rPr>
        <w:t>8.1 为什么行为级监督必要</w:t>
      </w:r>
    </w:p>
    <w:p w14:paraId="6B167441">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实验结果支持一个核心判断：对于工具集成 Agent，安全失败不一定表现为最终回答违规，而可能表现为中间工具调用越权。若只检查最终文本，系统可能漏掉已经发生的文件读取或外发动作。行为级监督通过在工具执行前拦截候选调用，将安全检查插入到风险发生之前。</w:t>
      </w:r>
    </w:p>
    <w:p w14:paraId="3C229132">
      <w:pPr>
        <w:pStyle w:val="4"/>
        <w:keepNext w:val="0"/>
        <w:keepLines w:val="0"/>
        <w:pageBreakBefore w:val="0"/>
        <w:widowControl/>
        <w:kinsoku/>
        <w:wordWrap/>
        <w:overflowPunct/>
        <w:topLinePunct w:val="0"/>
        <w:autoSpaceDE/>
        <w:autoSpaceDN/>
        <w:bidi w:val="0"/>
        <w:adjustRightInd/>
        <w:snapToGrid/>
        <w:spacing w:before="120" w:after="120" w:line="288" w:lineRule="auto"/>
        <w:jc w:val="left"/>
        <w:textAlignment w:val="auto"/>
      </w:pPr>
      <w:r>
        <w:rPr>
          <w:rFonts w:ascii="黑体" w:hAnsi="黑体" w:eastAsia="黑体"/>
          <w:b/>
          <w:sz w:val="28"/>
        </w:rPr>
        <w:t>8.2 与传统提示过滤的关系</w:t>
      </w:r>
    </w:p>
    <w:p w14:paraId="293294C0">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本文并不否定关键词和提示过滤的价值。相反，keyword_only 在显式注入样本上能够显著降低风险。但实验也显示，单纯文本检测不足以覆盖所有工具参数、路径、端点和数据流风险。因此，合理的 Agent 防护应将文本过滤作为一层信号，而不是唯一防线。</w:t>
      </w:r>
    </w:p>
    <w:p w14:paraId="55CBCCBA">
      <w:pPr>
        <w:pStyle w:val="4"/>
        <w:keepNext w:val="0"/>
        <w:keepLines w:val="0"/>
        <w:pageBreakBefore w:val="0"/>
        <w:widowControl/>
        <w:kinsoku/>
        <w:wordWrap/>
        <w:overflowPunct/>
        <w:topLinePunct w:val="0"/>
        <w:autoSpaceDE/>
        <w:autoSpaceDN/>
        <w:bidi w:val="0"/>
        <w:adjustRightInd/>
        <w:snapToGrid/>
        <w:spacing w:before="120" w:after="120" w:line="288" w:lineRule="auto"/>
        <w:jc w:val="left"/>
        <w:textAlignment w:val="auto"/>
      </w:pPr>
      <w:r>
        <w:rPr>
          <w:rFonts w:ascii="黑体" w:hAnsi="黑体" w:eastAsia="黑体"/>
          <w:b/>
          <w:sz w:val="28"/>
        </w:rPr>
        <w:t>8.3 对实际部署的启示</w:t>
      </w:r>
    </w:p>
    <w:p w14:paraId="1D8DA6CC">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实际部署中，Agent 系统应至少具备四种能力：标记不可信来源、限制工具权限、追踪敏感数据流、记录可复核日志。对于高风险工具，如邮件、外部 API 和代码执行，系统应采用默认最小权限，并在不确定情况下进入人工确认状态。</w:t>
      </w:r>
    </w:p>
    <w:p w14:paraId="3C751313">
      <w:pPr>
        <w:pStyle w:val="4"/>
        <w:keepNext w:val="0"/>
        <w:keepLines w:val="0"/>
        <w:pageBreakBefore w:val="0"/>
        <w:widowControl/>
        <w:kinsoku/>
        <w:wordWrap/>
        <w:overflowPunct/>
        <w:topLinePunct w:val="0"/>
        <w:autoSpaceDE/>
        <w:autoSpaceDN/>
        <w:bidi w:val="0"/>
        <w:adjustRightInd/>
        <w:snapToGrid/>
        <w:spacing w:before="120" w:after="120" w:line="288" w:lineRule="auto"/>
        <w:jc w:val="left"/>
        <w:textAlignment w:val="auto"/>
      </w:pPr>
      <w:r>
        <w:rPr>
          <w:rFonts w:ascii="黑体" w:hAnsi="黑体" w:eastAsia="黑体"/>
          <w:b/>
          <w:sz w:val="28"/>
        </w:rPr>
        <w:t>8.4 局限性</w:t>
      </w:r>
    </w:p>
    <w:p w14:paraId="651FC656">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本文仍存在若干限制。第一，样本主要为合成数据，尚未覆盖真实企业文档的全部格式和噪声。第二，Qwen2.5-7B 代表实验规模有限，模型输出格式不稳定会影响工具调用解析，因此本文将其作为代表性补充而非唯一说服力来源。第三，Guard 以规则和策略为主，缺少学习型检测器。第四，图像、PDF 版式、网页 DOM 和多模态隐藏提示尚未充分覆盖。第五，WRS 权重为工程设定，未来需要更多实证数据校准。</w:t>
      </w:r>
    </w:p>
    <w:p w14:paraId="1BEA4299">
      <w:pPr>
        <w:pStyle w:val="3"/>
        <w:keepNext w:val="0"/>
        <w:keepLines w:val="0"/>
        <w:pageBreakBefore w:val="0"/>
        <w:widowControl/>
        <w:kinsoku/>
        <w:wordWrap/>
        <w:overflowPunct/>
        <w:topLinePunct w:val="0"/>
        <w:autoSpaceDE/>
        <w:autoSpaceDN/>
        <w:bidi w:val="0"/>
        <w:adjustRightInd/>
        <w:snapToGrid/>
        <w:spacing w:before="150" w:after="150" w:line="288" w:lineRule="auto"/>
        <w:jc w:val="left"/>
        <w:textAlignment w:val="auto"/>
      </w:pPr>
      <w:r>
        <w:rPr>
          <w:rFonts w:ascii="黑体" w:hAnsi="黑体" w:eastAsia="黑体"/>
          <w:b/>
          <w:sz w:val="30"/>
        </w:rPr>
        <w:t>9 伦理与安全边界</w:t>
      </w:r>
    </w:p>
    <w:p w14:paraId="5290CBE9">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本文所有攻击样本均限定在本地授权 mock 靶场内。样本不包含真实恶意代码、真实漏洞利用步骤、真实 API、真实邮箱、真实凭证或真实业务路径。send_email 不真实发送邮件，call_api 不访问公网，run_code 不执行真实代码。本文公开的是安全评测框架和行为监督方法，而不是攻击真实系统的操作流程。</w:t>
      </w:r>
    </w:p>
    <w:p w14:paraId="30593482">
      <w:pPr>
        <w:pStyle w:val="3"/>
        <w:keepNext w:val="0"/>
        <w:keepLines w:val="0"/>
        <w:pageBreakBefore w:val="0"/>
        <w:widowControl/>
        <w:kinsoku/>
        <w:wordWrap/>
        <w:overflowPunct/>
        <w:topLinePunct w:val="0"/>
        <w:autoSpaceDE/>
        <w:autoSpaceDN/>
        <w:bidi w:val="0"/>
        <w:adjustRightInd/>
        <w:snapToGrid/>
        <w:spacing w:before="150" w:after="150" w:line="288" w:lineRule="auto"/>
        <w:jc w:val="left"/>
        <w:textAlignment w:val="auto"/>
      </w:pPr>
      <w:r>
        <w:rPr>
          <w:rFonts w:ascii="黑体" w:hAnsi="黑体" w:eastAsia="黑体"/>
          <w:b/>
          <w:sz w:val="30"/>
        </w:rPr>
        <w:t>10 结论</w:t>
      </w:r>
    </w:p>
    <w:p w14:paraId="1008FB85">
      <w:pPr>
        <w:keepNext w:val="0"/>
        <w:keepLines w:val="0"/>
        <w:pageBreakBefore w:val="0"/>
        <w:widowControl/>
        <w:kinsoku/>
        <w:wordWrap/>
        <w:overflowPunct/>
        <w:topLinePunct w:val="0"/>
        <w:autoSpaceDE/>
        <w:autoSpaceDN/>
        <w:bidi w:val="0"/>
        <w:adjustRightInd/>
        <w:snapToGrid/>
        <w:spacing w:before="0" w:after="0" w:line="360" w:lineRule="auto"/>
        <w:ind w:firstLine="420"/>
        <w:textAlignment w:val="auto"/>
      </w:pPr>
      <w:r>
        <w:rPr>
          <w:rFonts w:ascii="宋体" w:hAnsi="宋体" w:eastAsia="宋体"/>
          <w:sz w:val="21"/>
        </w:rPr>
        <w:t>本文提出 M³-PI Guard，一个面向工具集成大模型智能体的提示注入红队评测与行为监督原型。该系统通过 69 条标准化 AttackCase、本地 mock 工具链、行为监督策略和可复现日志，将大模型安全评测从文本输出扩展到工具链行为。实验表明，full_guard 能够在本地样本中有效降低攻击成功率、未授权工具调用率和数据外流风险，并提供可审计风险原因。最终 release 包已通过独立 smoke test、扫描和 hash 校验。未来工作将扩展真实业务载体、多模型横向比较、多模态提示注入、学习型检测器和更细粒度的数据流标签。</w:t>
      </w:r>
    </w:p>
    <w:p w14:paraId="1C3D57F6">
      <w:pPr>
        <w:pStyle w:val="3"/>
        <w:keepNext w:val="0"/>
        <w:keepLines w:val="0"/>
        <w:pageBreakBefore w:val="0"/>
        <w:widowControl/>
        <w:kinsoku/>
        <w:wordWrap/>
        <w:overflowPunct/>
        <w:topLinePunct w:val="0"/>
        <w:autoSpaceDE/>
        <w:autoSpaceDN/>
        <w:bidi w:val="0"/>
        <w:adjustRightInd/>
        <w:snapToGrid/>
        <w:spacing w:before="150" w:after="150" w:line="288" w:lineRule="auto"/>
        <w:jc w:val="center"/>
        <w:textAlignment w:val="auto"/>
      </w:pPr>
      <w:r>
        <w:rPr>
          <w:rFonts w:ascii="黑体" w:hAnsi="黑体" w:eastAsia="黑体"/>
          <w:b/>
          <w:sz w:val="30"/>
        </w:rPr>
        <w:t>参考文献</w:t>
      </w:r>
    </w:p>
    <w:p w14:paraId="4E2B9A6E">
      <w:pPr>
        <w:keepNext w:val="0"/>
        <w:keepLines w:val="0"/>
        <w:pageBreakBefore w:val="0"/>
        <w:widowControl/>
        <w:kinsoku/>
        <w:wordWrap/>
        <w:overflowPunct/>
        <w:topLinePunct w:val="0"/>
        <w:autoSpaceDE/>
        <w:autoSpaceDN/>
        <w:bidi w:val="0"/>
        <w:adjustRightInd/>
        <w:snapToGrid/>
        <w:spacing w:before="0" w:after="0" w:line="360" w:lineRule="auto"/>
        <w:ind w:left="420" w:firstLine="420"/>
        <w:textAlignment w:val="auto"/>
      </w:pPr>
      <w:r>
        <w:rPr>
          <w:rFonts w:ascii="Times New Roman" w:hAnsi="Times New Roman" w:eastAsia="Times New Roman"/>
          <w:sz w:val="21"/>
        </w:rPr>
        <w:t>[1] OWASP Foundation. OWASP Top 10 for Large Language Model Applications 2025[EB/OL]. https://owasp.org/www-project-top-10-for-large-language-model-applications/.</w:t>
      </w:r>
    </w:p>
    <w:p w14:paraId="02912129">
      <w:pPr>
        <w:keepNext w:val="0"/>
        <w:keepLines w:val="0"/>
        <w:pageBreakBefore w:val="0"/>
        <w:widowControl/>
        <w:kinsoku/>
        <w:wordWrap/>
        <w:overflowPunct/>
        <w:topLinePunct w:val="0"/>
        <w:autoSpaceDE/>
        <w:autoSpaceDN/>
        <w:bidi w:val="0"/>
        <w:adjustRightInd/>
        <w:snapToGrid/>
        <w:spacing w:before="0" w:after="0" w:line="360" w:lineRule="auto"/>
        <w:ind w:left="420" w:firstLine="420"/>
        <w:textAlignment w:val="auto"/>
      </w:pPr>
      <w:r>
        <w:rPr>
          <w:rFonts w:ascii="Times New Roman" w:hAnsi="Times New Roman" w:eastAsia="Times New Roman"/>
          <w:sz w:val="21"/>
        </w:rPr>
        <w:t>[2] National Institute of Standards and Technology. Artificial Intelligence Risk Management Framework (AI RMF 1.0)[R]. Gaithersburg: NIST, 2023. https://www.nist.gov/itl/ai-risk-management-framework.</w:t>
      </w:r>
    </w:p>
    <w:p w14:paraId="39E4F58C">
      <w:pPr>
        <w:keepNext w:val="0"/>
        <w:keepLines w:val="0"/>
        <w:pageBreakBefore w:val="0"/>
        <w:widowControl/>
        <w:kinsoku/>
        <w:wordWrap/>
        <w:overflowPunct/>
        <w:topLinePunct w:val="0"/>
        <w:autoSpaceDE/>
        <w:autoSpaceDN/>
        <w:bidi w:val="0"/>
        <w:adjustRightInd/>
        <w:snapToGrid/>
        <w:spacing w:before="0" w:after="0" w:line="360" w:lineRule="auto"/>
        <w:ind w:left="420" w:firstLine="420"/>
        <w:textAlignment w:val="auto"/>
      </w:pPr>
      <w:r>
        <w:rPr>
          <w:rFonts w:ascii="Times New Roman" w:hAnsi="Times New Roman" w:eastAsia="Times New Roman"/>
          <w:sz w:val="21"/>
        </w:rPr>
        <w:t>[3] Greshake K, Abdelnabi S, Mishra S, et al. Not what you've signed up for: Compromising real-world LLM-integrated applications with indirect prompt injection[C/OL]. arXiv:2302.12173, 2023.</w:t>
      </w:r>
    </w:p>
    <w:p w14:paraId="45B71E82">
      <w:pPr>
        <w:keepNext w:val="0"/>
        <w:keepLines w:val="0"/>
        <w:pageBreakBefore w:val="0"/>
        <w:widowControl/>
        <w:kinsoku/>
        <w:wordWrap/>
        <w:overflowPunct/>
        <w:topLinePunct w:val="0"/>
        <w:autoSpaceDE/>
        <w:autoSpaceDN/>
        <w:bidi w:val="0"/>
        <w:adjustRightInd/>
        <w:snapToGrid/>
        <w:spacing w:before="0" w:after="0" w:line="360" w:lineRule="auto"/>
        <w:ind w:left="420" w:firstLine="420"/>
        <w:textAlignment w:val="auto"/>
      </w:pPr>
      <w:r>
        <w:rPr>
          <w:rFonts w:ascii="Times New Roman" w:hAnsi="Times New Roman" w:eastAsia="Times New Roman"/>
          <w:sz w:val="21"/>
        </w:rPr>
        <w:t>[4] Liu Y, Deng G, Xu Z, et al. Prompt injection attack against LLM-integrated applications[EB/OL]. arXiv:2306.05499, 2023.</w:t>
      </w:r>
    </w:p>
    <w:p w14:paraId="0A8FCF68">
      <w:pPr>
        <w:keepNext w:val="0"/>
        <w:keepLines w:val="0"/>
        <w:pageBreakBefore w:val="0"/>
        <w:widowControl/>
        <w:kinsoku/>
        <w:wordWrap/>
        <w:overflowPunct/>
        <w:topLinePunct w:val="0"/>
        <w:autoSpaceDE/>
        <w:autoSpaceDN/>
        <w:bidi w:val="0"/>
        <w:adjustRightInd/>
        <w:snapToGrid/>
        <w:spacing w:before="0" w:after="0" w:line="360" w:lineRule="auto"/>
        <w:ind w:left="420" w:firstLine="420"/>
        <w:textAlignment w:val="auto"/>
      </w:pPr>
      <w:r>
        <w:rPr>
          <w:rFonts w:ascii="Times New Roman" w:hAnsi="Times New Roman" w:eastAsia="Times New Roman"/>
          <w:sz w:val="21"/>
        </w:rPr>
        <w:t>[5] Zhan Q, Liang Z, Ying Z, et al. InjecAgent: Benchmarking indirect prompt injections in tool-integrated large language model agents[C/OL]. ACL Findings, 2024.</w:t>
      </w:r>
    </w:p>
    <w:p w14:paraId="7F8B45A0">
      <w:pPr>
        <w:keepNext w:val="0"/>
        <w:keepLines w:val="0"/>
        <w:pageBreakBefore w:val="0"/>
        <w:widowControl/>
        <w:kinsoku/>
        <w:wordWrap/>
        <w:overflowPunct/>
        <w:topLinePunct w:val="0"/>
        <w:autoSpaceDE/>
        <w:autoSpaceDN/>
        <w:bidi w:val="0"/>
        <w:adjustRightInd/>
        <w:snapToGrid/>
        <w:spacing w:before="0" w:after="0" w:line="360" w:lineRule="auto"/>
        <w:ind w:left="420" w:firstLine="420"/>
        <w:textAlignment w:val="auto"/>
      </w:pPr>
      <w:r>
        <w:rPr>
          <w:rFonts w:ascii="Times New Roman" w:hAnsi="Times New Roman" w:eastAsia="Times New Roman"/>
          <w:sz w:val="21"/>
        </w:rPr>
        <w:t>[6] Debenedetti E, Zhang J, Balunovic M, et al. AgentDojo: A dynamic environment to evaluate attacks and defenses for LLM agents[C/OL]. 2024.</w:t>
      </w:r>
    </w:p>
    <w:p w14:paraId="4AF5E111">
      <w:pPr>
        <w:keepNext w:val="0"/>
        <w:keepLines w:val="0"/>
        <w:pageBreakBefore w:val="0"/>
        <w:widowControl/>
        <w:kinsoku/>
        <w:wordWrap/>
        <w:overflowPunct/>
        <w:topLinePunct w:val="0"/>
        <w:autoSpaceDE/>
        <w:autoSpaceDN/>
        <w:bidi w:val="0"/>
        <w:adjustRightInd/>
        <w:snapToGrid/>
        <w:spacing w:before="0" w:after="0" w:line="360" w:lineRule="auto"/>
        <w:ind w:left="420" w:firstLine="420"/>
        <w:textAlignment w:val="auto"/>
      </w:pPr>
      <w:r>
        <w:rPr>
          <w:rFonts w:ascii="Times New Roman" w:hAnsi="Times New Roman" w:eastAsia="Times New Roman"/>
          <w:sz w:val="21"/>
        </w:rPr>
        <w:t>[7] Wei A, Haghtalab N, Steinhardt J. Jailbroken: How does LLM safety training fail?[C/OL]. NeurIPS, 2023.</w:t>
      </w:r>
    </w:p>
    <w:p w14:paraId="30829E05">
      <w:pPr>
        <w:keepNext w:val="0"/>
        <w:keepLines w:val="0"/>
        <w:pageBreakBefore w:val="0"/>
        <w:widowControl/>
        <w:kinsoku/>
        <w:wordWrap/>
        <w:overflowPunct/>
        <w:topLinePunct w:val="0"/>
        <w:autoSpaceDE/>
        <w:autoSpaceDN/>
        <w:bidi w:val="0"/>
        <w:adjustRightInd/>
        <w:snapToGrid/>
        <w:spacing w:before="0" w:after="0" w:line="360" w:lineRule="auto"/>
        <w:ind w:left="420" w:firstLine="420"/>
        <w:textAlignment w:val="auto"/>
      </w:pPr>
      <w:r>
        <w:rPr>
          <w:rFonts w:ascii="Times New Roman" w:hAnsi="Times New Roman" w:eastAsia="Times New Roman"/>
          <w:sz w:val="21"/>
        </w:rPr>
        <w:t>[8] Ding P, Kuang J, Ma D, et al. A wolf in sheep's clothing: Generalized nested jailbreak prompts can fool large language models easily[C/OL]. NAACL, 2024.</w:t>
      </w:r>
    </w:p>
    <w:p w14:paraId="28934DA3">
      <w:pPr>
        <w:keepNext w:val="0"/>
        <w:keepLines w:val="0"/>
        <w:pageBreakBefore w:val="0"/>
        <w:widowControl/>
        <w:kinsoku/>
        <w:wordWrap/>
        <w:overflowPunct/>
        <w:topLinePunct w:val="0"/>
        <w:autoSpaceDE/>
        <w:autoSpaceDN/>
        <w:bidi w:val="0"/>
        <w:adjustRightInd/>
        <w:snapToGrid/>
        <w:spacing w:before="0" w:after="0" w:line="360" w:lineRule="auto"/>
        <w:ind w:left="420" w:firstLine="420"/>
        <w:textAlignment w:val="auto"/>
      </w:pPr>
      <w:r>
        <w:rPr>
          <w:rFonts w:ascii="Times New Roman" w:hAnsi="Times New Roman" w:eastAsia="Times New Roman"/>
          <w:sz w:val="21"/>
        </w:rPr>
        <w:t>[9] Shen X, Chen Z, Backes M, et al. Do anything now: Characterizing and evaluating in-the-wild jailbreak prompts on large language models[C/OL]. ACM CCS, 2024.</w:t>
      </w:r>
    </w:p>
    <w:p w14:paraId="59A0D3E6">
      <w:pPr>
        <w:keepNext w:val="0"/>
        <w:keepLines w:val="0"/>
        <w:pageBreakBefore w:val="0"/>
        <w:widowControl/>
        <w:kinsoku/>
        <w:wordWrap/>
        <w:overflowPunct/>
        <w:topLinePunct w:val="0"/>
        <w:autoSpaceDE/>
        <w:autoSpaceDN/>
        <w:bidi w:val="0"/>
        <w:adjustRightInd/>
        <w:snapToGrid/>
        <w:spacing w:before="0" w:after="0" w:line="360" w:lineRule="auto"/>
        <w:ind w:left="420" w:firstLine="420"/>
        <w:textAlignment w:val="auto"/>
      </w:pPr>
      <w:r>
        <w:rPr>
          <w:rFonts w:ascii="Times New Roman" w:hAnsi="Times New Roman" w:eastAsia="Times New Roman"/>
          <w:sz w:val="21"/>
        </w:rPr>
        <w:t>[10] Kumar S S, Cummings M, Stimpson A. Strengthening LLM trust boundaries: A survey of prompt injection attacks[C/OL]. ICHMS, 2024.</w:t>
      </w:r>
    </w:p>
    <w:p w14:paraId="614A8EAA">
      <w:pPr>
        <w:keepNext w:val="0"/>
        <w:keepLines w:val="0"/>
        <w:pageBreakBefore w:val="0"/>
        <w:widowControl/>
        <w:kinsoku/>
        <w:wordWrap/>
        <w:overflowPunct/>
        <w:topLinePunct w:val="0"/>
        <w:autoSpaceDE/>
        <w:autoSpaceDN/>
        <w:bidi w:val="0"/>
        <w:adjustRightInd/>
        <w:snapToGrid/>
        <w:spacing w:before="0" w:after="0" w:line="360" w:lineRule="auto"/>
        <w:ind w:left="420" w:firstLine="420"/>
        <w:textAlignment w:val="auto"/>
      </w:pPr>
      <w:r>
        <w:rPr>
          <w:rFonts w:ascii="Times New Roman" w:hAnsi="Times New Roman" w:eastAsia="Times New Roman"/>
          <w:sz w:val="21"/>
        </w:rPr>
        <w:t>[11] Yu J, Lin X, Xing X. GPTFuzzer: Red Teaming Large Language Models with Auto-Generated Jailbreak Prompts[C/OL]. 2023.</w:t>
      </w:r>
    </w:p>
    <w:p w14:paraId="578B3E43">
      <w:pPr>
        <w:keepNext w:val="0"/>
        <w:keepLines w:val="0"/>
        <w:pageBreakBefore w:val="0"/>
        <w:widowControl/>
        <w:kinsoku/>
        <w:wordWrap/>
        <w:overflowPunct/>
        <w:topLinePunct w:val="0"/>
        <w:autoSpaceDE/>
        <w:autoSpaceDN/>
        <w:bidi w:val="0"/>
        <w:adjustRightInd/>
        <w:snapToGrid/>
        <w:spacing w:before="0" w:after="0" w:line="360" w:lineRule="auto"/>
        <w:ind w:left="420" w:firstLine="420"/>
        <w:textAlignment w:val="auto"/>
      </w:pPr>
      <w:r>
        <w:rPr>
          <w:rFonts w:ascii="Times New Roman" w:hAnsi="Times New Roman" w:eastAsia="Times New Roman"/>
          <w:sz w:val="21"/>
        </w:rPr>
        <w:t>[12] Wallace E, Feng S, Kandpal N, et al. Universal adversarial triggers for attacking and analyzing NLP[C]. EMNLP-IJCNLP, 2019.</w:t>
      </w:r>
    </w:p>
    <w:sectPr>
      <w:footerReference r:id="rId5" w:type="default"/>
      <w:pgSz w:w="11906" w:h="16838"/>
      <w:pgMar w:top="1304" w:right="1361" w:bottom="1304"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E9375">
    <w:pPr>
      <w:pStyle w:val="24"/>
      <w:jc w:val="center"/>
    </w:pPr>
    <w:r>
      <w:rPr>
        <w:rFonts w:ascii="Times New Roman" w:hAnsi="Times New Roman" w:eastAsia="Times New Roman"/>
        <w:sz w:val="21"/>
      </w:rPr>
      <w:fldChar w:fldCharType="begin"/>
    </w:r>
    <w:r>
      <w:rPr>
        <w:rFonts w:ascii="Times New Roman" w:hAnsi="Times New Roman" w:eastAsia="Times New Roman"/>
        <w:sz w:val="21"/>
      </w:rPr>
      <w:instrText xml:space="preserve">PAGE</w:instrText>
    </w:r>
    <w:r>
      <w:rPr>
        <w:rFonts w:ascii="Times New Roman" w:hAnsi="Times New Roman" w:eastAsia="Times New Roman"/>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9EA74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6421</Words>
  <Characters>10823</Characters>
  <Lines>0</Lines>
  <Paragraphs>0</Paragraphs>
  <TotalTime>1</TotalTime>
  <ScaleCrop>false</ScaleCrop>
  <LinksUpToDate>false</LinksUpToDate>
  <CharactersWithSpaces>11568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sanshi712</dc:creator>
  <cp:keywords>LLM agents; prompt injection; behavior supervision; red-team evaluation</cp:keywords>
  <cp:lastModifiedBy>sanshi712</cp:lastModifiedBy>
  <dcterms:modified xsi:type="dcterms:W3CDTF">2026-06-10T17:20:14Z</dcterms:modified>
  <dc:subject>LLM agent prompt injection red-team evaluation and behavior supervision</dc:subject>
  <dc:title>面向工具集成大模型智能体的提示注入红队评测与行为监督</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eyJoZGlkIjoiZWVlN2FmOWQ4YWI4ZmFhYTg5OTJiOThhMmU0NzIwYzgiLCJ1c2VySWQiOiIzMTg0MzUxMDMifQ==</vt:lpwstr>
  </property>
  <property fmtid="{D5CDD505-2E9C-101B-9397-08002B2CF9AE}" pid="3" name="KSOProductBuildVer">
    <vt:lpwstr>2052-12.1.0.21541</vt:lpwstr>
  </property>
  <property fmtid="{D5CDD505-2E9C-101B-9397-08002B2CF9AE}" pid="4" name="ICV">
    <vt:lpwstr>5AFDD9DFF72B4F7494B67EF56223B2B7_12</vt:lpwstr>
  </property>
</Properties>
</file>