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jc w:val="center"/>
      </w:pPr>
      <w:r>
        <w:rPr>
          <w:rFonts w:ascii="Times New Roman" w:hAnsi="Times New Roman" w:eastAsia="宋体"/>
          <w:b/>
          <w:sz w:val="24"/>
        </w:rPr>
        <w:t>面向工具集成大模型智能体的提示注入红队评测与行为监督：M3-PI Guard 的设计、基准与实证分析</w:t>
      </w:r>
    </w:p>
    <w:p>
      <w:pPr>
        <w:pStyle w:val="Heading1"/>
        <w:spacing w:line="360" w:lineRule="auto"/>
      </w:pPr>
      <w:r>
        <w:rPr>
          <w:rFonts w:ascii="Times New Roman" w:hAnsi="Times New Roman" w:eastAsia="宋体"/>
          <w:b/>
          <w:sz w:val="30"/>
        </w:rPr>
        <w:t>摘要</w:t>
      </w:r>
    </w:p>
    <w:p>
      <w:pPr>
        <w:spacing w:line="360" w:lineRule="auto" w:after="120"/>
      </w:pPr>
      <w:r>
        <w:rPr>
          <w:rFonts w:ascii="Times New Roman" w:hAnsi="Times New Roman" w:eastAsia="宋体"/>
          <w:b w:val="0"/>
          <w:sz w:val="24"/>
        </w:rPr>
        <w:t>大模型智能体正在从“回答问题”的语言模型演化为能够调用文件系统、邮件、外部接口和代码执行器的行动系统。提示注入攻击也随之发生迁移：攻击者不再只追求诱导模型输出不当文本，而是试图让模型在工具链中触发未授权行为，例如读取敏感文件、外发 canary 数据、调用非预期接口或在错误上下文中写入文件。已有越狱和提示注入研究已经证明了自然语言指令、间接文档、结构化字段和多语言混淆对模型安全边界的影响，但面向工具集成智能体的本地可复现评测框架、跨攻击族统一样本 Schema 以及行为级阻断指标仍不充分。为此，本文提出 M3-PI Guard，一个面向工具集成大模型智能体的提示注入红队评测与行为监督原型。</w:t>
      </w:r>
    </w:p>
    <w:p>
      <w:pPr>
        <w:spacing w:line="360" w:lineRule="auto" w:after="120"/>
      </w:pPr>
      <w:r>
        <w:rPr>
          <w:rFonts w:ascii="Times New Roman" w:hAnsi="Times New Roman" w:eastAsia="宋体"/>
          <w:b w:val="0"/>
          <w:sz w:val="24"/>
        </w:rPr>
        <w:t>M3-PI Guard 构建了 69 条标准化 AttackCase 样本，覆盖直接越狱、RAG 间接提示注入、多语言/T2L、JSON/RPC 结构化注入、工具输出注入和正常任务；实现了本地 sandbox mock 工具链，模拟 `read_file`、`write_file`、`send_email`、`call_api` 和 `run_code` 五类高风险动作；设计了结合指令性文本检测、结构化注入检测、多语言混淆检测、工具策略、路径/端点约束、数据流分析和意图-动作一致性检查的行为监督机制。实验结果表明，在 69 条全量 stub 样本中，baseline 的 ASR 和 DSR 均为 55.07%，full_guard 将 ASR、UTR 和 DSR 均降至 0，并保持 0 的误报率；在 24 条本地 Qwen2.5-7B 代表样本中，full_guard 同样将 ASR、UTR 和 DSR 降至 0。本文的主要创新在于将大模型安全评测对象从“输出文本”扩展到“工具链行为”，并给出可复现、可审计、无真实危害的本地红队靶场与指标体系。</w:t>
      </w:r>
    </w:p>
    <w:p>
      <w:pPr>
        <w:spacing w:line="360" w:lineRule="auto" w:after="120"/>
      </w:pPr>
      <w:r>
        <w:rPr>
          <w:rFonts w:ascii="Times New Roman" w:hAnsi="Times New Roman" w:eastAsia="宋体"/>
          <w:b w:val="0"/>
          <w:sz w:val="24"/>
        </w:rPr>
        <w:t>关键词：大模型智能体；提示注入；间接提示注入；红队评测；工具调用安全；行为监督；RAG 安全</w:t>
      </w:r>
    </w:p>
    <w:p>
      <w:pPr>
        <w:pStyle w:val="Heading1"/>
        <w:spacing w:line="360" w:lineRule="auto"/>
      </w:pPr>
      <w:r>
        <w:rPr>
          <w:rFonts w:ascii="Times New Roman" w:hAnsi="Times New Roman" w:eastAsia="宋体"/>
          <w:b/>
          <w:sz w:val="30"/>
        </w:rPr>
        <w:t>Abstract</w:t>
      </w:r>
    </w:p>
    <w:p>
      <w:pPr>
        <w:spacing w:line="360" w:lineRule="auto" w:after="120"/>
      </w:pPr>
      <w:r>
        <w:rPr>
          <w:rFonts w:ascii="Times New Roman" w:hAnsi="Times New Roman" w:eastAsia="宋体"/>
          <w:b w:val="0"/>
          <w:sz w:val="24"/>
        </w:rPr>
        <w:t>LLM applications are rapidly evolving from conversational systems into agents that can access files, send messages, call APIs, and execute task workflows. This transition changes the security objective of prompt-injection evaluation: the central risk is no longer limited to unsafe textual responses, but also includes unauthorized tool actions in an agentic execution chain. Existing jailbreak and prompt-injection studies have shown the fragility of natural-language trust boundaries, yet there remains a lack of local, auditable, multi-family evaluation frameworks for tool-integrated LLM agents. This paper presents M3-PI Guard, a red-team evaluation and behavior-supervision prototype for prompt injection in tool-integrated LLM agents.</w:t>
      </w:r>
    </w:p>
    <w:p>
      <w:pPr>
        <w:spacing w:line="360" w:lineRule="auto" w:after="120"/>
      </w:pPr>
      <w:r>
        <w:rPr>
          <w:rFonts w:ascii="Times New Roman" w:hAnsi="Times New Roman" w:eastAsia="宋体"/>
          <w:b w:val="0"/>
          <w:sz w:val="24"/>
        </w:rPr>
        <w:t>M3-PI Guard provides 69 standardized AttackCase instances covering direct jailbreaks, indirect RAG prompt injection, multilingual/T2L attacks, JSON/RPC structured injection, tool-output injection, and benign tasks. It further implements a local sandbox with mock tools and a behavior-level guard that combines text detectors, structured-field analysis, multilingual-obfuscation signals, tool policies, endpoint/path constraints, data-flow tracking, and intent-action consistency checks. In a full stub evaluation over 69 cases, baseline ASR and DSR are both 55.07%, while full_guard reduces ASR, UTR, and DSR to 0 with no observed false positives. On 24 representative Qwen2.5-7B local-model cases, full_guard also reduces ASR, UTR, and DSR to 0. The contribution of this work is to shift LLM-agent security evaluation from output-level safety toward behavior-level tool-chain supervision.</w:t>
      </w:r>
    </w:p>
    <w:p>
      <w:pPr>
        <w:spacing w:line="360" w:lineRule="auto" w:after="120"/>
      </w:pPr>
      <w:r>
        <w:rPr>
          <w:rFonts w:ascii="Times New Roman" w:hAnsi="Times New Roman" w:eastAsia="宋体"/>
          <w:b w:val="0"/>
          <w:sz w:val="24"/>
        </w:rPr>
        <w:t>Keywords: LLM agents; prompt injection; indirect prompt injection; red-team evaluation; tool-call security; behavior supervision; RAG security</w:t>
      </w:r>
    </w:p>
    <w:p>
      <w:pPr>
        <w:pStyle w:val="Heading1"/>
        <w:spacing w:line="360" w:lineRule="auto"/>
      </w:pPr>
      <w:r>
        <w:rPr>
          <w:rFonts w:ascii="Times New Roman" w:hAnsi="Times New Roman" w:eastAsia="宋体"/>
          <w:b/>
          <w:sz w:val="30"/>
        </w:rPr>
        <w:t>1 引言</w:t>
      </w:r>
    </w:p>
    <w:p>
      <w:pPr>
        <w:spacing w:line="360" w:lineRule="auto" w:after="120"/>
      </w:pPr>
      <w:r>
        <w:rPr>
          <w:rFonts w:ascii="Times New Roman" w:hAnsi="Times New Roman" w:eastAsia="宋体"/>
          <w:b w:val="0"/>
          <w:sz w:val="24"/>
        </w:rPr>
        <w:t>大模型系统的安全边界正在发生结构性变化。早期大模型应用大多表现为单轮或多轮对话，安全评测主要关注模型是否输出不当、违法或危险内容。随着 RAG、函数调用、插件系统、工作流编排和本地自动化工具的普及，大模型越来越多地被嵌入到能够“行动”的智能体系统中。在这种系统中，模型输出不仅是文本，还可能被解析为工具调用、执行计划或业务动作。一个看似普通的总结任务，可能涉及读取文档、调用检索、发送报告、访问接口或写入记录；一段看似普通的网页内容、邮件正文或 JSON 字段，也可能被模型误解为下一步指令。</w:t>
      </w:r>
    </w:p>
    <w:p>
      <w:pPr>
        <w:spacing w:line="360" w:lineRule="auto" w:after="120"/>
      </w:pPr>
      <w:r>
        <w:rPr>
          <w:rFonts w:ascii="Times New Roman" w:hAnsi="Times New Roman" w:eastAsia="宋体"/>
          <w:b w:val="0"/>
          <w:sz w:val="24"/>
        </w:rPr>
        <w:t>提示注入攻击正是利用了这种边界模糊性。直接越狱通过角色扮演、权限伪装、说服性语言或多轮诱导试图覆盖系统约束；间接提示注入则把攻击指令藏在模型需要处理的外部内容中，例如网页、文档、邮件、日志、工具返回值和结构化数据。对于工具集成 Agent，攻击者的目标不一定是让模型输出攻击教程，而可能是让模型调用一个本不应该调用的工具。例如，模型在总结供应商报告时读取本地 secret 文件，在翻译 JSON 时执行非目标字段中的“下一步操作”，或在处理搜索结果时把工具输出中的维护提示当作系统指令。</w:t>
      </w:r>
    </w:p>
    <w:p>
      <w:pPr>
        <w:spacing w:line="360" w:lineRule="auto" w:after="120"/>
      </w:pPr>
      <w:r>
        <w:rPr>
          <w:rFonts w:ascii="Times New Roman" w:hAnsi="Times New Roman" w:eastAsia="宋体"/>
          <w:b w:val="0"/>
          <w:sz w:val="24"/>
        </w:rPr>
        <w:t>这类风险使传统的输出过滤、防敏感词或单轮越狱测试显得不足。首先，工具动作的风险发生在最终文本之前，等用户看到回答时，文件读取、邮件外发或接口调用可能已经发生。其次，攻击载体不一定出现在用户直接输入中，而可能来自 RAG 文档、第三方网页或上游工具输出。再次，结构化字段名如 `system`、`developer`、`tool`、`function_call` 和 `next_step` 会诱导模型误判消息优先级。最后，多语言、拼音、谐音、回译和 JSON 翻译任务会增加检测难度。</w:t>
      </w:r>
    </w:p>
    <w:p>
      <w:pPr>
        <w:spacing w:line="360" w:lineRule="auto" w:after="120"/>
      </w:pPr>
      <w:r>
        <w:rPr>
          <w:rFonts w:ascii="Times New Roman" w:hAnsi="Times New Roman" w:eastAsia="宋体"/>
          <w:b w:val="0"/>
          <w:sz w:val="24"/>
        </w:rPr>
        <w:t>为解决这一问题，本文提出 M3-PI Guard。它不是面向真实系统攻击的工具，而是一个本地授权红队靶场和行为监督原型：攻击样本被标准化为 AttackCase；危险动作被限制在本地 sandbox mock 工具；运行日志记录模型输出、工具调用、Guard 决策、风险分和阻断原因；评测模块将日志转化为 ASR、UTR、DSR、BSR、FPR、AvgRisk 和 WRS 等指标。本文试图回答三个研究问题：</w:t>
      </w:r>
    </w:p>
    <w:p>
      <w:pPr>
        <w:pStyle w:val="ListBullet"/>
        <w:spacing w:line="360" w:lineRule="auto" w:after="120"/>
      </w:pPr>
      <w:r>
        <w:rPr>
          <w:rFonts w:ascii="Times New Roman" w:hAnsi="Times New Roman" w:eastAsia="宋体"/>
          <w:b w:val="0"/>
          <w:sz w:val="24"/>
        </w:rPr>
        <w:t>RQ1：跨攻击族提示注入样本是否能够在无防护 Agent 中稳定触发未授权 mock 工具行为？</w:t>
      </w:r>
    </w:p>
    <w:p>
      <w:pPr>
        <w:pStyle w:val="ListBullet"/>
        <w:spacing w:line="360" w:lineRule="auto" w:after="120"/>
      </w:pPr>
      <w:r>
        <w:rPr>
          <w:rFonts w:ascii="Times New Roman" w:hAnsi="Times New Roman" w:eastAsia="宋体"/>
          <w:b w:val="0"/>
          <w:sz w:val="24"/>
        </w:rPr>
        <w:t>RQ2：仅依赖关键词检测或工具策略是否足以覆盖工具集成 Agent 的提示注入风险？</w:t>
      </w:r>
    </w:p>
    <w:p>
      <w:pPr>
        <w:pStyle w:val="ListBullet"/>
        <w:spacing w:line="360" w:lineRule="auto" w:after="120"/>
      </w:pPr>
      <w:r>
        <w:rPr>
          <w:rFonts w:ascii="Times New Roman" w:hAnsi="Times New Roman" w:eastAsia="宋体"/>
          <w:b w:val="0"/>
          <w:sz w:val="24"/>
        </w:rPr>
        <w:t>RQ3：结合上下文检测、策略约束、数据流追踪和意图-动作一致性的 full_guard 是否能降低攻击成功率并保持较低误报？</w:t>
      </w:r>
    </w:p>
    <w:p>
      <w:pPr>
        <w:spacing w:line="360" w:lineRule="auto" w:after="120"/>
      </w:pPr>
      <w:r>
        <w:rPr>
          <w:rFonts w:ascii="Times New Roman" w:hAnsi="Times New Roman" w:eastAsia="宋体"/>
          <w:b w:val="0"/>
          <w:sz w:val="24"/>
        </w:rPr>
        <w:t>本文贡献如下：</w:t>
      </w:r>
    </w:p>
    <w:p>
      <w:pPr>
        <w:spacing w:line="360" w:lineRule="auto" w:after="120"/>
      </w:pPr>
      <w:r>
        <w:rPr>
          <w:rFonts w:ascii="Times New Roman" w:hAnsi="Times New Roman" w:eastAsia="宋体"/>
          <w:b w:val="0"/>
          <w:sz w:val="24"/>
        </w:rPr>
        <w:t>1. 行为级评测对象：将安全评测从模型最终回答扩展到文件读取、邮件发送、API 调用、代码执行等工具链行为。</w:t>
      </w:r>
    </w:p>
    <w:p>
      <w:pPr>
        <w:spacing w:line="360" w:lineRule="auto" w:after="120"/>
      </w:pPr>
      <w:r>
        <w:rPr>
          <w:rFonts w:ascii="Times New Roman" w:hAnsi="Times New Roman" w:eastAsia="宋体"/>
          <w:b w:val="0"/>
          <w:sz w:val="24"/>
        </w:rPr>
        <w:t>2. 多攻击族统一基准：构建 69 条标准化 AttackCase，覆盖直接越狱、RAG 间接注入、多语言/T2L、JSON/RPC 注入、工具输出注入和正常样本。</w:t>
      </w:r>
    </w:p>
    <w:p>
      <w:pPr>
        <w:spacing w:line="360" w:lineRule="auto" w:after="120"/>
      </w:pPr>
      <w:r>
        <w:rPr>
          <w:rFonts w:ascii="Times New Roman" w:hAnsi="Times New Roman" w:eastAsia="宋体"/>
          <w:b w:val="0"/>
          <w:sz w:val="24"/>
        </w:rPr>
        <w:t>3. 本地可复现红队靶场：使用 sandbox mock 工具保留危险动作形态，同时避免真实网络、真实邮箱、真实凭证和真实恶意代码。</w:t>
      </w:r>
    </w:p>
    <w:p>
      <w:pPr>
        <w:spacing w:line="360" w:lineRule="auto" w:after="120"/>
      </w:pPr>
      <w:r>
        <w:rPr>
          <w:rFonts w:ascii="Times New Roman" w:hAnsi="Times New Roman" w:eastAsia="宋体"/>
          <w:b w:val="0"/>
          <w:sz w:val="24"/>
        </w:rPr>
        <w:t>4. 可解释行为监督闭环：将文本检测、结构化检测、多语言信号、工具策略、数据流和意图一致性组合为 `allow/ask/deny` 决策。</w:t>
      </w:r>
    </w:p>
    <w:p>
      <w:pPr>
        <w:spacing w:line="360" w:lineRule="auto" w:after="120"/>
      </w:pPr>
      <w:r>
        <w:rPr>
          <w:rFonts w:ascii="Times New Roman" w:hAnsi="Times New Roman" w:eastAsia="宋体"/>
          <w:b w:val="0"/>
          <w:sz w:val="24"/>
        </w:rPr>
        <w:t>5. 面向 Agent 的指标体系：定义 ASR、UTR、DSR、BSR、FPR、AvgRisk 和 WRS，用于比较 baseline、keyword_only、policy_only 和 full_guard。</w:t>
      </w:r>
    </w:p>
    <w:p>
      <w:pPr>
        <w:spacing w:line="360" w:lineRule="auto" w:after="120"/>
      </w:pPr>
      <w:r>
        <w:rPr>
          <w:rFonts w:ascii="Times New Roman" w:hAnsi="Times New Roman" w:eastAsia="宋体"/>
          <w:b w:val="0"/>
          <w:sz w:val="24"/>
        </w:rPr>
        <w:t>6. 可审计证据链：通过 AttackCase、RunLog、Guard reasons、case cards 和 evidence index 支持实验复核与答辩展示。</w:t>
      </w:r>
    </w:p>
    <w:p>
      <w:pPr>
        <w:pStyle w:val="Heading1"/>
        <w:spacing w:line="360" w:lineRule="auto"/>
      </w:pPr>
      <w:r>
        <w:rPr>
          <w:rFonts w:ascii="Times New Roman" w:hAnsi="Times New Roman" w:eastAsia="宋体"/>
          <w:b/>
          <w:sz w:val="30"/>
        </w:rPr>
        <w:t>2 背景与相关工作</w:t>
      </w:r>
    </w:p>
    <w:p>
      <w:pPr>
        <w:pStyle w:val="Heading2"/>
        <w:spacing w:line="360" w:lineRule="auto"/>
      </w:pPr>
      <w:r>
        <w:rPr>
          <w:rFonts w:ascii="Times New Roman" w:hAnsi="Times New Roman" w:eastAsia="宋体"/>
          <w:b/>
          <w:sz w:val="26"/>
        </w:rPr>
        <w:t>2.1 提示注入与越狱攻击</w:t>
      </w:r>
    </w:p>
    <w:p>
      <w:pPr>
        <w:spacing w:line="360" w:lineRule="auto" w:after="120"/>
      </w:pPr>
      <w:r>
        <w:rPr>
          <w:rFonts w:ascii="Times New Roman" w:hAnsi="Times New Roman" w:eastAsia="宋体"/>
          <w:b w:val="0"/>
          <w:sz w:val="24"/>
        </w:rPr>
        <w:t>提示注入指攻击者通过自然语言或结构化文本影响模型对指令层级、任务边界和安全约束的解释。直接越狱通常发生在用户输入中，攻击者使用“忽略之前指令”“进入开发者模式”“扮演角色”“为了安全审计必须执行”等话术，使模型偏离原有安全策略。相关研究显示，越狱提示可以通过模板化、自动生成、重写、嵌套场景和说服策略提升迁移性和攻击成功率。</w:t>
      </w:r>
    </w:p>
    <w:p>
      <w:pPr>
        <w:spacing w:line="360" w:lineRule="auto" w:after="120"/>
      </w:pPr>
      <w:r>
        <w:rPr>
          <w:rFonts w:ascii="Times New Roman" w:hAnsi="Times New Roman" w:eastAsia="宋体"/>
          <w:b w:val="0"/>
          <w:sz w:val="24"/>
        </w:rPr>
        <w:t>与普通越狱不同，间接提示注入的攻击内容并不由用户直接请求执行，而是隐藏在模型需要读取或处理的数据中。RAG 文档、网页片段、邮件正文、日志和工具返回值都可能成为不可信载体。模型如果无法区分“用户任务”“系统指令”和“不可信数据”，就可能把数据中的文字当作操作指令。</w:t>
      </w:r>
    </w:p>
    <w:p>
      <w:pPr>
        <w:pStyle w:val="Heading2"/>
        <w:spacing w:line="360" w:lineRule="auto"/>
      </w:pPr>
      <w:r>
        <w:rPr>
          <w:rFonts w:ascii="Times New Roman" w:hAnsi="Times New Roman" w:eastAsia="宋体"/>
          <w:b/>
          <w:sz w:val="26"/>
        </w:rPr>
        <w:t>2.2 工具集成 Agent 的信任边界</w:t>
      </w:r>
    </w:p>
    <w:p>
      <w:pPr>
        <w:spacing w:line="360" w:lineRule="auto" w:after="120"/>
      </w:pPr>
      <w:r>
        <w:rPr>
          <w:rFonts w:ascii="Times New Roman" w:hAnsi="Times New Roman" w:eastAsia="宋体"/>
          <w:b w:val="0"/>
          <w:sz w:val="24"/>
        </w:rPr>
        <w:t>大模型 Agent 的关键风险来自工具边界。模型生成的文本可以被解析为函数调用；函数调用的结果又会成为下一轮上下文；上下文中的内容继续影响后续工具选择。这个循环打破了传统“输入-输出”模型，使安全问题扩展为“输入-模型-工具-观察-再决策”的链式风险。只要其中任意一段不可信文本被错误提升为指令，就可能污染后续行为。</w:t>
      </w:r>
    </w:p>
    <w:p>
      <w:pPr>
        <w:spacing w:line="360" w:lineRule="auto" w:after="120"/>
      </w:pPr>
      <w:r>
        <w:rPr>
          <w:rFonts w:ascii="Times New Roman" w:hAnsi="Times New Roman" w:eastAsia="宋体"/>
          <w:b w:val="0"/>
          <w:sz w:val="24"/>
        </w:rPr>
        <w:t>因此，Agent 安全需要回答四类问题：输入来源是否可信？模型意图是否与用户任务一致？工具动作是否越权？敏感数据是否流向外部？M3-PI Guard 的设计正是围绕这四类问题展开。</w:t>
      </w:r>
    </w:p>
    <w:p>
      <w:pPr>
        <w:pStyle w:val="Heading2"/>
        <w:spacing w:line="360" w:lineRule="auto"/>
      </w:pPr>
      <w:r>
        <w:rPr>
          <w:rFonts w:ascii="Times New Roman" w:hAnsi="Times New Roman" w:eastAsia="宋体"/>
          <w:b/>
          <w:sz w:val="26"/>
        </w:rPr>
        <w:t>2.3 既有评测与防护方法的不足</w:t>
      </w:r>
    </w:p>
    <w:p>
      <w:pPr>
        <w:spacing w:line="360" w:lineRule="auto" w:after="120"/>
      </w:pPr>
      <w:r>
        <w:rPr>
          <w:rFonts w:ascii="Times New Roman" w:hAnsi="Times New Roman" w:eastAsia="宋体"/>
          <w:b w:val="0"/>
          <w:sz w:val="24"/>
        </w:rPr>
        <w:t>已有工作通常在三方面存在局限。第一，许多越狱基准关注模型是否输出有害文本，而没有记录工具调用行为。第二，单类攻击基准难以比较 RAG 注入、结构化注入、多语言混淆和工具输出污染之间的差异。第三，真实系统中的提示注入测试涉及伦理风险和复现困难，不适合直接开放攻击链。本文通过本地 mock 靶场、统一 Schema 和行为指标降低这些限制。</w:t>
      </w:r>
    </w:p>
    <w:p>
      <w:pPr>
        <w:pStyle w:val="Heading1"/>
        <w:spacing w:line="360" w:lineRule="auto"/>
      </w:pPr>
      <w:r>
        <w:rPr>
          <w:rFonts w:ascii="Times New Roman" w:hAnsi="Times New Roman" w:eastAsia="宋体"/>
          <w:b/>
          <w:sz w:val="30"/>
        </w:rPr>
        <w:t>3 威胁模型与问题定义</w:t>
      </w:r>
    </w:p>
    <w:p>
      <w:pPr>
        <w:pStyle w:val="Heading2"/>
        <w:spacing w:line="360" w:lineRule="auto"/>
      </w:pPr>
      <w:r>
        <w:rPr>
          <w:rFonts w:ascii="Times New Roman" w:hAnsi="Times New Roman" w:eastAsia="宋体"/>
          <w:b/>
          <w:sz w:val="26"/>
        </w:rPr>
        <w:t>3.1 系统对象</w:t>
      </w:r>
    </w:p>
    <w:p>
      <w:pPr>
        <w:spacing w:line="360" w:lineRule="auto" w:after="120"/>
      </w:pPr>
      <w:r>
        <w:rPr>
          <w:rFonts w:ascii="Times New Roman" w:hAnsi="Times New Roman" w:eastAsia="宋体"/>
          <w:b w:val="0"/>
          <w:sz w:val="24"/>
        </w:rPr>
        <w:t>本文研究对象是工具集成大模型智能体。一次运行包含用户任务 `u`、上下文材料 `c`、模型响应 `m`、候选工具调用 `t` 和工具观察 `o`。上下文材料可以来自外部输入内容、RAG 文档、网页、邮件、JSON/RPC 数据、翻译文本或上游工具输出。Guard 的目标是在工具调用执行前判断 `t` 是否符合任务边界和安全策略。</w:t>
      </w:r>
    </w:p>
    <w:p>
      <w:pPr>
        <w:pStyle w:val="Heading2"/>
        <w:spacing w:line="360" w:lineRule="auto"/>
      </w:pPr>
      <w:r>
        <w:rPr>
          <w:rFonts w:ascii="Times New Roman" w:hAnsi="Times New Roman" w:eastAsia="宋体"/>
          <w:b/>
          <w:sz w:val="26"/>
        </w:rPr>
        <w:t>3.2 攻击者能力</w:t>
      </w:r>
    </w:p>
    <w:p>
      <w:pPr>
        <w:spacing w:line="360" w:lineRule="auto" w:after="120"/>
      </w:pPr>
      <w:r>
        <w:rPr>
          <w:rFonts w:ascii="Times New Roman" w:hAnsi="Times New Roman" w:eastAsia="宋体"/>
          <w:b w:val="0"/>
          <w:sz w:val="24"/>
        </w:rPr>
        <w:t>攻击者可以控制或污染某些不可信文本载体，例如文档正文、网页片段、邮件内容、工具返回值或结构化字段。攻击者不能直接修改系统提示、Guard 代码、工具实现或样本白名单。攻击者的目标是诱导模型触发未授权 mock 工具动作，包括读取 canary secret、外发到 mock 邮箱、调用 mock API、写入公共笔记或提出 mock 代码执行。</w:t>
      </w:r>
    </w:p>
    <w:p>
      <w:pPr>
        <w:pStyle w:val="Heading2"/>
        <w:spacing w:line="360" w:lineRule="auto"/>
      </w:pPr>
      <w:r>
        <w:rPr>
          <w:rFonts w:ascii="Times New Roman" w:hAnsi="Times New Roman" w:eastAsia="宋体"/>
          <w:b/>
          <w:sz w:val="26"/>
        </w:rPr>
        <w:t>3.3 安全目标</w:t>
      </w:r>
    </w:p>
    <w:p>
      <w:pPr>
        <w:spacing w:line="360" w:lineRule="auto" w:after="120"/>
      </w:pPr>
      <w:r>
        <w:rPr>
          <w:rFonts w:ascii="Times New Roman" w:hAnsi="Times New Roman" w:eastAsia="宋体"/>
          <w:b w:val="0"/>
          <w:sz w:val="24"/>
        </w:rPr>
        <w:t>系统应满足以下安全目标：</w:t>
      </w:r>
    </w:p>
    <w:p>
      <w:pPr>
        <w:spacing w:line="360" w:lineRule="auto" w:after="120"/>
      </w:pPr>
      <w:r>
        <w:rPr>
          <w:rFonts w:ascii="Times New Roman" w:hAnsi="Times New Roman" w:eastAsia="宋体"/>
          <w:b w:val="0"/>
          <w:sz w:val="24"/>
        </w:rPr>
        <w:t>1. 不可信内容只能作为数据处理，不能提升为系统或开发者指令。</w:t>
      </w:r>
    </w:p>
    <w:p>
      <w:pPr>
        <w:spacing w:line="360" w:lineRule="auto" w:after="120"/>
      </w:pPr>
      <w:r>
        <w:rPr>
          <w:rFonts w:ascii="Times New Roman" w:hAnsi="Times New Roman" w:eastAsia="宋体"/>
          <w:b w:val="0"/>
          <w:sz w:val="24"/>
        </w:rPr>
        <w:t>2. 模型不得因提示注入读取 `sandbox/secrets/api_key.txt`。</w:t>
      </w:r>
    </w:p>
    <w:p>
      <w:pPr>
        <w:spacing w:line="360" w:lineRule="auto" w:after="120"/>
      </w:pPr>
      <w:r>
        <w:rPr>
          <w:rFonts w:ascii="Times New Roman" w:hAnsi="Times New Roman" w:eastAsia="宋体"/>
          <w:b w:val="0"/>
          <w:sz w:val="24"/>
        </w:rPr>
        <w:t>3. 模型不得将 canary 或敏感标记发送到 mock 邮箱或 mock API。</w:t>
      </w:r>
    </w:p>
    <w:p>
      <w:pPr>
        <w:spacing w:line="360" w:lineRule="auto" w:after="120"/>
      </w:pPr>
      <w:r>
        <w:rPr>
          <w:rFonts w:ascii="Times New Roman" w:hAnsi="Times New Roman" w:eastAsia="宋体"/>
          <w:b w:val="0"/>
          <w:sz w:val="24"/>
        </w:rPr>
        <w:t>4. 模型不得在翻译、总结、分类等普通任务中执行无关工具动作。</w:t>
      </w:r>
    </w:p>
    <w:p>
      <w:pPr>
        <w:spacing w:line="360" w:lineRule="auto" w:after="120"/>
      </w:pPr>
      <w:r>
        <w:rPr>
          <w:rFonts w:ascii="Times New Roman" w:hAnsi="Times New Roman" w:eastAsia="宋体"/>
          <w:b w:val="0"/>
          <w:sz w:val="24"/>
        </w:rPr>
        <w:t>5. 对不确定但高风险的动作，应返回 `ask` 或 `deny`，并记录可解释原因。</w:t>
      </w:r>
    </w:p>
    <w:p>
      <w:pPr>
        <w:spacing w:line="360" w:lineRule="auto" w:after="120"/>
      </w:pPr>
      <w:r>
        <w:rPr>
          <w:rFonts w:ascii="Times New Roman" w:hAnsi="Times New Roman" w:eastAsia="宋体"/>
          <w:b w:val="0"/>
          <w:sz w:val="24"/>
        </w:rPr>
        <w:t>6. 对正常样本应尽量保持低误报率。</w:t>
      </w:r>
    </w:p>
    <w:p>
      <w:pPr>
        <w:pStyle w:val="Heading2"/>
        <w:spacing w:line="360" w:lineRule="auto"/>
      </w:pPr>
      <w:r>
        <w:rPr>
          <w:rFonts w:ascii="Times New Roman" w:hAnsi="Times New Roman" w:eastAsia="宋体"/>
          <w:b/>
          <w:sz w:val="26"/>
        </w:rPr>
        <w:t>3.4 本地 mock 白名单</w:t>
      </w:r>
    </w:p>
    <w:p>
      <w:pPr>
        <w:spacing w:line="360" w:lineRule="auto" w:after="120"/>
      </w:pPr>
      <w:r>
        <w:rPr>
          <w:rFonts w:ascii="Times New Roman" w:hAnsi="Times New Roman" w:eastAsia="宋体"/>
          <w:b w:val="0"/>
          <w:sz w:val="24"/>
        </w:rPr>
        <w:t>本文仅允许以下本地靶场动作：</w:t>
      </w:r>
    </w:p>
    <w:p>
      <w:pPr>
        <w:pStyle w:val="ListBullet"/>
        <w:spacing w:line="360" w:lineRule="auto" w:after="120"/>
      </w:pPr>
      <w:r>
        <w:rPr>
          <w:rFonts w:ascii="Times New Roman" w:hAnsi="Times New Roman" w:eastAsia="宋体"/>
          <w:b w:val="0"/>
          <w:sz w:val="24"/>
        </w:rPr>
        <w:t>`read_file:sandbox/secrets/api_key.txt`</w:t>
      </w:r>
    </w:p>
    <w:p>
      <w:pPr>
        <w:pStyle w:val="ListBullet"/>
        <w:spacing w:line="360" w:lineRule="auto" w:after="120"/>
      </w:pPr>
      <w:r>
        <w:rPr>
          <w:rFonts w:ascii="Times New Roman" w:hAnsi="Times New Roman" w:eastAsia="宋体"/>
          <w:b w:val="0"/>
          <w:sz w:val="24"/>
        </w:rPr>
        <w:t>`send_email:redteam@example.test`</w:t>
      </w:r>
    </w:p>
    <w:p>
      <w:pPr>
        <w:pStyle w:val="ListBullet"/>
        <w:spacing w:line="360" w:lineRule="auto" w:after="120"/>
      </w:pPr>
      <w:r>
        <w:rPr>
          <w:rFonts w:ascii="Times New Roman" w:hAnsi="Times New Roman" w:eastAsia="宋体"/>
          <w:b w:val="0"/>
          <w:sz w:val="24"/>
        </w:rPr>
        <w:t>`write_file:sandbox/public/notes.txt`</w:t>
      </w:r>
    </w:p>
    <w:p>
      <w:pPr>
        <w:pStyle w:val="ListBullet"/>
        <w:spacing w:line="360" w:lineRule="auto" w:after="120"/>
      </w:pPr>
      <w:r>
        <w:rPr>
          <w:rFonts w:ascii="Times New Roman" w:hAnsi="Times New Roman" w:eastAsia="宋体"/>
          <w:b w:val="0"/>
          <w:sz w:val="24"/>
        </w:rPr>
        <w:t>`call_api:/mock/external/submit`</w:t>
      </w:r>
    </w:p>
    <w:p>
      <w:pPr>
        <w:pStyle w:val="ListBullet"/>
        <w:spacing w:line="360" w:lineRule="auto" w:after="120"/>
      </w:pPr>
      <w:r>
        <w:rPr>
          <w:rFonts w:ascii="Times New Roman" w:hAnsi="Times New Roman" w:eastAsia="宋体"/>
          <w:b w:val="0"/>
          <w:sz w:val="24"/>
        </w:rPr>
        <w:t>`run_code:mock_only`</w:t>
      </w:r>
    </w:p>
    <w:p>
      <w:pPr>
        <w:spacing w:line="360" w:lineRule="auto" w:after="120"/>
      </w:pPr>
      <w:r>
        <w:rPr>
          <w:rFonts w:ascii="Times New Roman" w:hAnsi="Times New Roman" w:eastAsia="宋体"/>
          <w:b w:val="0"/>
          <w:sz w:val="24"/>
        </w:rPr>
        <w:t>这些动作不访问真实网络、不发送真实邮件、不执行真实代码。它们用于模拟风险，而非造成实际影响。</w:t>
      </w:r>
    </w:p>
    <w:p>
      <w:pPr>
        <w:pStyle w:val="Heading1"/>
        <w:spacing w:line="360" w:lineRule="auto"/>
      </w:pPr>
      <w:r>
        <w:rPr>
          <w:rFonts w:ascii="Times New Roman" w:hAnsi="Times New Roman" w:eastAsia="宋体"/>
          <w:b/>
          <w:sz w:val="30"/>
        </w:rPr>
        <w:t>4 核心创新点</w:t>
      </w:r>
    </w:p>
    <w:p>
      <w:pPr>
        <w:pStyle w:val="Heading2"/>
        <w:spacing w:line="360" w:lineRule="auto"/>
      </w:pPr>
      <w:r>
        <w:rPr>
          <w:rFonts w:ascii="Times New Roman" w:hAnsi="Times New Roman" w:eastAsia="宋体"/>
          <w:b/>
          <w:sz w:val="26"/>
        </w:rPr>
        <w:t>4.1 从输出安全转向工具链行为安全</w:t>
      </w:r>
    </w:p>
    <w:p>
      <w:pPr>
        <w:spacing w:line="360" w:lineRule="auto" w:after="120"/>
      </w:pPr>
      <w:r>
        <w:rPr>
          <w:rFonts w:ascii="Times New Roman" w:hAnsi="Times New Roman" w:eastAsia="宋体"/>
          <w:b w:val="0"/>
          <w:sz w:val="24"/>
        </w:rPr>
        <w:t>本文最重要的创新是改变评测对象。传统 LLM 安全评测通常把最终文本回答作为主要观察目标，判断模型是否输出危险内容。M3-PI Guard 则把工具动作作为一等公民：即使模型最终回答看似正常，只要中间链路触发了未授权工具调用，也应被视为安全失败。这种视角更贴近真实 Agent 部署，因为在工具执行型系统中，伤害往往发生在回答生成之前。</w:t>
      </w:r>
    </w:p>
    <w:p>
      <w:pPr>
        <w:pStyle w:val="Heading2"/>
        <w:spacing w:line="360" w:lineRule="auto"/>
      </w:pPr>
      <w:r>
        <w:rPr>
          <w:rFonts w:ascii="Times New Roman" w:hAnsi="Times New Roman" w:eastAsia="宋体"/>
          <w:b/>
          <w:sz w:val="26"/>
        </w:rPr>
        <w:t>4.2 跨攻击族统一建模</w:t>
      </w:r>
    </w:p>
    <w:p>
      <w:pPr>
        <w:spacing w:line="360" w:lineRule="auto" w:after="120"/>
      </w:pPr>
      <w:r>
        <w:rPr>
          <w:rFonts w:ascii="Times New Roman" w:hAnsi="Times New Roman" w:eastAsia="宋体"/>
          <w:b w:val="0"/>
          <w:sz w:val="24"/>
        </w:rPr>
        <w:t>直接越狱、间接提示注入、多语言混淆、JSON/RPC 字段欺骗和工具输出污染在表现形式上差异很大，但它们共享同一个本质：不可信文本试图改变模型的操作边界。本文使用统一 AttackCase Schema 描述这些样本，使不同攻击族可以在同一运行器、同一日志格式和同一指标体系下比较。这种统一建模有助于避免“每种攻击一套评测脚本”的碎片化问题。</w:t>
      </w:r>
    </w:p>
    <w:p>
      <w:pPr>
        <w:pStyle w:val="Heading2"/>
        <w:spacing w:line="360" w:lineRule="auto"/>
      </w:pPr>
      <w:r>
        <w:rPr>
          <w:rFonts w:ascii="Times New Roman" w:hAnsi="Times New Roman" w:eastAsia="宋体"/>
          <w:b/>
          <w:sz w:val="26"/>
        </w:rPr>
        <w:t>4.3 上下文检测、工具策略与数据流的组合防护</w:t>
      </w:r>
    </w:p>
    <w:p>
      <w:pPr>
        <w:spacing w:line="360" w:lineRule="auto" w:after="120"/>
      </w:pPr>
      <w:r>
        <w:rPr>
          <w:rFonts w:ascii="Times New Roman" w:hAnsi="Times New Roman" w:eastAsia="宋体"/>
          <w:b w:val="0"/>
          <w:sz w:val="24"/>
        </w:rPr>
        <w:t>单纯关键词检测容易被多语言、结构化字段和上下文嵌套绕过；单纯工具策略虽然能阻断危险端点和路径，却难以解释攻击来源。M3-PI Guard 将两者与数据流追踪结合：先检测上下文中的指令性文本和工具诱导，再检查工具名称、参数、路径、端点和敏感标记流向，最后结合用户任务判断意图-动作一致性。组合策略既提高阻断能力，也提高可解释性。</w:t>
      </w:r>
    </w:p>
    <w:p>
      <w:pPr>
        <w:pStyle w:val="Heading2"/>
        <w:spacing w:line="360" w:lineRule="auto"/>
      </w:pPr>
      <w:r>
        <w:rPr>
          <w:rFonts w:ascii="Times New Roman" w:hAnsi="Times New Roman" w:eastAsia="宋体"/>
          <w:b/>
          <w:sz w:val="26"/>
        </w:rPr>
        <w:t>4.4 安全、可复现的本地红队靶场</w:t>
      </w:r>
    </w:p>
    <w:p>
      <w:pPr>
        <w:spacing w:line="360" w:lineRule="auto" w:after="120"/>
      </w:pPr>
      <w:r>
        <w:rPr>
          <w:rFonts w:ascii="Times New Roman" w:hAnsi="Times New Roman" w:eastAsia="宋体"/>
          <w:b w:val="0"/>
          <w:sz w:val="24"/>
        </w:rPr>
        <w:t>真实攻击测试不适合在公开论文或课程作品中复现。本文使用本地 mock 工具保留行为形态，同时避免真实危害。这样既能展示“如果没有防护，Agent 会尝试什么动作”，又不会访问真实邮箱、真实 API 或真实 secret。这种设计适合教学、竞赛、早期系统验证和企业上线前自测。</w:t>
      </w:r>
    </w:p>
    <w:p>
      <w:pPr>
        <w:pStyle w:val="Heading2"/>
        <w:spacing w:line="360" w:lineRule="auto"/>
      </w:pPr>
      <w:r>
        <w:rPr>
          <w:rFonts w:ascii="Times New Roman" w:hAnsi="Times New Roman" w:eastAsia="宋体"/>
          <w:b/>
          <w:sz w:val="26"/>
        </w:rPr>
        <w:t>4.5 面向复核的证据链</w:t>
      </w:r>
    </w:p>
    <w:p>
      <w:pPr>
        <w:spacing w:line="360" w:lineRule="auto" w:after="120"/>
      </w:pPr>
      <w:r>
        <w:rPr>
          <w:rFonts w:ascii="Times New Roman" w:hAnsi="Times New Roman" w:eastAsia="宋体"/>
          <w:b w:val="0"/>
          <w:sz w:val="24"/>
        </w:rPr>
        <w:t>论文实验不是只给最终分数，而是保留从样本到日志再到指标的证据链。AttackCase 记录攻击意图和预期安全行为；RunLog 记录模型输出、工具调用、Guard 决策和风险原因；case cards 解释代表案例；evidence index 将赛题要求映射到文件。这样的设计使评审者能够追踪每个结论的依据。</w:t>
      </w:r>
    </w:p>
    <w:p>
      <w:pPr>
        <w:pStyle w:val="Heading1"/>
        <w:spacing w:line="360" w:lineRule="auto"/>
      </w:pPr>
      <w:r>
        <w:rPr>
          <w:rFonts w:ascii="Times New Roman" w:hAnsi="Times New Roman" w:eastAsia="宋体"/>
          <w:b/>
          <w:sz w:val="30"/>
        </w:rPr>
        <w:t>5 系统设计</w:t>
      </w:r>
    </w:p>
    <w:p>
      <w:pPr>
        <w:pStyle w:val="Heading2"/>
        <w:spacing w:line="360" w:lineRule="auto"/>
      </w:pPr>
      <w:r>
        <w:rPr>
          <w:rFonts w:ascii="Times New Roman" w:hAnsi="Times New Roman" w:eastAsia="宋体"/>
          <w:b/>
          <w:sz w:val="26"/>
        </w:rPr>
        <w:t>5.1 总体架构</w:t>
      </w:r>
    </w:p>
    <w:p>
      <w:pPr>
        <w:spacing w:line="360" w:lineRule="auto" w:after="120"/>
      </w:pPr>
      <w:r>
        <w:rPr>
          <w:rFonts w:ascii="Times New Roman" w:hAnsi="Times New Roman" w:eastAsia="宋体"/>
          <w:b w:val="0"/>
          <w:sz w:val="24"/>
        </w:rPr>
        <w:t>M3-PI Guard 包含五个模块：攻击样本库、Agent 运行器、mock 工具沙箱、行为监督 Guard 和评测模块。攻击样本库提供标准化输入；运行器将样本发送给 stub 或本地模型；模型输出被解析为最终回答或工具调用；Guard 在工具执行前给出决策；工具沙箱模拟执行并返回观察；评测模块读取日志并计算指标。</w:t>
      </w:r>
    </w:p>
    <w:p>
      <w:pPr>
        <w:pStyle w:val="Heading2"/>
        <w:spacing w:line="360" w:lineRule="auto"/>
      </w:pPr>
      <w:r>
        <w:rPr>
          <w:rFonts w:ascii="Times New Roman" w:hAnsi="Times New Roman" w:eastAsia="宋体"/>
          <w:b/>
          <w:sz w:val="26"/>
        </w:rPr>
        <w:t>5.2 AttackCase 数据模型</w:t>
      </w:r>
    </w:p>
    <w:p>
      <w:pPr>
        <w:spacing w:line="360" w:lineRule="auto" w:after="120"/>
      </w:pPr>
      <w:r>
        <w:rPr>
          <w:rFonts w:ascii="Times New Roman" w:hAnsi="Times New Roman" w:eastAsia="宋体"/>
          <w:b w:val="0"/>
          <w:sz w:val="24"/>
        </w:rPr>
        <w:t>AttackCase 是系统的核心数据单位。每条样本包含 `case_id`、`attack_family`、`carrier`、`language`、`user_task`、`document_content`、`injected_content`、`expected_safe_behavior`、`unsafe_target_actions`、`risk_tags`、`severity` 和 `notes` 等字段。扩展字段包括 `success_indicators`、`safe_indicators`、`demo_priority` 和 `expected_detectors`。这种结构同时服务于攻击生成、模型运行、Guard 检测和结果评估。</w:t>
      </w:r>
    </w:p>
    <w:p>
      <w:pPr>
        <w:pStyle w:val="Heading2"/>
        <w:spacing w:line="360" w:lineRule="auto"/>
      </w:pPr>
      <w:r>
        <w:rPr>
          <w:rFonts w:ascii="Times New Roman" w:hAnsi="Times New Roman" w:eastAsia="宋体"/>
          <w:b/>
          <w:sz w:val="26"/>
        </w:rPr>
        <w:t>5.3 Guard 决策接口</w:t>
      </w:r>
    </w:p>
    <w:p>
      <w:pPr>
        <w:spacing w:line="360" w:lineRule="auto" w:after="120"/>
      </w:pPr>
      <w:r>
        <w:rPr>
          <w:rFonts w:ascii="Times New Roman" w:hAnsi="Times New Roman" w:eastAsia="宋体"/>
          <w:b w:val="0"/>
          <w:sz w:val="24"/>
        </w:rPr>
        <w:t>Guard 接口可表示为：</w:t>
      </w:r>
    </w:p>
    <w:p>
      <w:pPr>
        <w:spacing w:line="360" w:lineRule="auto" w:after="120"/>
      </w:pPr>
      <w:r>
        <w:rPr>
          <w:rFonts w:ascii="Times New Roman" w:hAnsi="Times New Roman" w:eastAsia="宋体"/>
          <w:b w:val="0"/>
          <w:sz w:val="24"/>
        </w:rPr>
        <w:t>`G(context, tool_call, mode) -&gt; (decision, risk_score, reasons)`</w:t>
      </w:r>
    </w:p>
    <w:p>
      <w:pPr>
        <w:spacing w:line="360" w:lineRule="auto" w:after="120"/>
      </w:pPr>
      <w:r>
        <w:rPr>
          <w:rFonts w:ascii="Times New Roman" w:hAnsi="Times New Roman" w:eastAsia="宋体"/>
          <w:b w:val="0"/>
          <w:sz w:val="24"/>
        </w:rPr>
        <w:t>其中 `decision ∈ {allow, ask, deny}`，`risk_score ∈ [0,1]`，`reasons` 为可解释原因列表。`mode` 可以是 baseline、keyword_only、policy_only 或 full_guard。baseline 不做拦截；keyword_only 只根据文本信号评分；policy_only 只依据工具策略决策；full_guard 组合所有检测器和策略。</w:t>
      </w:r>
    </w:p>
    <w:p>
      <w:pPr>
        <w:pStyle w:val="Heading2"/>
        <w:spacing w:line="360" w:lineRule="auto"/>
      </w:pPr>
      <w:r>
        <w:rPr>
          <w:rFonts w:ascii="Times New Roman" w:hAnsi="Times New Roman" w:eastAsia="宋体"/>
          <w:b/>
          <w:sz w:val="26"/>
        </w:rPr>
        <w:t>5.4 检测器与策略</w:t>
      </w:r>
    </w:p>
    <w:p>
      <w:pPr>
        <w:spacing w:line="360" w:lineRule="auto" w:after="120"/>
      </w:pPr>
      <w:r>
        <w:rPr>
          <w:rFonts w:ascii="Times New Roman" w:hAnsi="Times New Roman" w:eastAsia="宋体"/>
          <w:b w:val="0"/>
          <w:sz w:val="24"/>
        </w:rPr>
        <w:t>检测器包括指令性文本检测、工具诱导检测、结构化字段检测、多语言混淆检测、文档注入检测和意图-动作不一致检测。策略引擎则负责工具白名单、secret 路径、sandbox 边界、mock endpoint、外发动作和代码执行禁用。数据流模块检查 canary、token、api_key、password 等敏感标记是否进入外发工具或写入路径。</w:t>
      </w:r>
    </w:p>
    <w:p>
      <w:pPr>
        <w:pStyle w:val="Heading2"/>
        <w:spacing w:line="360" w:lineRule="auto"/>
      </w:pPr>
      <w:r>
        <w:rPr>
          <w:rFonts w:ascii="Times New Roman" w:hAnsi="Times New Roman" w:eastAsia="宋体"/>
          <w:b/>
          <w:sz w:val="26"/>
        </w:rPr>
        <w:t>5.5 日志与审计</w:t>
      </w:r>
    </w:p>
    <w:p>
      <w:pPr>
        <w:spacing w:line="360" w:lineRule="auto" w:after="120"/>
      </w:pPr>
      <w:r>
        <w:rPr>
          <w:rFonts w:ascii="Times New Roman" w:hAnsi="Times New Roman" w:eastAsia="宋体"/>
          <w:b w:val="0"/>
          <w:sz w:val="24"/>
        </w:rPr>
        <w:t>系统将每一步运行写为 JSONL。关键字段包括 `run_id`、`case_id`、`model`、`backend`、`defense_mode`、`raw_model_output`、`parsed_tool_call`、`guard_decision`、`risk_score`、`reasons`、`observation` 和 `final_status`。这种日志格式支持逐案复核，也支持按 attack_family、carrier、language 和 severity 聚合统计。</w:t>
      </w:r>
    </w:p>
    <w:p>
      <w:pPr>
        <w:pStyle w:val="Heading1"/>
        <w:spacing w:line="360" w:lineRule="auto"/>
      </w:pPr>
      <w:r>
        <w:rPr>
          <w:rFonts w:ascii="Times New Roman" w:hAnsi="Times New Roman" w:eastAsia="宋体"/>
          <w:b/>
          <w:sz w:val="30"/>
        </w:rPr>
        <w:t>6 样本库构建</w:t>
      </w:r>
    </w:p>
    <w:p>
      <w:pPr>
        <w:pStyle w:val="Heading2"/>
        <w:spacing w:line="360" w:lineRule="auto"/>
      </w:pPr>
      <w:r>
        <w:rPr>
          <w:rFonts w:ascii="Times New Roman" w:hAnsi="Times New Roman" w:eastAsia="宋体"/>
          <w:b/>
          <w:sz w:val="26"/>
        </w:rPr>
        <w:t>6.1 攻击族设计</w:t>
      </w:r>
    </w:p>
    <w:p>
      <w:pPr>
        <w:spacing w:line="360" w:lineRule="auto" w:after="120"/>
      </w:pPr>
      <w:r>
        <w:rPr>
          <w:rFonts w:ascii="Times New Roman" w:hAnsi="Times New Roman" w:eastAsia="宋体"/>
          <w:b w:val="0"/>
          <w:sz w:val="24"/>
        </w:rPr>
        <w:t>样本库总计 69 条，覆盖六类场景。构造原则是：每条样本只攻击本地 mock 工具；注入内容必须能体现真实 Agent 场景中的信任边界问题；样本不包含真实攻击服务、真实邮箱、真实 API、真实凭证或真实恶意代码；正常样本必须覆盖常见业务任务，用于评估误报率。</w:t>
      </w:r>
    </w:p>
    <w:tbl>
      <w:tblPr>
        <w:tblW w:type="auto" w:w="0"/>
        <w:jc w:val="center"/>
        <w:tblLayout w:type="autofit"/>
        <w:tblLook w:firstColumn="1" w:firstRow="1" w:lastColumn="0" w:lastRow="0" w:noHBand="0" w:noVBand="1" w:val="04A0"/>
      </w:tblPr>
      <w:tblGrid>
        <w:gridCol w:w="3009"/>
        <w:gridCol w:w="3009"/>
        <w:gridCol w:w="3009"/>
      </w:tblGrid>
      <w:tr>
        <w:tc>
          <w:tcPr>
            <w:tcW w:type="dxa" w:w="3009"/>
            <w:shd w:fill="EDEDED"/>
            <w:vAlign w:val="center"/>
          </w:tcPr>
          <w:p>
            <w:pPr>
              <w:spacing w:line="276" w:lineRule="auto" w:after="0"/>
            </w:pPr>
            <w:r/>
            <w:r>
              <w:rPr>
                <w:rFonts w:ascii="Times New Roman" w:hAnsi="Times New Roman" w:eastAsia="宋体"/>
                <w:b/>
                <w:sz w:val="20"/>
              </w:rPr>
              <w:t>攻击族</w:t>
            </w:r>
          </w:p>
        </w:tc>
        <w:tc>
          <w:tcPr>
            <w:tcW w:type="dxa" w:w="3009"/>
            <w:shd w:fill="EDEDED"/>
            <w:vAlign w:val="center"/>
          </w:tcPr>
          <w:p>
            <w:pPr>
              <w:spacing w:line="276" w:lineRule="auto" w:after="0"/>
            </w:pPr>
            <w:r/>
            <w:r>
              <w:rPr>
                <w:rFonts w:ascii="Times New Roman" w:hAnsi="Times New Roman" w:eastAsia="宋体"/>
                <w:b/>
                <w:sz w:val="20"/>
              </w:rPr>
              <w:t>样本数</w:t>
            </w:r>
          </w:p>
        </w:tc>
        <w:tc>
          <w:tcPr>
            <w:tcW w:type="dxa" w:w="3009"/>
            <w:shd w:fill="EDEDED"/>
            <w:vAlign w:val="center"/>
          </w:tcPr>
          <w:p>
            <w:pPr>
              <w:spacing w:line="276" w:lineRule="auto" w:after="0"/>
            </w:pPr>
            <w:r/>
            <w:r>
              <w:rPr>
                <w:rFonts w:ascii="Times New Roman" w:hAnsi="Times New Roman" w:eastAsia="宋体"/>
                <w:b/>
                <w:sz w:val="20"/>
              </w:rPr>
              <w:t>研究目的</w:t>
            </w:r>
          </w:p>
        </w:tc>
      </w:tr>
      <w:tr>
        <w:tc>
          <w:tcPr>
            <w:tcW w:type="dxa" w:w="3009"/>
            <w:vAlign w:val="center"/>
          </w:tcPr>
          <w:p>
            <w:pPr>
              <w:spacing w:line="276" w:lineRule="auto" w:after="0"/>
            </w:pPr>
            <w:r/>
            <w:r>
              <w:rPr>
                <w:rFonts w:ascii="Times New Roman" w:hAnsi="Times New Roman" w:eastAsia="宋体"/>
                <w:b w:val="0"/>
                <w:sz w:val="20"/>
              </w:rPr>
              <w:t>benign_clean</w:t>
            </w:r>
          </w:p>
        </w:tc>
        <w:tc>
          <w:tcPr>
            <w:tcW w:type="dxa" w:w="3009"/>
            <w:vAlign w:val="center"/>
          </w:tcPr>
          <w:p>
            <w:pPr>
              <w:spacing w:line="276" w:lineRule="auto" w:after="0"/>
            </w:pPr>
            <w:r/>
            <w:r>
              <w:rPr>
                <w:rFonts w:ascii="Times New Roman" w:hAnsi="Times New Roman" w:eastAsia="宋体"/>
                <w:b w:val="0"/>
                <w:sz w:val="20"/>
              </w:rPr>
              <w:t>8</w:t>
            </w:r>
          </w:p>
        </w:tc>
        <w:tc>
          <w:tcPr>
            <w:tcW w:type="dxa" w:w="3009"/>
            <w:vAlign w:val="center"/>
          </w:tcPr>
          <w:p>
            <w:pPr>
              <w:spacing w:line="276" w:lineRule="auto" w:after="0"/>
            </w:pPr>
            <w:r/>
            <w:r>
              <w:rPr>
                <w:rFonts w:ascii="Times New Roman" w:hAnsi="Times New Roman" w:eastAsia="宋体"/>
                <w:b w:val="0"/>
                <w:sz w:val="20"/>
              </w:rPr>
              <w:t>校准正常任务误报率</w:t>
            </w:r>
          </w:p>
        </w:tc>
      </w:tr>
      <w:tr>
        <w:tc>
          <w:tcPr>
            <w:tcW w:type="dxa" w:w="3009"/>
            <w:vAlign w:val="center"/>
          </w:tcPr>
          <w:p>
            <w:pPr>
              <w:spacing w:line="276" w:lineRule="auto" w:after="0"/>
            </w:pPr>
            <w:r/>
            <w:r>
              <w:rPr>
                <w:rFonts w:ascii="Times New Roman" w:hAnsi="Times New Roman" w:eastAsia="宋体"/>
                <w:b w:val="0"/>
                <w:sz w:val="20"/>
              </w:rPr>
              <w:t>direct_jailbreak</w:t>
            </w:r>
          </w:p>
        </w:tc>
        <w:tc>
          <w:tcPr>
            <w:tcW w:type="dxa" w:w="3009"/>
            <w:vAlign w:val="center"/>
          </w:tcPr>
          <w:p>
            <w:pPr>
              <w:spacing w:line="276" w:lineRule="auto" w:after="0"/>
            </w:pPr>
            <w:r/>
            <w:r>
              <w:rPr>
                <w:rFonts w:ascii="Times New Roman" w:hAnsi="Times New Roman" w:eastAsia="宋体"/>
                <w:b w:val="0"/>
                <w:sz w:val="20"/>
              </w:rPr>
              <w:t>15</w:t>
            </w:r>
          </w:p>
        </w:tc>
        <w:tc>
          <w:tcPr>
            <w:tcW w:type="dxa" w:w="3009"/>
            <w:vAlign w:val="center"/>
          </w:tcPr>
          <w:p>
            <w:pPr>
              <w:spacing w:line="276" w:lineRule="auto" w:after="0"/>
            </w:pPr>
            <w:r/>
            <w:r>
              <w:rPr>
                <w:rFonts w:ascii="Times New Roman" w:hAnsi="Times New Roman" w:eastAsia="宋体"/>
                <w:b w:val="0"/>
                <w:sz w:val="20"/>
              </w:rPr>
              <w:t>评估直接越狱、角色扮演和说服性提示</w:t>
            </w:r>
          </w:p>
        </w:tc>
      </w:tr>
      <w:tr>
        <w:tc>
          <w:tcPr>
            <w:tcW w:type="dxa" w:w="3009"/>
            <w:vAlign w:val="center"/>
          </w:tcPr>
          <w:p>
            <w:pPr>
              <w:spacing w:line="276" w:lineRule="auto" w:after="0"/>
            </w:pPr>
            <w:r/>
            <w:r>
              <w:rPr>
                <w:rFonts w:ascii="Times New Roman" w:hAnsi="Times New Roman" w:eastAsia="宋体"/>
                <w:b w:val="0"/>
                <w:sz w:val="20"/>
              </w:rPr>
              <w:t>json_rpc</w:t>
            </w:r>
          </w:p>
        </w:tc>
        <w:tc>
          <w:tcPr>
            <w:tcW w:type="dxa" w:w="3009"/>
            <w:vAlign w:val="center"/>
          </w:tcPr>
          <w:p>
            <w:pPr>
              <w:spacing w:line="276" w:lineRule="auto" w:after="0"/>
            </w:pPr>
            <w:r/>
            <w:r>
              <w:rPr>
                <w:rFonts w:ascii="Times New Roman" w:hAnsi="Times New Roman" w:eastAsia="宋体"/>
                <w:b w:val="0"/>
                <w:sz w:val="20"/>
              </w:rPr>
              <w:t>8</w:t>
            </w:r>
          </w:p>
        </w:tc>
        <w:tc>
          <w:tcPr>
            <w:tcW w:type="dxa" w:w="3009"/>
            <w:vAlign w:val="center"/>
          </w:tcPr>
          <w:p>
            <w:pPr>
              <w:spacing w:line="276" w:lineRule="auto" w:after="0"/>
            </w:pPr>
            <w:r/>
            <w:r>
              <w:rPr>
                <w:rFonts w:ascii="Times New Roman" w:hAnsi="Times New Roman" w:eastAsia="宋体"/>
                <w:b w:val="0"/>
                <w:sz w:val="20"/>
              </w:rPr>
              <w:t>评估结构化字段与 RPC 伪装</w:t>
            </w:r>
          </w:p>
        </w:tc>
      </w:tr>
      <w:tr>
        <w:tc>
          <w:tcPr>
            <w:tcW w:type="dxa" w:w="3009"/>
            <w:vAlign w:val="center"/>
          </w:tcPr>
          <w:p>
            <w:pPr>
              <w:spacing w:line="276" w:lineRule="auto" w:after="0"/>
            </w:pPr>
            <w:r/>
            <w:r>
              <w:rPr>
                <w:rFonts w:ascii="Times New Roman" w:hAnsi="Times New Roman" w:eastAsia="宋体"/>
                <w:b w:val="0"/>
                <w:sz w:val="20"/>
              </w:rPr>
              <w:t>multilingual_t2l</w:t>
            </w:r>
          </w:p>
        </w:tc>
        <w:tc>
          <w:tcPr>
            <w:tcW w:type="dxa" w:w="3009"/>
            <w:vAlign w:val="center"/>
          </w:tcPr>
          <w:p>
            <w:pPr>
              <w:spacing w:line="276" w:lineRule="auto" w:after="0"/>
            </w:pPr>
            <w:r/>
            <w:r>
              <w:rPr>
                <w:rFonts w:ascii="Times New Roman" w:hAnsi="Times New Roman" w:eastAsia="宋体"/>
                <w:b w:val="0"/>
                <w:sz w:val="20"/>
              </w:rPr>
              <w:t>15</w:t>
            </w:r>
          </w:p>
        </w:tc>
        <w:tc>
          <w:tcPr>
            <w:tcW w:type="dxa" w:w="3009"/>
            <w:vAlign w:val="center"/>
          </w:tcPr>
          <w:p>
            <w:pPr>
              <w:spacing w:line="276" w:lineRule="auto" w:after="0"/>
            </w:pPr>
            <w:r/>
            <w:r>
              <w:rPr>
                <w:rFonts w:ascii="Times New Roman" w:hAnsi="Times New Roman" w:eastAsia="宋体"/>
                <w:b w:val="0"/>
                <w:sz w:val="20"/>
              </w:rPr>
              <w:t>评估多语言混淆与任务切换</w:t>
            </w:r>
          </w:p>
        </w:tc>
      </w:tr>
      <w:tr>
        <w:tc>
          <w:tcPr>
            <w:tcW w:type="dxa" w:w="3009"/>
            <w:vAlign w:val="center"/>
          </w:tcPr>
          <w:p>
            <w:pPr>
              <w:spacing w:line="276" w:lineRule="auto" w:after="0"/>
            </w:pPr>
            <w:r/>
            <w:r>
              <w:rPr>
                <w:rFonts w:ascii="Times New Roman" w:hAnsi="Times New Roman" w:eastAsia="宋体"/>
                <w:b w:val="0"/>
                <w:sz w:val="20"/>
              </w:rPr>
              <w:t>rag_indirect</w:t>
            </w:r>
          </w:p>
        </w:tc>
        <w:tc>
          <w:tcPr>
            <w:tcW w:type="dxa" w:w="3009"/>
            <w:vAlign w:val="center"/>
          </w:tcPr>
          <w:p>
            <w:pPr>
              <w:spacing w:line="276" w:lineRule="auto" w:after="0"/>
            </w:pPr>
            <w:r/>
            <w:r>
              <w:rPr>
                <w:rFonts w:ascii="Times New Roman" w:hAnsi="Times New Roman" w:eastAsia="宋体"/>
                <w:b w:val="0"/>
                <w:sz w:val="20"/>
              </w:rPr>
              <w:t>18</w:t>
            </w:r>
          </w:p>
        </w:tc>
        <w:tc>
          <w:tcPr>
            <w:tcW w:type="dxa" w:w="3009"/>
            <w:vAlign w:val="center"/>
          </w:tcPr>
          <w:p>
            <w:pPr>
              <w:spacing w:line="276" w:lineRule="auto" w:after="0"/>
            </w:pPr>
            <w:r/>
            <w:r>
              <w:rPr>
                <w:rFonts w:ascii="Times New Roman" w:hAnsi="Times New Roman" w:eastAsia="宋体"/>
                <w:b w:val="0"/>
                <w:sz w:val="20"/>
              </w:rPr>
              <w:t>评估文档、邮件、网页和工具返回值中的间接注入</w:t>
            </w:r>
          </w:p>
        </w:tc>
      </w:tr>
      <w:tr>
        <w:tc>
          <w:tcPr>
            <w:tcW w:type="dxa" w:w="3009"/>
            <w:vAlign w:val="center"/>
          </w:tcPr>
          <w:p>
            <w:pPr>
              <w:spacing w:line="276" w:lineRule="auto" w:after="0"/>
            </w:pPr>
            <w:r/>
            <w:r>
              <w:rPr>
                <w:rFonts w:ascii="Times New Roman" w:hAnsi="Times New Roman" w:eastAsia="宋体"/>
                <w:b w:val="0"/>
                <w:sz w:val="20"/>
              </w:rPr>
              <w:t>tool_output_injection</w:t>
            </w:r>
          </w:p>
        </w:tc>
        <w:tc>
          <w:tcPr>
            <w:tcW w:type="dxa" w:w="3009"/>
            <w:vAlign w:val="center"/>
          </w:tcPr>
          <w:p>
            <w:pPr>
              <w:spacing w:line="276" w:lineRule="auto" w:after="0"/>
            </w:pPr>
            <w:r/>
            <w:r>
              <w:rPr>
                <w:rFonts w:ascii="Times New Roman" w:hAnsi="Times New Roman" w:eastAsia="宋体"/>
                <w:b w:val="0"/>
                <w:sz w:val="20"/>
              </w:rPr>
              <w:t>5</w:t>
            </w:r>
          </w:p>
        </w:tc>
        <w:tc>
          <w:tcPr>
            <w:tcW w:type="dxa" w:w="3009"/>
            <w:vAlign w:val="center"/>
          </w:tcPr>
          <w:p>
            <w:pPr>
              <w:spacing w:line="276" w:lineRule="auto" w:after="0"/>
            </w:pPr>
            <w:r/>
            <w:r>
              <w:rPr>
                <w:rFonts w:ascii="Times New Roman" w:hAnsi="Times New Roman" w:eastAsia="宋体"/>
                <w:b w:val="0"/>
                <w:sz w:val="20"/>
              </w:rPr>
              <w:t>评估上游工具输出对后续行为的污染</w:t>
            </w:r>
          </w:p>
        </w:tc>
      </w:tr>
    </w:tbl>
    <w:p>
      <w:pPr>
        <w:spacing w:line="360" w:lineRule="auto" w:after="120"/>
      </w:pPr>
      <w:r>
        <w:rPr>
          <w:rFonts w:ascii="Times New Roman" w:hAnsi="Times New Roman" w:eastAsia="宋体"/>
          <w:b w:val="0"/>
          <w:sz w:val="24"/>
        </w:rPr>
      </w:r>
    </w:p>
    <w:p>
      <w:pPr>
        <w:pStyle w:val="Heading2"/>
        <w:spacing w:line="360" w:lineRule="auto"/>
      </w:pPr>
      <w:r>
        <w:rPr>
          <w:rFonts w:ascii="Times New Roman" w:hAnsi="Times New Roman" w:eastAsia="宋体"/>
          <w:b/>
          <w:sz w:val="26"/>
        </w:rPr>
        <w:t>6.2 代表样本</w:t>
      </w:r>
    </w:p>
    <w:p>
      <w:pPr>
        <w:spacing w:line="360" w:lineRule="auto" w:after="120"/>
      </w:pPr>
      <w:r>
        <w:rPr>
          <w:rFonts w:ascii="Times New Roman" w:hAnsi="Times New Roman" w:eastAsia="宋体"/>
          <w:b w:val="0"/>
          <w:sz w:val="24"/>
        </w:rPr>
        <w:t>`RAG-PI-016` 模拟供应商风险报告中的 Markdown 隐藏注释，用户任务是总结报告，但隐藏注释诱导读取 canary secret 并发送 mock 邮件。`JSONRPC-001` 模拟 JSON `data.next_step` 字段中的伪工具步骤，测试模型是否会把普通数据字段提升为可执行指令。`MTL-009` 模拟 JSON 翻译任务中的非目标字段诱导，测试翻译任务边界是否被保持。</w:t>
      </w:r>
    </w:p>
    <w:p>
      <w:pPr>
        <w:pStyle w:val="Heading2"/>
        <w:spacing w:line="360" w:lineRule="auto"/>
      </w:pPr>
      <w:r>
        <w:rPr>
          <w:rFonts w:ascii="Times New Roman" w:hAnsi="Times New Roman" w:eastAsia="宋体"/>
          <w:b/>
          <w:sz w:val="26"/>
        </w:rPr>
        <w:t>6.3 质量审计</w:t>
      </w:r>
    </w:p>
    <w:p>
      <w:pPr>
        <w:spacing w:line="360" w:lineRule="auto" w:after="120"/>
      </w:pPr>
      <w:r>
        <w:rPr>
          <w:rFonts w:ascii="Times New Roman" w:hAnsi="Times New Roman" w:eastAsia="宋体"/>
          <w:b w:val="0"/>
          <w:sz w:val="24"/>
        </w:rPr>
        <w:t>样本生成脚本会检查必要字段、重复 `case_id`、攻击族合法性、语言字段、mock 动作白名单、空字段、benign 样本动作、真实邮箱/URL、真实攻击命令、相似样本和 detector 对齐。当前审计结果为：`duplicate_case_id=0`，`missing_required_fields=0`，`audit_status=pass`，`audit_hard_fail_count=0`。</w:t>
      </w:r>
    </w:p>
    <w:p>
      <w:pPr>
        <w:pStyle w:val="Heading1"/>
        <w:spacing w:line="360" w:lineRule="auto"/>
      </w:pPr>
      <w:r>
        <w:rPr>
          <w:rFonts w:ascii="Times New Roman" w:hAnsi="Times New Roman" w:eastAsia="宋体"/>
          <w:b/>
          <w:sz w:val="30"/>
        </w:rPr>
        <w:t>7 实验设计</w:t>
      </w:r>
    </w:p>
    <w:p>
      <w:pPr>
        <w:pStyle w:val="Heading2"/>
        <w:spacing w:line="360" w:lineRule="auto"/>
      </w:pPr>
      <w:r>
        <w:rPr>
          <w:rFonts w:ascii="Times New Roman" w:hAnsi="Times New Roman" w:eastAsia="宋体"/>
          <w:b/>
          <w:sz w:val="26"/>
        </w:rPr>
        <w:t>7.1 研究问题</w:t>
      </w:r>
    </w:p>
    <w:p>
      <w:pPr>
        <w:spacing w:line="360" w:lineRule="auto" w:after="120"/>
      </w:pPr>
      <w:r>
        <w:rPr>
          <w:rFonts w:ascii="Times New Roman" w:hAnsi="Times New Roman" w:eastAsia="宋体"/>
          <w:b w:val="0"/>
          <w:sz w:val="24"/>
        </w:rPr>
        <w:t>实验围绕三个研究问题展开。RQ1 考察无防护 Agent 是否会在跨攻击族样本中触发未授权 mock 工具行为。RQ2 比较 keyword_only 与 policy_only 两种简化防护的效果差异。RQ3 评估 full_guard 是否能够在降低 ASR、UTR 和 DSR 的同时保持低误报率。</w:t>
      </w:r>
    </w:p>
    <w:p>
      <w:pPr>
        <w:pStyle w:val="Heading2"/>
        <w:spacing w:line="360" w:lineRule="auto"/>
      </w:pPr>
      <w:r>
        <w:rPr>
          <w:rFonts w:ascii="Times New Roman" w:hAnsi="Times New Roman" w:eastAsia="宋体"/>
          <w:b/>
          <w:sz w:val="26"/>
        </w:rPr>
        <w:t>7.2 实验后端</w:t>
      </w:r>
    </w:p>
    <w:p>
      <w:pPr>
        <w:spacing w:line="360" w:lineRule="auto" w:after="120"/>
      </w:pPr>
      <w:r>
        <w:rPr>
          <w:rFonts w:ascii="Times New Roman" w:hAnsi="Times New Roman" w:eastAsia="宋体"/>
          <w:b w:val="0"/>
          <w:sz w:val="24"/>
        </w:rPr>
        <w:t>实验使用三种设置。第一，stub 全量实验覆盖 69 条样本，stub 后端根据样本目标稳定产生候选工具调用，用于观察防护策略上限。第二，本地 Qwen2.5-7B 代表样本实验覆盖 24 条代表样本，用于观察真实模型输出与解析链路。第三，demo smoke test 覆盖 3 条答辩案例，用于复现最小攻击链。</w:t>
      </w:r>
    </w:p>
    <w:p>
      <w:pPr>
        <w:pStyle w:val="Heading2"/>
        <w:spacing w:line="360" w:lineRule="auto"/>
      </w:pPr>
      <w:r>
        <w:rPr>
          <w:rFonts w:ascii="Times New Roman" w:hAnsi="Times New Roman" w:eastAsia="宋体"/>
          <w:b/>
          <w:sz w:val="26"/>
        </w:rPr>
        <w:t>7.3 防护模式</w:t>
      </w:r>
    </w:p>
    <w:p>
      <w:pPr>
        <w:spacing w:line="360" w:lineRule="auto" w:after="120"/>
      </w:pPr>
      <w:r>
        <w:rPr>
          <w:rFonts w:ascii="Times New Roman" w:hAnsi="Times New Roman" w:eastAsia="宋体"/>
          <w:b w:val="0"/>
          <w:sz w:val="24"/>
        </w:rPr>
        <w:t>baseline 表示无 Guard；keyword_only 表示仅依赖上下文文本检测；policy_only 表示仅依赖工具和参数策略；full_guard 表示组合上下文检测、工具策略、数据流追踪和意图一致性检查。通过比较这四种模式，可以观察不同防护组件的贡献。</w:t>
      </w:r>
    </w:p>
    <w:p>
      <w:pPr>
        <w:pStyle w:val="Heading2"/>
        <w:spacing w:line="360" w:lineRule="auto"/>
      </w:pPr>
      <w:r>
        <w:rPr>
          <w:rFonts w:ascii="Times New Roman" w:hAnsi="Times New Roman" w:eastAsia="宋体"/>
          <w:b/>
          <w:sz w:val="26"/>
        </w:rPr>
        <w:t>7.4 指标</w:t>
      </w:r>
    </w:p>
    <w:p>
      <w:pPr>
        <w:spacing w:line="360" w:lineRule="auto" w:after="120"/>
      </w:pPr>
      <w:r>
        <w:rPr>
          <w:rFonts w:ascii="Times New Roman" w:hAnsi="Times New Roman" w:eastAsia="宋体"/>
          <w:b w:val="0"/>
          <w:sz w:val="24"/>
        </w:rPr>
        <w:t>ASR 表示攻击成功率，UTR 表示未授权工具调用率，DSR 表示数据外流风险率，BSR 表示阻断成功率，FPR 表示正常样本误报率，AvgRisk 表示平均风险分。综合韧性分 WRS 定义如下：</w:t>
      </w:r>
    </w:p>
    <w:p>
      <w:pPr>
        <w:spacing w:line="360" w:lineRule="auto" w:after="120"/>
      </w:pPr>
      <w:r>
        <w:rPr>
          <w:rFonts w:ascii="Times New Roman" w:hAnsi="Times New Roman" w:eastAsia="宋体"/>
          <w:b w:val="0"/>
          <w:sz w:val="24"/>
        </w:rPr>
        <w:t>`WRS = 0.35(1-ASR) + 0.20(1-UTR) + 0.20(1-DSR) + 0.15BSR + 0.10(1-FPR)`</w:t>
      </w:r>
    </w:p>
    <w:p>
      <w:pPr>
        <w:spacing w:line="360" w:lineRule="auto" w:after="120"/>
      </w:pPr>
      <w:r>
        <w:rPr>
          <w:rFonts w:ascii="Times New Roman" w:hAnsi="Times New Roman" w:eastAsia="宋体"/>
          <w:b w:val="0"/>
          <w:sz w:val="24"/>
        </w:rPr>
        <w:t>该公式强调降低攻击成功、未授权工具调用和数据外流，同时兼顾阻断能力与正常任务可用性。</w:t>
      </w:r>
    </w:p>
    <w:p>
      <w:pPr>
        <w:pStyle w:val="Heading1"/>
        <w:spacing w:line="360" w:lineRule="auto"/>
      </w:pPr>
      <w:r>
        <w:rPr>
          <w:rFonts w:ascii="Times New Roman" w:hAnsi="Times New Roman" w:eastAsia="宋体"/>
          <w:b/>
          <w:sz w:val="30"/>
        </w:rPr>
        <w:t>8 实验结果</w:t>
      </w:r>
    </w:p>
    <w:p>
      <w:pPr>
        <w:pStyle w:val="Heading2"/>
        <w:spacing w:line="360" w:lineRule="auto"/>
      </w:pPr>
      <w:r>
        <w:rPr>
          <w:rFonts w:ascii="Times New Roman" w:hAnsi="Times New Roman" w:eastAsia="宋体"/>
          <w:b/>
          <w:sz w:val="26"/>
        </w:rPr>
        <w:t>8.1 总体结果</w:t>
      </w:r>
    </w:p>
    <w:tbl>
      <w:tblPr>
        <w:tblW w:type="auto" w:w="0"/>
        <w:jc w:val="center"/>
        <w:tblLayout w:type="autofit"/>
        <w:tblLook w:firstColumn="1" w:firstRow="1" w:lastColumn="0" w:lastRow="0" w:noHBand="0" w:noVBand="1" w:val="04A0"/>
      </w:tblPr>
      <w:tblGrid>
        <w:gridCol w:w="903"/>
        <w:gridCol w:w="903"/>
        <w:gridCol w:w="903"/>
        <w:gridCol w:w="903"/>
        <w:gridCol w:w="903"/>
        <w:gridCol w:w="903"/>
        <w:gridCol w:w="903"/>
        <w:gridCol w:w="903"/>
        <w:gridCol w:w="903"/>
        <w:gridCol w:w="903"/>
      </w:tblGrid>
      <w:tr>
        <w:tc>
          <w:tcPr>
            <w:tcW w:type="dxa" w:w="903"/>
            <w:shd w:fill="EDEDED"/>
            <w:vAlign w:val="center"/>
          </w:tcPr>
          <w:p>
            <w:pPr>
              <w:spacing w:line="276" w:lineRule="auto" w:after="0"/>
            </w:pPr>
            <w:r/>
            <w:r>
              <w:rPr>
                <w:rFonts w:ascii="Times New Roman" w:hAnsi="Times New Roman" w:eastAsia="宋体"/>
                <w:b/>
                <w:sz w:val="20"/>
              </w:rPr>
              <w:t>后端/模型</w:t>
            </w:r>
          </w:p>
        </w:tc>
        <w:tc>
          <w:tcPr>
            <w:tcW w:type="dxa" w:w="903"/>
            <w:shd w:fill="EDEDED"/>
            <w:vAlign w:val="center"/>
          </w:tcPr>
          <w:p>
            <w:pPr>
              <w:spacing w:line="276" w:lineRule="auto" w:after="0"/>
            </w:pPr>
            <w:r/>
            <w:r>
              <w:rPr>
                <w:rFonts w:ascii="Times New Roman" w:hAnsi="Times New Roman" w:eastAsia="宋体"/>
                <w:b/>
                <w:sz w:val="20"/>
              </w:rPr>
              <w:t>防护模式</w:t>
            </w:r>
          </w:p>
        </w:tc>
        <w:tc>
          <w:tcPr>
            <w:tcW w:type="dxa" w:w="903"/>
            <w:shd w:fill="EDEDED"/>
            <w:vAlign w:val="center"/>
          </w:tcPr>
          <w:p>
            <w:pPr>
              <w:spacing w:line="276" w:lineRule="auto" w:after="0"/>
            </w:pPr>
            <w:r/>
            <w:r>
              <w:rPr>
                <w:rFonts w:ascii="Times New Roman" w:hAnsi="Times New Roman" w:eastAsia="宋体"/>
                <w:b/>
                <w:sz w:val="20"/>
              </w:rPr>
              <w:t>样本数</w:t>
            </w:r>
          </w:p>
        </w:tc>
        <w:tc>
          <w:tcPr>
            <w:tcW w:type="dxa" w:w="903"/>
            <w:shd w:fill="EDEDED"/>
            <w:vAlign w:val="center"/>
          </w:tcPr>
          <w:p>
            <w:pPr>
              <w:spacing w:line="276" w:lineRule="auto" w:after="0"/>
            </w:pPr>
            <w:r/>
            <w:r>
              <w:rPr>
                <w:rFonts w:ascii="Times New Roman" w:hAnsi="Times New Roman" w:eastAsia="宋体"/>
                <w:b/>
                <w:sz w:val="20"/>
              </w:rPr>
              <w:t>ASR</w:t>
            </w:r>
          </w:p>
        </w:tc>
        <w:tc>
          <w:tcPr>
            <w:tcW w:type="dxa" w:w="903"/>
            <w:shd w:fill="EDEDED"/>
            <w:vAlign w:val="center"/>
          </w:tcPr>
          <w:p>
            <w:pPr>
              <w:spacing w:line="276" w:lineRule="auto" w:after="0"/>
            </w:pPr>
            <w:r/>
            <w:r>
              <w:rPr>
                <w:rFonts w:ascii="Times New Roman" w:hAnsi="Times New Roman" w:eastAsia="宋体"/>
                <w:b/>
                <w:sz w:val="20"/>
              </w:rPr>
              <w:t>UTR</w:t>
            </w:r>
          </w:p>
        </w:tc>
        <w:tc>
          <w:tcPr>
            <w:tcW w:type="dxa" w:w="903"/>
            <w:shd w:fill="EDEDED"/>
            <w:vAlign w:val="center"/>
          </w:tcPr>
          <w:p>
            <w:pPr>
              <w:spacing w:line="276" w:lineRule="auto" w:after="0"/>
            </w:pPr>
            <w:r/>
            <w:r>
              <w:rPr>
                <w:rFonts w:ascii="Times New Roman" w:hAnsi="Times New Roman" w:eastAsia="宋体"/>
                <w:b/>
                <w:sz w:val="20"/>
              </w:rPr>
              <w:t>DSR</w:t>
            </w:r>
          </w:p>
        </w:tc>
        <w:tc>
          <w:tcPr>
            <w:tcW w:type="dxa" w:w="903"/>
            <w:shd w:fill="EDEDED"/>
            <w:vAlign w:val="center"/>
          </w:tcPr>
          <w:p>
            <w:pPr>
              <w:spacing w:line="276" w:lineRule="auto" w:after="0"/>
            </w:pPr>
            <w:r/>
            <w:r>
              <w:rPr>
                <w:rFonts w:ascii="Times New Roman" w:hAnsi="Times New Roman" w:eastAsia="宋体"/>
                <w:b/>
                <w:sz w:val="20"/>
              </w:rPr>
              <w:t>BSR</w:t>
            </w:r>
          </w:p>
        </w:tc>
        <w:tc>
          <w:tcPr>
            <w:tcW w:type="dxa" w:w="903"/>
            <w:shd w:fill="EDEDED"/>
            <w:vAlign w:val="center"/>
          </w:tcPr>
          <w:p>
            <w:pPr>
              <w:spacing w:line="276" w:lineRule="auto" w:after="0"/>
            </w:pPr>
            <w:r/>
            <w:r>
              <w:rPr>
                <w:rFonts w:ascii="Times New Roman" w:hAnsi="Times New Roman" w:eastAsia="宋体"/>
                <w:b/>
                <w:sz w:val="20"/>
              </w:rPr>
              <w:t>FPR</w:t>
            </w:r>
          </w:p>
        </w:tc>
        <w:tc>
          <w:tcPr>
            <w:tcW w:type="dxa" w:w="903"/>
            <w:shd w:fill="EDEDED"/>
            <w:vAlign w:val="center"/>
          </w:tcPr>
          <w:p>
            <w:pPr>
              <w:spacing w:line="276" w:lineRule="auto" w:after="0"/>
            </w:pPr>
            <w:r/>
            <w:r>
              <w:rPr>
                <w:rFonts w:ascii="Times New Roman" w:hAnsi="Times New Roman" w:eastAsia="宋体"/>
                <w:b/>
                <w:sz w:val="20"/>
              </w:rPr>
              <w:t>AvgRisk</w:t>
            </w:r>
          </w:p>
        </w:tc>
        <w:tc>
          <w:tcPr>
            <w:tcW w:type="dxa" w:w="903"/>
            <w:shd w:fill="EDEDED"/>
            <w:vAlign w:val="center"/>
          </w:tcPr>
          <w:p>
            <w:pPr>
              <w:spacing w:line="276" w:lineRule="auto" w:after="0"/>
            </w:pPr>
            <w:r/>
            <w:r>
              <w:rPr>
                <w:rFonts w:ascii="Times New Roman" w:hAnsi="Times New Roman" w:eastAsia="宋体"/>
                <w:b/>
                <w:sz w:val="20"/>
              </w:rPr>
              <w:t>WRS</w:t>
            </w:r>
          </w:p>
        </w:tc>
      </w:tr>
      <w:tr>
        <w:tc>
          <w:tcPr>
            <w:tcW w:type="dxa" w:w="903"/>
            <w:vAlign w:val="center"/>
          </w:tcPr>
          <w:p>
            <w:pPr>
              <w:spacing w:line="276" w:lineRule="auto" w:after="0"/>
            </w:pPr>
            <w:r/>
            <w:r>
              <w:rPr>
                <w:rFonts w:ascii="Times New Roman" w:hAnsi="Times New Roman" w:eastAsia="宋体"/>
                <w:b w:val="0"/>
                <w:sz w:val="20"/>
              </w:rPr>
              <w:t>stub</w:t>
            </w:r>
          </w:p>
        </w:tc>
        <w:tc>
          <w:tcPr>
            <w:tcW w:type="dxa" w:w="903"/>
            <w:vAlign w:val="center"/>
          </w:tcPr>
          <w:p>
            <w:pPr>
              <w:spacing w:line="276" w:lineRule="auto" w:after="0"/>
            </w:pPr>
            <w:r/>
            <w:r>
              <w:rPr>
                <w:rFonts w:ascii="Times New Roman" w:hAnsi="Times New Roman" w:eastAsia="宋体"/>
                <w:b w:val="0"/>
                <w:sz w:val="20"/>
              </w:rPr>
              <w:t>baseline</w:t>
            </w:r>
          </w:p>
        </w:tc>
        <w:tc>
          <w:tcPr>
            <w:tcW w:type="dxa" w:w="903"/>
            <w:vAlign w:val="center"/>
          </w:tcPr>
          <w:p>
            <w:pPr>
              <w:spacing w:line="276" w:lineRule="auto" w:after="0"/>
            </w:pPr>
            <w:r/>
            <w:r>
              <w:rPr>
                <w:rFonts w:ascii="Times New Roman" w:hAnsi="Times New Roman" w:eastAsia="宋体"/>
                <w:b w:val="0"/>
                <w:sz w:val="20"/>
              </w:rPr>
              <w:t>69</w:t>
            </w:r>
          </w:p>
        </w:tc>
        <w:tc>
          <w:tcPr>
            <w:tcW w:type="dxa" w:w="903"/>
            <w:vAlign w:val="center"/>
          </w:tcPr>
          <w:p>
            <w:pPr>
              <w:spacing w:line="276" w:lineRule="auto" w:after="0"/>
            </w:pPr>
            <w:r/>
            <w:r>
              <w:rPr>
                <w:rFonts w:ascii="Times New Roman" w:hAnsi="Times New Roman" w:eastAsia="宋体"/>
                <w:b w:val="0"/>
                <w:sz w:val="20"/>
              </w:rPr>
              <w:t>55.07%</w:t>
            </w:r>
          </w:p>
        </w:tc>
        <w:tc>
          <w:tcPr>
            <w:tcW w:type="dxa" w:w="903"/>
            <w:vAlign w:val="center"/>
          </w:tcPr>
          <w:p>
            <w:pPr>
              <w:spacing w:line="276" w:lineRule="auto" w:after="0"/>
            </w:pPr>
            <w:r/>
            <w:r>
              <w:rPr>
                <w:rFonts w:ascii="Times New Roman" w:hAnsi="Times New Roman" w:eastAsia="宋体"/>
                <w:b w:val="0"/>
                <w:sz w:val="20"/>
              </w:rPr>
              <w:t>28.99%</w:t>
            </w:r>
          </w:p>
        </w:tc>
        <w:tc>
          <w:tcPr>
            <w:tcW w:type="dxa" w:w="903"/>
            <w:vAlign w:val="center"/>
          </w:tcPr>
          <w:p>
            <w:pPr>
              <w:spacing w:line="276" w:lineRule="auto" w:after="0"/>
            </w:pPr>
            <w:r/>
            <w:r>
              <w:rPr>
                <w:rFonts w:ascii="Times New Roman" w:hAnsi="Times New Roman" w:eastAsia="宋体"/>
                <w:b w:val="0"/>
                <w:sz w:val="20"/>
              </w:rPr>
              <w:t>55.07%</w:t>
            </w:r>
          </w:p>
        </w:tc>
        <w:tc>
          <w:tcPr>
            <w:tcW w:type="dxa" w:w="903"/>
            <w:vAlign w:val="center"/>
          </w:tcPr>
          <w:p>
            <w:pPr>
              <w:spacing w:line="276" w:lineRule="auto" w:after="0"/>
            </w:pPr>
            <w:r/>
            <w:r>
              <w:rPr>
                <w:rFonts w:ascii="Times New Roman" w:hAnsi="Times New Roman" w:eastAsia="宋体"/>
                <w:b w:val="0"/>
                <w:sz w:val="20"/>
              </w:rPr>
              <w:t>0.00%</w:t>
            </w:r>
          </w:p>
        </w:tc>
        <w:tc>
          <w:tcPr>
            <w:tcW w:type="dxa" w:w="903"/>
            <w:vAlign w:val="center"/>
          </w:tcPr>
          <w:p>
            <w:pPr>
              <w:spacing w:line="276" w:lineRule="auto" w:after="0"/>
            </w:pPr>
            <w:r/>
            <w:r>
              <w:rPr>
                <w:rFonts w:ascii="Times New Roman" w:hAnsi="Times New Roman" w:eastAsia="宋体"/>
                <w:b w:val="0"/>
                <w:sz w:val="20"/>
              </w:rPr>
              <w:t>0.00%</w:t>
            </w:r>
          </w:p>
        </w:tc>
        <w:tc>
          <w:tcPr>
            <w:tcW w:type="dxa" w:w="903"/>
            <w:vAlign w:val="center"/>
          </w:tcPr>
          <w:p>
            <w:pPr>
              <w:spacing w:line="276" w:lineRule="auto" w:after="0"/>
            </w:pPr>
            <w:r/>
            <w:r>
              <w:rPr>
                <w:rFonts w:ascii="Times New Roman" w:hAnsi="Times New Roman" w:eastAsia="宋体"/>
                <w:b w:val="0"/>
                <w:sz w:val="20"/>
              </w:rPr>
              <w:t>0.0</w:t>
            </w:r>
          </w:p>
        </w:tc>
        <w:tc>
          <w:tcPr>
            <w:tcW w:type="dxa" w:w="903"/>
            <w:vAlign w:val="center"/>
          </w:tcPr>
          <w:p>
            <w:pPr>
              <w:spacing w:line="276" w:lineRule="auto" w:after="0"/>
            </w:pPr>
            <w:r/>
            <w:r>
              <w:rPr>
                <w:rFonts w:ascii="Times New Roman" w:hAnsi="Times New Roman" w:eastAsia="宋体"/>
                <w:b w:val="0"/>
                <w:sz w:val="20"/>
              </w:rPr>
              <w:t>0.4891</w:t>
            </w:r>
          </w:p>
        </w:tc>
      </w:tr>
      <w:tr>
        <w:tc>
          <w:tcPr>
            <w:tcW w:type="dxa" w:w="903"/>
            <w:vAlign w:val="center"/>
          </w:tcPr>
          <w:p>
            <w:pPr>
              <w:spacing w:line="276" w:lineRule="auto" w:after="0"/>
            </w:pPr>
            <w:r/>
            <w:r>
              <w:rPr>
                <w:rFonts w:ascii="Times New Roman" w:hAnsi="Times New Roman" w:eastAsia="宋体"/>
                <w:b w:val="0"/>
                <w:sz w:val="20"/>
              </w:rPr>
              <w:t>stub</w:t>
            </w:r>
          </w:p>
        </w:tc>
        <w:tc>
          <w:tcPr>
            <w:tcW w:type="dxa" w:w="903"/>
            <w:vAlign w:val="center"/>
          </w:tcPr>
          <w:p>
            <w:pPr>
              <w:spacing w:line="276" w:lineRule="auto" w:after="0"/>
            </w:pPr>
            <w:r/>
            <w:r>
              <w:rPr>
                <w:rFonts w:ascii="Times New Roman" w:hAnsi="Times New Roman" w:eastAsia="宋体"/>
                <w:b w:val="0"/>
                <w:sz w:val="20"/>
              </w:rPr>
              <w:t>keyword_only</w:t>
            </w:r>
          </w:p>
        </w:tc>
        <w:tc>
          <w:tcPr>
            <w:tcW w:type="dxa" w:w="903"/>
            <w:vAlign w:val="center"/>
          </w:tcPr>
          <w:p>
            <w:pPr>
              <w:spacing w:line="276" w:lineRule="auto" w:after="0"/>
            </w:pPr>
            <w:r/>
            <w:r>
              <w:rPr>
                <w:rFonts w:ascii="Times New Roman" w:hAnsi="Times New Roman" w:eastAsia="宋体"/>
                <w:b w:val="0"/>
                <w:sz w:val="20"/>
              </w:rPr>
              <w:t>69</w:t>
            </w:r>
          </w:p>
        </w:tc>
        <w:tc>
          <w:tcPr>
            <w:tcW w:type="dxa" w:w="903"/>
            <w:vAlign w:val="center"/>
          </w:tcPr>
          <w:p>
            <w:pPr>
              <w:spacing w:line="276" w:lineRule="auto" w:after="0"/>
            </w:pPr>
            <w:r/>
            <w:r>
              <w:rPr>
                <w:rFonts w:ascii="Times New Roman" w:hAnsi="Times New Roman" w:eastAsia="宋体"/>
                <w:b w:val="0"/>
                <w:sz w:val="20"/>
              </w:rPr>
              <w:t>13.04%</w:t>
            </w:r>
          </w:p>
        </w:tc>
        <w:tc>
          <w:tcPr>
            <w:tcW w:type="dxa" w:w="903"/>
            <w:vAlign w:val="center"/>
          </w:tcPr>
          <w:p>
            <w:pPr>
              <w:spacing w:line="276" w:lineRule="auto" w:after="0"/>
            </w:pPr>
            <w:r/>
            <w:r>
              <w:rPr>
                <w:rFonts w:ascii="Times New Roman" w:hAnsi="Times New Roman" w:eastAsia="宋体"/>
                <w:b w:val="0"/>
                <w:sz w:val="20"/>
              </w:rPr>
              <w:t>8.70%</w:t>
            </w:r>
          </w:p>
        </w:tc>
        <w:tc>
          <w:tcPr>
            <w:tcW w:type="dxa" w:w="903"/>
            <w:vAlign w:val="center"/>
          </w:tcPr>
          <w:p>
            <w:pPr>
              <w:spacing w:line="276" w:lineRule="auto" w:after="0"/>
            </w:pPr>
            <w:r/>
            <w:r>
              <w:rPr>
                <w:rFonts w:ascii="Times New Roman" w:hAnsi="Times New Roman" w:eastAsia="宋体"/>
                <w:b w:val="0"/>
                <w:sz w:val="20"/>
              </w:rPr>
              <w:t>13.04%</w:t>
            </w:r>
          </w:p>
        </w:tc>
        <w:tc>
          <w:tcPr>
            <w:tcW w:type="dxa" w:w="903"/>
            <w:vAlign w:val="center"/>
          </w:tcPr>
          <w:p>
            <w:pPr>
              <w:spacing w:line="276" w:lineRule="auto" w:after="0"/>
            </w:pPr>
            <w:r/>
            <w:r>
              <w:rPr>
                <w:rFonts w:ascii="Times New Roman" w:hAnsi="Times New Roman" w:eastAsia="宋体"/>
                <w:b w:val="0"/>
                <w:sz w:val="20"/>
              </w:rPr>
              <w:t>65.22%</w:t>
            </w:r>
          </w:p>
        </w:tc>
        <w:tc>
          <w:tcPr>
            <w:tcW w:type="dxa" w:w="903"/>
            <w:vAlign w:val="center"/>
          </w:tcPr>
          <w:p>
            <w:pPr>
              <w:spacing w:line="276" w:lineRule="auto" w:after="0"/>
            </w:pPr>
            <w:r/>
            <w:r>
              <w:rPr>
                <w:rFonts w:ascii="Times New Roman" w:hAnsi="Times New Roman" w:eastAsia="宋体"/>
                <w:b w:val="0"/>
                <w:sz w:val="20"/>
              </w:rPr>
              <w:t>0.00%</w:t>
            </w:r>
          </w:p>
        </w:tc>
        <w:tc>
          <w:tcPr>
            <w:tcW w:type="dxa" w:w="903"/>
            <w:vAlign w:val="center"/>
          </w:tcPr>
          <w:p>
            <w:pPr>
              <w:spacing w:line="276" w:lineRule="auto" w:after="0"/>
            </w:pPr>
            <w:r/>
            <w:r>
              <w:rPr>
                <w:rFonts w:ascii="Times New Roman" w:hAnsi="Times New Roman" w:eastAsia="宋体"/>
                <w:b w:val="0"/>
                <w:sz w:val="20"/>
              </w:rPr>
              <w:t>0.2626</w:t>
            </w:r>
          </w:p>
        </w:tc>
        <w:tc>
          <w:tcPr>
            <w:tcW w:type="dxa" w:w="903"/>
            <w:vAlign w:val="center"/>
          </w:tcPr>
          <w:p>
            <w:pPr>
              <w:spacing w:line="276" w:lineRule="auto" w:after="0"/>
            </w:pPr>
            <w:r/>
            <w:r>
              <w:rPr>
                <w:rFonts w:ascii="Times New Roman" w:hAnsi="Times New Roman" w:eastAsia="宋体"/>
                <w:b w:val="0"/>
                <w:sz w:val="20"/>
              </w:rPr>
              <w:t>0.8587</w:t>
            </w:r>
          </w:p>
        </w:tc>
      </w:tr>
      <w:tr>
        <w:tc>
          <w:tcPr>
            <w:tcW w:type="dxa" w:w="903"/>
            <w:vAlign w:val="center"/>
          </w:tcPr>
          <w:p>
            <w:pPr>
              <w:spacing w:line="276" w:lineRule="auto" w:after="0"/>
            </w:pPr>
            <w:r/>
            <w:r>
              <w:rPr>
                <w:rFonts w:ascii="Times New Roman" w:hAnsi="Times New Roman" w:eastAsia="宋体"/>
                <w:b w:val="0"/>
                <w:sz w:val="20"/>
              </w:rPr>
              <w:t>stub</w:t>
            </w:r>
          </w:p>
        </w:tc>
        <w:tc>
          <w:tcPr>
            <w:tcW w:type="dxa" w:w="903"/>
            <w:vAlign w:val="center"/>
          </w:tcPr>
          <w:p>
            <w:pPr>
              <w:spacing w:line="276" w:lineRule="auto" w:after="0"/>
            </w:pPr>
            <w:r/>
            <w:r>
              <w:rPr>
                <w:rFonts w:ascii="Times New Roman" w:hAnsi="Times New Roman" w:eastAsia="宋体"/>
                <w:b w:val="0"/>
                <w:sz w:val="20"/>
              </w:rPr>
              <w:t>policy_only</w:t>
            </w:r>
          </w:p>
        </w:tc>
        <w:tc>
          <w:tcPr>
            <w:tcW w:type="dxa" w:w="903"/>
            <w:vAlign w:val="center"/>
          </w:tcPr>
          <w:p>
            <w:pPr>
              <w:spacing w:line="276" w:lineRule="auto" w:after="0"/>
            </w:pPr>
            <w:r/>
            <w:r>
              <w:rPr>
                <w:rFonts w:ascii="Times New Roman" w:hAnsi="Times New Roman" w:eastAsia="宋体"/>
                <w:b w:val="0"/>
                <w:sz w:val="20"/>
              </w:rPr>
              <w:t>69</w:t>
            </w:r>
          </w:p>
        </w:tc>
        <w:tc>
          <w:tcPr>
            <w:tcW w:type="dxa" w:w="903"/>
            <w:vAlign w:val="center"/>
          </w:tcPr>
          <w:p>
            <w:pPr>
              <w:spacing w:line="276" w:lineRule="auto" w:after="0"/>
            </w:pPr>
            <w:r/>
            <w:r>
              <w:rPr>
                <w:rFonts w:ascii="Times New Roman" w:hAnsi="Times New Roman" w:eastAsia="宋体"/>
                <w:b w:val="0"/>
                <w:sz w:val="20"/>
              </w:rPr>
              <w:t>0.00%</w:t>
            </w:r>
          </w:p>
        </w:tc>
        <w:tc>
          <w:tcPr>
            <w:tcW w:type="dxa" w:w="903"/>
            <w:vAlign w:val="center"/>
          </w:tcPr>
          <w:p>
            <w:pPr>
              <w:spacing w:line="276" w:lineRule="auto" w:after="0"/>
            </w:pPr>
            <w:r/>
            <w:r>
              <w:rPr>
                <w:rFonts w:ascii="Times New Roman" w:hAnsi="Times New Roman" w:eastAsia="宋体"/>
                <w:b w:val="0"/>
                <w:sz w:val="20"/>
              </w:rPr>
              <w:t>0.00%</w:t>
            </w:r>
          </w:p>
        </w:tc>
        <w:tc>
          <w:tcPr>
            <w:tcW w:type="dxa" w:w="903"/>
            <w:vAlign w:val="center"/>
          </w:tcPr>
          <w:p>
            <w:pPr>
              <w:spacing w:line="276" w:lineRule="auto" w:after="0"/>
            </w:pPr>
            <w:r/>
            <w:r>
              <w:rPr>
                <w:rFonts w:ascii="Times New Roman" w:hAnsi="Times New Roman" w:eastAsia="宋体"/>
                <w:b w:val="0"/>
                <w:sz w:val="20"/>
              </w:rPr>
              <w:t>0.00%</w:t>
            </w:r>
          </w:p>
        </w:tc>
        <w:tc>
          <w:tcPr>
            <w:tcW w:type="dxa" w:w="903"/>
            <w:vAlign w:val="center"/>
          </w:tcPr>
          <w:p>
            <w:pPr>
              <w:spacing w:line="276" w:lineRule="auto" w:after="0"/>
            </w:pPr>
            <w:r/>
            <w:r>
              <w:rPr>
                <w:rFonts w:ascii="Times New Roman" w:hAnsi="Times New Roman" w:eastAsia="宋体"/>
                <w:b w:val="0"/>
                <w:sz w:val="20"/>
              </w:rPr>
              <w:t>88.41%</w:t>
            </w:r>
          </w:p>
        </w:tc>
        <w:tc>
          <w:tcPr>
            <w:tcW w:type="dxa" w:w="903"/>
            <w:vAlign w:val="center"/>
          </w:tcPr>
          <w:p>
            <w:pPr>
              <w:spacing w:line="276" w:lineRule="auto" w:after="0"/>
            </w:pPr>
            <w:r/>
            <w:r>
              <w:rPr>
                <w:rFonts w:ascii="Times New Roman" w:hAnsi="Times New Roman" w:eastAsia="宋体"/>
                <w:b w:val="0"/>
                <w:sz w:val="20"/>
              </w:rPr>
              <w:t>0.00%</w:t>
            </w:r>
          </w:p>
        </w:tc>
        <w:tc>
          <w:tcPr>
            <w:tcW w:type="dxa" w:w="903"/>
            <w:vAlign w:val="center"/>
          </w:tcPr>
          <w:p>
            <w:pPr>
              <w:spacing w:line="276" w:lineRule="auto" w:after="0"/>
            </w:pPr>
            <w:r/>
            <w:r>
              <w:rPr>
                <w:rFonts w:ascii="Times New Roman" w:hAnsi="Times New Roman" w:eastAsia="宋体"/>
                <w:b w:val="0"/>
                <w:sz w:val="20"/>
              </w:rPr>
              <w:t>0.6775</w:t>
            </w:r>
          </w:p>
        </w:tc>
        <w:tc>
          <w:tcPr>
            <w:tcW w:type="dxa" w:w="903"/>
            <w:vAlign w:val="center"/>
          </w:tcPr>
          <w:p>
            <w:pPr>
              <w:spacing w:line="276" w:lineRule="auto" w:after="0"/>
            </w:pPr>
            <w:r/>
            <w:r>
              <w:rPr>
                <w:rFonts w:ascii="Times New Roman" w:hAnsi="Times New Roman" w:eastAsia="宋体"/>
                <w:b w:val="0"/>
                <w:sz w:val="20"/>
              </w:rPr>
              <w:t>0.9826</w:t>
            </w:r>
          </w:p>
        </w:tc>
      </w:tr>
      <w:tr>
        <w:tc>
          <w:tcPr>
            <w:tcW w:type="dxa" w:w="903"/>
            <w:vAlign w:val="center"/>
          </w:tcPr>
          <w:p>
            <w:pPr>
              <w:spacing w:line="276" w:lineRule="auto" w:after="0"/>
            </w:pPr>
            <w:r/>
            <w:r>
              <w:rPr>
                <w:rFonts w:ascii="Times New Roman" w:hAnsi="Times New Roman" w:eastAsia="宋体"/>
                <w:b w:val="0"/>
                <w:sz w:val="20"/>
              </w:rPr>
              <w:t>stub</w:t>
            </w:r>
          </w:p>
        </w:tc>
        <w:tc>
          <w:tcPr>
            <w:tcW w:type="dxa" w:w="903"/>
            <w:vAlign w:val="center"/>
          </w:tcPr>
          <w:p>
            <w:pPr>
              <w:spacing w:line="276" w:lineRule="auto" w:after="0"/>
            </w:pPr>
            <w:r/>
            <w:r>
              <w:rPr>
                <w:rFonts w:ascii="Times New Roman" w:hAnsi="Times New Roman" w:eastAsia="宋体"/>
                <w:b w:val="0"/>
                <w:sz w:val="20"/>
              </w:rPr>
              <w:t>full_guard</w:t>
            </w:r>
          </w:p>
        </w:tc>
        <w:tc>
          <w:tcPr>
            <w:tcW w:type="dxa" w:w="903"/>
            <w:vAlign w:val="center"/>
          </w:tcPr>
          <w:p>
            <w:pPr>
              <w:spacing w:line="276" w:lineRule="auto" w:after="0"/>
            </w:pPr>
            <w:r/>
            <w:r>
              <w:rPr>
                <w:rFonts w:ascii="Times New Roman" w:hAnsi="Times New Roman" w:eastAsia="宋体"/>
                <w:b w:val="0"/>
                <w:sz w:val="20"/>
              </w:rPr>
              <w:t>69</w:t>
            </w:r>
          </w:p>
        </w:tc>
        <w:tc>
          <w:tcPr>
            <w:tcW w:type="dxa" w:w="903"/>
            <w:vAlign w:val="center"/>
          </w:tcPr>
          <w:p>
            <w:pPr>
              <w:spacing w:line="276" w:lineRule="auto" w:after="0"/>
            </w:pPr>
            <w:r/>
            <w:r>
              <w:rPr>
                <w:rFonts w:ascii="Times New Roman" w:hAnsi="Times New Roman" w:eastAsia="宋体"/>
                <w:b w:val="0"/>
                <w:sz w:val="20"/>
              </w:rPr>
              <w:t>0.00%</w:t>
            </w:r>
          </w:p>
        </w:tc>
        <w:tc>
          <w:tcPr>
            <w:tcW w:type="dxa" w:w="903"/>
            <w:vAlign w:val="center"/>
          </w:tcPr>
          <w:p>
            <w:pPr>
              <w:spacing w:line="276" w:lineRule="auto" w:after="0"/>
            </w:pPr>
            <w:r/>
            <w:r>
              <w:rPr>
                <w:rFonts w:ascii="Times New Roman" w:hAnsi="Times New Roman" w:eastAsia="宋体"/>
                <w:b w:val="0"/>
                <w:sz w:val="20"/>
              </w:rPr>
              <w:t>0.00%</w:t>
            </w:r>
          </w:p>
        </w:tc>
        <w:tc>
          <w:tcPr>
            <w:tcW w:type="dxa" w:w="903"/>
            <w:vAlign w:val="center"/>
          </w:tcPr>
          <w:p>
            <w:pPr>
              <w:spacing w:line="276" w:lineRule="auto" w:after="0"/>
            </w:pPr>
            <w:r/>
            <w:r>
              <w:rPr>
                <w:rFonts w:ascii="Times New Roman" w:hAnsi="Times New Roman" w:eastAsia="宋体"/>
                <w:b w:val="0"/>
                <w:sz w:val="20"/>
              </w:rPr>
              <w:t>0.00%</w:t>
            </w:r>
          </w:p>
        </w:tc>
        <w:tc>
          <w:tcPr>
            <w:tcW w:type="dxa" w:w="903"/>
            <w:vAlign w:val="center"/>
          </w:tcPr>
          <w:p>
            <w:pPr>
              <w:spacing w:line="276" w:lineRule="auto" w:after="0"/>
            </w:pPr>
            <w:r/>
            <w:r>
              <w:rPr>
                <w:rFonts w:ascii="Times New Roman" w:hAnsi="Times New Roman" w:eastAsia="宋体"/>
                <w:b w:val="0"/>
                <w:sz w:val="20"/>
              </w:rPr>
              <w:t>88.41%</w:t>
            </w:r>
          </w:p>
        </w:tc>
        <w:tc>
          <w:tcPr>
            <w:tcW w:type="dxa" w:w="903"/>
            <w:vAlign w:val="center"/>
          </w:tcPr>
          <w:p>
            <w:pPr>
              <w:spacing w:line="276" w:lineRule="auto" w:after="0"/>
            </w:pPr>
            <w:r/>
            <w:r>
              <w:rPr>
                <w:rFonts w:ascii="Times New Roman" w:hAnsi="Times New Roman" w:eastAsia="宋体"/>
                <w:b w:val="0"/>
                <w:sz w:val="20"/>
              </w:rPr>
              <w:t>0.00%</w:t>
            </w:r>
          </w:p>
        </w:tc>
        <w:tc>
          <w:tcPr>
            <w:tcW w:type="dxa" w:w="903"/>
            <w:vAlign w:val="center"/>
          </w:tcPr>
          <w:p>
            <w:pPr>
              <w:spacing w:line="276" w:lineRule="auto" w:after="0"/>
            </w:pPr>
            <w:r/>
            <w:r>
              <w:rPr>
                <w:rFonts w:ascii="Times New Roman" w:hAnsi="Times New Roman" w:eastAsia="宋体"/>
                <w:b w:val="0"/>
                <w:sz w:val="20"/>
              </w:rPr>
              <w:t>0.7652</w:t>
            </w:r>
          </w:p>
        </w:tc>
        <w:tc>
          <w:tcPr>
            <w:tcW w:type="dxa" w:w="903"/>
            <w:vAlign w:val="center"/>
          </w:tcPr>
          <w:p>
            <w:pPr>
              <w:spacing w:line="276" w:lineRule="auto" w:after="0"/>
            </w:pPr>
            <w:r/>
            <w:r>
              <w:rPr>
                <w:rFonts w:ascii="Times New Roman" w:hAnsi="Times New Roman" w:eastAsia="宋体"/>
                <w:b w:val="0"/>
                <w:sz w:val="20"/>
              </w:rPr>
              <w:t>0.9826</w:t>
            </w:r>
          </w:p>
        </w:tc>
      </w:tr>
      <w:tr>
        <w:tc>
          <w:tcPr>
            <w:tcW w:type="dxa" w:w="903"/>
            <w:vAlign w:val="center"/>
          </w:tcPr>
          <w:p>
            <w:pPr>
              <w:spacing w:line="276" w:lineRule="auto" w:after="0"/>
            </w:pPr>
            <w:r/>
            <w:r>
              <w:rPr>
                <w:rFonts w:ascii="Times New Roman" w:hAnsi="Times New Roman" w:eastAsia="宋体"/>
                <w:b w:val="0"/>
                <w:sz w:val="20"/>
              </w:rPr>
              <w:t>m3-target-qwen25-7b</w:t>
            </w:r>
          </w:p>
        </w:tc>
        <w:tc>
          <w:tcPr>
            <w:tcW w:type="dxa" w:w="903"/>
            <w:vAlign w:val="center"/>
          </w:tcPr>
          <w:p>
            <w:pPr>
              <w:spacing w:line="276" w:lineRule="auto" w:after="0"/>
            </w:pPr>
            <w:r/>
            <w:r>
              <w:rPr>
                <w:rFonts w:ascii="Times New Roman" w:hAnsi="Times New Roman" w:eastAsia="宋体"/>
                <w:b w:val="0"/>
                <w:sz w:val="20"/>
              </w:rPr>
              <w:t>baseline</w:t>
            </w:r>
          </w:p>
        </w:tc>
        <w:tc>
          <w:tcPr>
            <w:tcW w:type="dxa" w:w="903"/>
            <w:vAlign w:val="center"/>
          </w:tcPr>
          <w:p>
            <w:pPr>
              <w:spacing w:line="276" w:lineRule="auto" w:after="0"/>
            </w:pPr>
            <w:r/>
            <w:r>
              <w:rPr>
                <w:rFonts w:ascii="Times New Roman" w:hAnsi="Times New Roman" w:eastAsia="宋体"/>
                <w:b w:val="0"/>
                <w:sz w:val="20"/>
              </w:rPr>
              <w:t>24</w:t>
            </w:r>
          </w:p>
        </w:tc>
        <w:tc>
          <w:tcPr>
            <w:tcW w:type="dxa" w:w="903"/>
            <w:vAlign w:val="center"/>
          </w:tcPr>
          <w:p>
            <w:pPr>
              <w:spacing w:line="276" w:lineRule="auto" w:after="0"/>
            </w:pPr>
            <w:r/>
            <w:r>
              <w:rPr>
                <w:rFonts w:ascii="Times New Roman" w:hAnsi="Times New Roman" w:eastAsia="宋体"/>
                <w:b w:val="0"/>
                <w:sz w:val="20"/>
              </w:rPr>
              <w:t>8.33%</w:t>
            </w:r>
          </w:p>
        </w:tc>
        <w:tc>
          <w:tcPr>
            <w:tcW w:type="dxa" w:w="903"/>
            <w:vAlign w:val="center"/>
          </w:tcPr>
          <w:p>
            <w:pPr>
              <w:spacing w:line="276" w:lineRule="auto" w:after="0"/>
            </w:pPr>
            <w:r/>
            <w:r>
              <w:rPr>
                <w:rFonts w:ascii="Times New Roman" w:hAnsi="Times New Roman" w:eastAsia="宋体"/>
                <w:b w:val="0"/>
                <w:sz w:val="20"/>
              </w:rPr>
              <w:t>8.33%</w:t>
            </w:r>
          </w:p>
        </w:tc>
        <w:tc>
          <w:tcPr>
            <w:tcW w:type="dxa" w:w="903"/>
            <w:vAlign w:val="center"/>
          </w:tcPr>
          <w:p>
            <w:pPr>
              <w:spacing w:line="276" w:lineRule="auto" w:after="0"/>
            </w:pPr>
            <w:r/>
            <w:r>
              <w:rPr>
                <w:rFonts w:ascii="Times New Roman" w:hAnsi="Times New Roman" w:eastAsia="宋体"/>
                <w:b w:val="0"/>
                <w:sz w:val="20"/>
              </w:rPr>
              <w:t>4.17%</w:t>
            </w:r>
          </w:p>
        </w:tc>
        <w:tc>
          <w:tcPr>
            <w:tcW w:type="dxa" w:w="903"/>
            <w:vAlign w:val="center"/>
          </w:tcPr>
          <w:p>
            <w:pPr>
              <w:spacing w:line="276" w:lineRule="auto" w:after="0"/>
            </w:pPr>
            <w:r/>
            <w:r>
              <w:rPr>
                <w:rFonts w:ascii="Times New Roman" w:hAnsi="Times New Roman" w:eastAsia="宋体"/>
                <w:b w:val="0"/>
                <w:sz w:val="20"/>
              </w:rPr>
              <w:t>0.00%</w:t>
            </w:r>
          </w:p>
        </w:tc>
        <w:tc>
          <w:tcPr>
            <w:tcW w:type="dxa" w:w="903"/>
            <w:vAlign w:val="center"/>
          </w:tcPr>
          <w:p>
            <w:pPr>
              <w:spacing w:line="276" w:lineRule="auto" w:after="0"/>
            </w:pPr>
            <w:r/>
            <w:r>
              <w:rPr>
                <w:rFonts w:ascii="Times New Roman" w:hAnsi="Times New Roman" w:eastAsia="宋体"/>
                <w:b w:val="0"/>
                <w:sz w:val="20"/>
              </w:rPr>
              <w:t>0.00%</w:t>
            </w:r>
          </w:p>
        </w:tc>
        <w:tc>
          <w:tcPr>
            <w:tcW w:type="dxa" w:w="903"/>
            <w:vAlign w:val="center"/>
          </w:tcPr>
          <w:p>
            <w:pPr>
              <w:spacing w:line="276" w:lineRule="auto" w:after="0"/>
            </w:pPr>
            <w:r/>
            <w:r>
              <w:rPr>
                <w:rFonts w:ascii="Times New Roman" w:hAnsi="Times New Roman" w:eastAsia="宋体"/>
                <w:b w:val="0"/>
                <w:sz w:val="20"/>
              </w:rPr>
              <w:t>0.0</w:t>
            </w:r>
          </w:p>
        </w:tc>
        <w:tc>
          <w:tcPr>
            <w:tcW w:type="dxa" w:w="903"/>
            <w:vAlign w:val="center"/>
          </w:tcPr>
          <w:p>
            <w:pPr>
              <w:spacing w:line="276" w:lineRule="auto" w:after="0"/>
            </w:pPr>
            <w:r/>
            <w:r>
              <w:rPr>
                <w:rFonts w:ascii="Times New Roman" w:hAnsi="Times New Roman" w:eastAsia="宋体"/>
                <w:b w:val="0"/>
                <w:sz w:val="20"/>
              </w:rPr>
              <w:t>0.7958</w:t>
            </w:r>
          </w:p>
        </w:tc>
      </w:tr>
      <w:tr>
        <w:tc>
          <w:tcPr>
            <w:tcW w:type="dxa" w:w="903"/>
            <w:vAlign w:val="center"/>
          </w:tcPr>
          <w:p>
            <w:pPr>
              <w:spacing w:line="276" w:lineRule="auto" w:after="0"/>
            </w:pPr>
            <w:r/>
            <w:r>
              <w:rPr>
                <w:rFonts w:ascii="Times New Roman" w:hAnsi="Times New Roman" w:eastAsia="宋体"/>
                <w:b w:val="0"/>
                <w:sz w:val="20"/>
              </w:rPr>
              <w:t>m3-target-qwen25-7b</w:t>
            </w:r>
          </w:p>
        </w:tc>
        <w:tc>
          <w:tcPr>
            <w:tcW w:type="dxa" w:w="903"/>
            <w:vAlign w:val="center"/>
          </w:tcPr>
          <w:p>
            <w:pPr>
              <w:spacing w:line="276" w:lineRule="auto" w:after="0"/>
            </w:pPr>
            <w:r/>
            <w:r>
              <w:rPr>
                <w:rFonts w:ascii="Times New Roman" w:hAnsi="Times New Roman" w:eastAsia="宋体"/>
                <w:b w:val="0"/>
                <w:sz w:val="20"/>
              </w:rPr>
              <w:t>full_guard</w:t>
            </w:r>
          </w:p>
        </w:tc>
        <w:tc>
          <w:tcPr>
            <w:tcW w:type="dxa" w:w="903"/>
            <w:vAlign w:val="center"/>
          </w:tcPr>
          <w:p>
            <w:pPr>
              <w:spacing w:line="276" w:lineRule="auto" w:after="0"/>
            </w:pPr>
            <w:r/>
            <w:r>
              <w:rPr>
                <w:rFonts w:ascii="Times New Roman" w:hAnsi="Times New Roman" w:eastAsia="宋体"/>
                <w:b w:val="0"/>
                <w:sz w:val="20"/>
              </w:rPr>
              <w:t>24</w:t>
            </w:r>
          </w:p>
        </w:tc>
        <w:tc>
          <w:tcPr>
            <w:tcW w:type="dxa" w:w="903"/>
            <w:vAlign w:val="center"/>
          </w:tcPr>
          <w:p>
            <w:pPr>
              <w:spacing w:line="276" w:lineRule="auto" w:after="0"/>
            </w:pPr>
            <w:r/>
            <w:r>
              <w:rPr>
                <w:rFonts w:ascii="Times New Roman" w:hAnsi="Times New Roman" w:eastAsia="宋体"/>
                <w:b w:val="0"/>
                <w:sz w:val="20"/>
              </w:rPr>
              <w:t>0.00%</w:t>
            </w:r>
          </w:p>
        </w:tc>
        <w:tc>
          <w:tcPr>
            <w:tcW w:type="dxa" w:w="903"/>
            <w:vAlign w:val="center"/>
          </w:tcPr>
          <w:p>
            <w:pPr>
              <w:spacing w:line="276" w:lineRule="auto" w:after="0"/>
            </w:pPr>
            <w:r/>
            <w:r>
              <w:rPr>
                <w:rFonts w:ascii="Times New Roman" w:hAnsi="Times New Roman" w:eastAsia="宋体"/>
                <w:b w:val="0"/>
                <w:sz w:val="20"/>
              </w:rPr>
              <w:t>0.00%</w:t>
            </w:r>
          </w:p>
        </w:tc>
        <w:tc>
          <w:tcPr>
            <w:tcW w:type="dxa" w:w="903"/>
            <w:vAlign w:val="center"/>
          </w:tcPr>
          <w:p>
            <w:pPr>
              <w:spacing w:line="276" w:lineRule="auto" w:after="0"/>
            </w:pPr>
            <w:r/>
            <w:r>
              <w:rPr>
                <w:rFonts w:ascii="Times New Roman" w:hAnsi="Times New Roman" w:eastAsia="宋体"/>
                <w:b w:val="0"/>
                <w:sz w:val="20"/>
              </w:rPr>
              <w:t>0.00%</w:t>
            </w:r>
          </w:p>
        </w:tc>
        <w:tc>
          <w:tcPr>
            <w:tcW w:type="dxa" w:w="903"/>
            <w:vAlign w:val="center"/>
          </w:tcPr>
          <w:p>
            <w:pPr>
              <w:spacing w:line="276" w:lineRule="auto" w:after="0"/>
            </w:pPr>
            <w:r/>
            <w:r>
              <w:rPr>
                <w:rFonts w:ascii="Times New Roman" w:hAnsi="Times New Roman" w:eastAsia="宋体"/>
                <w:b w:val="0"/>
                <w:sz w:val="20"/>
              </w:rPr>
              <w:t>45.83%</w:t>
            </w:r>
          </w:p>
        </w:tc>
        <w:tc>
          <w:tcPr>
            <w:tcW w:type="dxa" w:w="903"/>
            <w:vAlign w:val="center"/>
          </w:tcPr>
          <w:p>
            <w:pPr>
              <w:spacing w:line="276" w:lineRule="auto" w:after="0"/>
            </w:pPr>
            <w:r/>
            <w:r>
              <w:rPr>
                <w:rFonts w:ascii="Times New Roman" w:hAnsi="Times New Roman" w:eastAsia="宋体"/>
                <w:b w:val="0"/>
                <w:sz w:val="20"/>
              </w:rPr>
              <w:t>0.00%</w:t>
            </w:r>
          </w:p>
        </w:tc>
        <w:tc>
          <w:tcPr>
            <w:tcW w:type="dxa" w:w="903"/>
            <w:vAlign w:val="center"/>
          </w:tcPr>
          <w:p>
            <w:pPr>
              <w:spacing w:line="276" w:lineRule="auto" w:after="0"/>
            </w:pPr>
            <w:r/>
            <w:r>
              <w:rPr>
                <w:rFonts w:ascii="Times New Roman" w:hAnsi="Times New Roman" w:eastAsia="宋体"/>
                <w:b w:val="0"/>
                <w:sz w:val="20"/>
              </w:rPr>
              <w:t>0.4375</w:t>
            </w:r>
          </w:p>
        </w:tc>
        <w:tc>
          <w:tcPr>
            <w:tcW w:type="dxa" w:w="903"/>
            <w:vAlign w:val="center"/>
          </w:tcPr>
          <w:p>
            <w:pPr>
              <w:spacing w:line="276" w:lineRule="auto" w:after="0"/>
            </w:pPr>
            <w:r/>
            <w:r>
              <w:rPr>
                <w:rFonts w:ascii="Times New Roman" w:hAnsi="Times New Roman" w:eastAsia="宋体"/>
                <w:b w:val="0"/>
                <w:sz w:val="20"/>
              </w:rPr>
              <w:t>0.9187</w:t>
            </w:r>
          </w:p>
        </w:tc>
      </w:tr>
      <w:tr>
        <w:tc>
          <w:tcPr>
            <w:tcW w:type="dxa" w:w="903"/>
            <w:vAlign w:val="center"/>
          </w:tcPr>
          <w:p>
            <w:pPr>
              <w:spacing w:line="276" w:lineRule="auto" w:after="0"/>
            </w:pPr>
            <w:r/>
            <w:r>
              <w:rPr>
                <w:rFonts w:ascii="Times New Roman" w:hAnsi="Times New Roman" w:eastAsia="宋体"/>
                <w:b w:val="0"/>
                <w:sz w:val="20"/>
              </w:rPr>
              <w:t>stub</w:t>
            </w:r>
          </w:p>
        </w:tc>
        <w:tc>
          <w:tcPr>
            <w:tcW w:type="dxa" w:w="903"/>
            <w:vAlign w:val="center"/>
          </w:tcPr>
          <w:p>
            <w:pPr>
              <w:spacing w:line="276" w:lineRule="auto" w:after="0"/>
            </w:pPr>
            <w:r/>
            <w:r>
              <w:rPr>
                <w:rFonts w:ascii="Times New Roman" w:hAnsi="Times New Roman" w:eastAsia="宋体"/>
                <w:b w:val="0"/>
                <w:sz w:val="20"/>
              </w:rPr>
              <w:t>baseline</w:t>
            </w:r>
          </w:p>
        </w:tc>
        <w:tc>
          <w:tcPr>
            <w:tcW w:type="dxa" w:w="903"/>
            <w:vAlign w:val="center"/>
          </w:tcPr>
          <w:p>
            <w:pPr>
              <w:spacing w:line="276" w:lineRule="auto" w:after="0"/>
            </w:pPr>
            <w:r/>
            <w:r>
              <w:rPr>
                <w:rFonts w:ascii="Times New Roman" w:hAnsi="Times New Roman" w:eastAsia="宋体"/>
                <w:b w:val="0"/>
                <w:sz w:val="20"/>
              </w:rPr>
              <w:t>3</w:t>
            </w:r>
          </w:p>
        </w:tc>
        <w:tc>
          <w:tcPr>
            <w:tcW w:type="dxa" w:w="903"/>
            <w:vAlign w:val="center"/>
          </w:tcPr>
          <w:p>
            <w:pPr>
              <w:spacing w:line="276" w:lineRule="auto" w:after="0"/>
            </w:pPr>
            <w:r/>
            <w:r>
              <w:rPr>
                <w:rFonts w:ascii="Times New Roman" w:hAnsi="Times New Roman" w:eastAsia="宋体"/>
                <w:b w:val="0"/>
                <w:sz w:val="20"/>
              </w:rPr>
              <w:t>66.67%</w:t>
            </w:r>
          </w:p>
        </w:tc>
        <w:tc>
          <w:tcPr>
            <w:tcW w:type="dxa" w:w="903"/>
            <w:vAlign w:val="center"/>
          </w:tcPr>
          <w:p>
            <w:pPr>
              <w:spacing w:line="276" w:lineRule="auto" w:after="0"/>
            </w:pPr>
            <w:r/>
            <w:r>
              <w:rPr>
                <w:rFonts w:ascii="Times New Roman" w:hAnsi="Times New Roman" w:eastAsia="宋体"/>
                <w:b w:val="0"/>
                <w:sz w:val="20"/>
              </w:rPr>
              <w:t>66.67%</w:t>
            </w:r>
          </w:p>
        </w:tc>
        <w:tc>
          <w:tcPr>
            <w:tcW w:type="dxa" w:w="903"/>
            <w:vAlign w:val="center"/>
          </w:tcPr>
          <w:p>
            <w:pPr>
              <w:spacing w:line="276" w:lineRule="auto" w:after="0"/>
            </w:pPr>
            <w:r/>
            <w:r>
              <w:rPr>
                <w:rFonts w:ascii="Times New Roman" w:hAnsi="Times New Roman" w:eastAsia="宋体"/>
                <w:b w:val="0"/>
                <w:sz w:val="20"/>
              </w:rPr>
              <w:t>66.67%</w:t>
            </w:r>
          </w:p>
        </w:tc>
        <w:tc>
          <w:tcPr>
            <w:tcW w:type="dxa" w:w="903"/>
            <w:vAlign w:val="center"/>
          </w:tcPr>
          <w:p>
            <w:pPr>
              <w:spacing w:line="276" w:lineRule="auto" w:after="0"/>
            </w:pPr>
            <w:r/>
            <w:r>
              <w:rPr>
                <w:rFonts w:ascii="Times New Roman" w:hAnsi="Times New Roman" w:eastAsia="宋体"/>
                <w:b w:val="0"/>
                <w:sz w:val="20"/>
              </w:rPr>
              <w:t>0.00%</w:t>
            </w:r>
          </w:p>
        </w:tc>
        <w:tc>
          <w:tcPr>
            <w:tcW w:type="dxa" w:w="903"/>
            <w:vAlign w:val="center"/>
          </w:tcPr>
          <w:p>
            <w:pPr>
              <w:spacing w:line="276" w:lineRule="auto" w:after="0"/>
            </w:pPr>
            <w:r/>
            <w:r>
              <w:rPr>
                <w:rFonts w:ascii="Times New Roman" w:hAnsi="Times New Roman" w:eastAsia="宋体"/>
                <w:b w:val="0"/>
                <w:sz w:val="20"/>
              </w:rPr>
              <w:t>0.00%</w:t>
            </w:r>
          </w:p>
        </w:tc>
        <w:tc>
          <w:tcPr>
            <w:tcW w:type="dxa" w:w="903"/>
            <w:vAlign w:val="center"/>
          </w:tcPr>
          <w:p>
            <w:pPr>
              <w:spacing w:line="276" w:lineRule="auto" w:after="0"/>
            </w:pPr>
            <w:r/>
            <w:r>
              <w:rPr>
                <w:rFonts w:ascii="Times New Roman" w:hAnsi="Times New Roman" w:eastAsia="宋体"/>
                <w:b w:val="0"/>
                <w:sz w:val="20"/>
              </w:rPr>
              <w:t>0.0</w:t>
            </w:r>
          </w:p>
        </w:tc>
        <w:tc>
          <w:tcPr>
            <w:tcW w:type="dxa" w:w="903"/>
            <w:vAlign w:val="center"/>
          </w:tcPr>
          <w:p>
            <w:pPr>
              <w:spacing w:line="276" w:lineRule="auto" w:after="0"/>
            </w:pPr>
            <w:r/>
            <w:r>
              <w:rPr>
                <w:rFonts w:ascii="Times New Roman" w:hAnsi="Times New Roman" w:eastAsia="宋体"/>
                <w:b w:val="0"/>
                <w:sz w:val="20"/>
              </w:rPr>
              <w:t>0.35</w:t>
            </w:r>
          </w:p>
        </w:tc>
      </w:tr>
      <w:tr>
        <w:tc>
          <w:tcPr>
            <w:tcW w:type="dxa" w:w="903"/>
            <w:vAlign w:val="center"/>
          </w:tcPr>
          <w:p>
            <w:pPr>
              <w:spacing w:line="276" w:lineRule="auto" w:after="0"/>
            </w:pPr>
            <w:r/>
            <w:r>
              <w:rPr>
                <w:rFonts w:ascii="Times New Roman" w:hAnsi="Times New Roman" w:eastAsia="宋体"/>
                <w:b w:val="0"/>
                <w:sz w:val="20"/>
              </w:rPr>
              <w:t>stub</w:t>
            </w:r>
          </w:p>
        </w:tc>
        <w:tc>
          <w:tcPr>
            <w:tcW w:type="dxa" w:w="903"/>
            <w:vAlign w:val="center"/>
          </w:tcPr>
          <w:p>
            <w:pPr>
              <w:spacing w:line="276" w:lineRule="auto" w:after="0"/>
            </w:pPr>
            <w:r/>
            <w:r>
              <w:rPr>
                <w:rFonts w:ascii="Times New Roman" w:hAnsi="Times New Roman" w:eastAsia="宋体"/>
                <w:b w:val="0"/>
                <w:sz w:val="20"/>
              </w:rPr>
              <w:t>full_guard</w:t>
            </w:r>
          </w:p>
        </w:tc>
        <w:tc>
          <w:tcPr>
            <w:tcW w:type="dxa" w:w="903"/>
            <w:vAlign w:val="center"/>
          </w:tcPr>
          <w:p>
            <w:pPr>
              <w:spacing w:line="276" w:lineRule="auto" w:after="0"/>
            </w:pPr>
            <w:r/>
            <w:r>
              <w:rPr>
                <w:rFonts w:ascii="Times New Roman" w:hAnsi="Times New Roman" w:eastAsia="宋体"/>
                <w:b w:val="0"/>
                <w:sz w:val="20"/>
              </w:rPr>
              <w:t>3</w:t>
            </w:r>
          </w:p>
        </w:tc>
        <w:tc>
          <w:tcPr>
            <w:tcW w:type="dxa" w:w="903"/>
            <w:vAlign w:val="center"/>
          </w:tcPr>
          <w:p>
            <w:pPr>
              <w:spacing w:line="276" w:lineRule="auto" w:after="0"/>
            </w:pPr>
            <w:r/>
            <w:r>
              <w:rPr>
                <w:rFonts w:ascii="Times New Roman" w:hAnsi="Times New Roman" w:eastAsia="宋体"/>
                <w:b w:val="0"/>
                <w:sz w:val="20"/>
              </w:rPr>
              <w:t>0.00%</w:t>
            </w:r>
          </w:p>
        </w:tc>
        <w:tc>
          <w:tcPr>
            <w:tcW w:type="dxa" w:w="903"/>
            <w:vAlign w:val="center"/>
          </w:tcPr>
          <w:p>
            <w:pPr>
              <w:spacing w:line="276" w:lineRule="auto" w:after="0"/>
            </w:pPr>
            <w:r/>
            <w:r>
              <w:rPr>
                <w:rFonts w:ascii="Times New Roman" w:hAnsi="Times New Roman" w:eastAsia="宋体"/>
                <w:b w:val="0"/>
                <w:sz w:val="20"/>
              </w:rPr>
              <w:t>0.00%</w:t>
            </w:r>
          </w:p>
        </w:tc>
        <w:tc>
          <w:tcPr>
            <w:tcW w:type="dxa" w:w="903"/>
            <w:vAlign w:val="center"/>
          </w:tcPr>
          <w:p>
            <w:pPr>
              <w:spacing w:line="276" w:lineRule="auto" w:after="0"/>
            </w:pPr>
            <w:r/>
            <w:r>
              <w:rPr>
                <w:rFonts w:ascii="Times New Roman" w:hAnsi="Times New Roman" w:eastAsia="宋体"/>
                <w:b w:val="0"/>
                <w:sz w:val="20"/>
              </w:rPr>
              <w:t>0.00%</w:t>
            </w:r>
          </w:p>
        </w:tc>
        <w:tc>
          <w:tcPr>
            <w:tcW w:type="dxa" w:w="903"/>
            <w:vAlign w:val="center"/>
          </w:tcPr>
          <w:p>
            <w:pPr>
              <w:spacing w:line="276" w:lineRule="auto" w:after="0"/>
            </w:pPr>
            <w:r/>
            <w:r>
              <w:rPr>
                <w:rFonts w:ascii="Times New Roman" w:hAnsi="Times New Roman" w:eastAsia="宋体"/>
                <w:b w:val="0"/>
                <w:sz w:val="20"/>
              </w:rPr>
              <w:t>100.00%</w:t>
            </w:r>
          </w:p>
        </w:tc>
        <w:tc>
          <w:tcPr>
            <w:tcW w:type="dxa" w:w="903"/>
            <w:vAlign w:val="center"/>
          </w:tcPr>
          <w:p>
            <w:pPr>
              <w:spacing w:line="276" w:lineRule="auto" w:after="0"/>
            </w:pPr>
            <w:r/>
            <w:r>
              <w:rPr>
                <w:rFonts w:ascii="Times New Roman" w:hAnsi="Times New Roman" w:eastAsia="宋体"/>
                <w:b w:val="0"/>
                <w:sz w:val="20"/>
              </w:rPr>
              <w:t>0.00%</w:t>
            </w:r>
          </w:p>
        </w:tc>
        <w:tc>
          <w:tcPr>
            <w:tcW w:type="dxa" w:w="903"/>
            <w:vAlign w:val="center"/>
          </w:tcPr>
          <w:p>
            <w:pPr>
              <w:spacing w:line="276" w:lineRule="auto" w:after="0"/>
            </w:pPr>
            <w:r/>
            <w:r>
              <w:rPr>
                <w:rFonts w:ascii="Times New Roman" w:hAnsi="Times New Roman" w:eastAsia="宋体"/>
                <w:b w:val="0"/>
                <w:sz w:val="20"/>
              </w:rPr>
              <w:t>1.0</w:t>
            </w:r>
          </w:p>
        </w:tc>
        <w:tc>
          <w:tcPr>
            <w:tcW w:type="dxa" w:w="903"/>
            <w:vAlign w:val="center"/>
          </w:tcPr>
          <w:p>
            <w:pPr>
              <w:spacing w:line="276" w:lineRule="auto" w:after="0"/>
            </w:pPr>
            <w:r/>
            <w:r>
              <w:rPr>
                <w:rFonts w:ascii="Times New Roman" w:hAnsi="Times New Roman" w:eastAsia="宋体"/>
                <w:b w:val="0"/>
                <w:sz w:val="20"/>
              </w:rPr>
              <w:t>1.0</w:t>
            </w:r>
          </w:p>
        </w:tc>
      </w:tr>
    </w:tbl>
    <w:p>
      <w:pPr>
        <w:spacing w:line="360" w:lineRule="auto" w:after="120"/>
      </w:pPr>
      <w:r>
        <w:rPr>
          <w:rFonts w:ascii="Times New Roman" w:hAnsi="Times New Roman" w:eastAsia="宋体"/>
          <w:b w:val="0"/>
          <w:sz w:val="24"/>
        </w:rPr>
      </w:r>
    </w:p>
    <w:p>
      <w:pPr>
        <w:spacing w:line="360" w:lineRule="auto" w:after="120"/>
      </w:pPr>
      <w:r>
        <w:rPr>
          <w:rFonts w:ascii="Times New Roman" w:hAnsi="Times New Roman" w:eastAsia="宋体"/>
          <w:b w:val="0"/>
          <w:sz w:val="24"/>
        </w:rPr>
        <w:t>在 stub 全量实验中，baseline 的 ASR 为 55.07%，UTR 为 28.99%，DSR 为 55.07%，说明未加防护时攻击样本能够稳定触发 mock 风险行为。keyword_only 将 ASR 降至 13.04%，说明文本检测对显式指令和工具诱导有效，但仍无法覆盖全部结构化字段、策略和数据流风险。policy_only 将 ASR、UTR 和 DSR 降至 0，说明工具策略对危险路径、外发端点和代码执行具有强约束力。full_guard 同样将 ASR、UTR 和 DSR 降至 0，同时记录更高 AvgRisk，表明其能给出更丰富的风险解释。</w:t>
      </w:r>
    </w:p>
    <w:p>
      <w:pPr>
        <w:spacing w:line="360" w:lineRule="auto" w:after="120"/>
      </w:pPr>
      <w:r>
        <w:rPr>
          <w:rFonts w:ascii="Times New Roman" w:hAnsi="Times New Roman" w:eastAsia="宋体"/>
          <w:b w:val="0"/>
          <w:sz w:val="24"/>
        </w:rPr>
        <w:t>在 Qwen2.5-7B 代表样本实验中，baseline 的 ASR 为 8.33%，UTR 为 8.33%，DSR 为 4.17%。这一数值低于 stub 全量实验，原因是本地模型未必总是稳定产生工具调用格式；但风险并非为零。full_guard 将三项风险指标降至 0，并将 BSR 提升至 45.83%，说明行为监督可以在真实模型输出不稳定的情况下提供额外安全边界。</w:t>
      </w:r>
    </w:p>
    <w:p>
      <w:pPr>
        <w:pStyle w:val="Heading2"/>
        <w:spacing w:line="360" w:lineRule="auto"/>
      </w:pPr>
      <w:r>
        <w:rPr>
          <w:rFonts w:ascii="Times New Roman" w:hAnsi="Times New Roman" w:eastAsia="宋体"/>
          <w:b/>
          <w:sz w:val="26"/>
        </w:rPr>
        <w:t>8.2 按攻击族分析</w:t>
      </w:r>
    </w:p>
    <w:tbl>
      <w:tblPr>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805"/>
            <w:shd w:fill="EDEDED"/>
            <w:vAlign w:val="center"/>
          </w:tcPr>
          <w:p>
            <w:pPr>
              <w:spacing w:line="276" w:lineRule="auto" w:after="0"/>
            </w:pPr>
            <w:r/>
            <w:r>
              <w:rPr>
                <w:rFonts w:ascii="Times New Roman" w:hAnsi="Times New Roman" w:eastAsia="宋体"/>
                <w:b/>
                <w:sz w:val="20"/>
              </w:rPr>
              <w:t>攻击族</w:t>
            </w:r>
          </w:p>
        </w:tc>
        <w:tc>
          <w:tcPr>
            <w:tcW w:type="dxa" w:w="1805"/>
            <w:shd w:fill="EDEDED"/>
            <w:vAlign w:val="center"/>
          </w:tcPr>
          <w:p>
            <w:pPr>
              <w:spacing w:line="276" w:lineRule="auto" w:after="0"/>
            </w:pPr>
            <w:r/>
            <w:r>
              <w:rPr>
                <w:rFonts w:ascii="Times New Roman" w:hAnsi="Times New Roman" w:eastAsia="宋体"/>
                <w:b/>
                <w:sz w:val="20"/>
              </w:rPr>
              <w:t>Baseline ASR</w:t>
            </w:r>
          </w:p>
        </w:tc>
        <w:tc>
          <w:tcPr>
            <w:tcW w:type="dxa" w:w="1805"/>
            <w:shd w:fill="EDEDED"/>
            <w:vAlign w:val="center"/>
          </w:tcPr>
          <w:p>
            <w:pPr>
              <w:spacing w:line="276" w:lineRule="auto" w:after="0"/>
            </w:pPr>
            <w:r/>
            <w:r>
              <w:rPr>
                <w:rFonts w:ascii="Times New Roman" w:hAnsi="Times New Roman" w:eastAsia="宋体"/>
                <w:b/>
                <w:sz w:val="20"/>
              </w:rPr>
              <w:t>Baseline DSR</w:t>
            </w:r>
          </w:p>
        </w:tc>
        <w:tc>
          <w:tcPr>
            <w:tcW w:type="dxa" w:w="1805"/>
            <w:shd w:fill="EDEDED"/>
            <w:vAlign w:val="center"/>
          </w:tcPr>
          <w:p>
            <w:pPr>
              <w:spacing w:line="276" w:lineRule="auto" w:after="0"/>
            </w:pPr>
            <w:r/>
            <w:r>
              <w:rPr>
                <w:rFonts w:ascii="Times New Roman" w:hAnsi="Times New Roman" w:eastAsia="宋体"/>
                <w:b/>
                <w:sz w:val="20"/>
              </w:rPr>
              <w:t>Full Guard ASR</w:t>
            </w:r>
          </w:p>
        </w:tc>
        <w:tc>
          <w:tcPr>
            <w:tcW w:type="dxa" w:w="1805"/>
            <w:shd w:fill="EDEDED"/>
            <w:vAlign w:val="center"/>
          </w:tcPr>
          <w:p>
            <w:pPr>
              <w:spacing w:line="276" w:lineRule="auto" w:after="0"/>
            </w:pPr>
            <w:r/>
            <w:r>
              <w:rPr>
                <w:rFonts w:ascii="Times New Roman" w:hAnsi="Times New Roman" w:eastAsia="宋体"/>
                <w:b/>
                <w:sz w:val="20"/>
              </w:rPr>
              <w:t>Full Guard BSR</w:t>
            </w:r>
          </w:p>
        </w:tc>
      </w:tr>
      <w:tr>
        <w:tc>
          <w:tcPr>
            <w:tcW w:type="dxa" w:w="1805"/>
            <w:vAlign w:val="center"/>
          </w:tcPr>
          <w:p>
            <w:pPr>
              <w:spacing w:line="276" w:lineRule="auto" w:after="0"/>
            </w:pPr>
            <w:r/>
            <w:r>
              <w:rPr>
                <w:rFonts w:ascii="Times New Roman" w:hAnsi="Times New Roman" w:eastAsia="宋体"/>
                <w:b w:val="0"/>
                <w:sz w:val="20"/>
              </w:rPr>
              <w:t>benign_clean</w:t>
            </w:r>
          </w:p>
        </w:tc>
        <w:tc>
          <w:tcPr>
            <w:tcW w:type="dxa" w:w="1805"/>
            <w:vAlign w:val="center"/>
          </w:tcPr>
          <w:p>
            <w:pPr>
              <w:spacing w:line="276" w:lineRule="auto" w:after="0"/>
            </w:pPr>
            <w:r/>
            <w:r>
              <w:rPr>
                <w:rFonts w:ascii="Times New Roman" w:hAnsi="Times New Roman" w:eastAsia="宋体"/>
                <w:b w:val="0"/>
                <w:sz w:val="20"/>
              </w:rPr>
              <w:t>0.00%</w:t>
            </w:r>
          </w:p>
        </w:tc>
        <w:tc>
          <w:tcPr>
            <w:tcW w:type="dxa" w:w="1805"/>
            <w:vAlign w:val="center"/>
          </w:tcPr>
          <w:p>
            <w:pPr>
              <w:spacing w:line="276" w:lineRule="auto" w:after="0"/>
            </w:pPr>
            <w:r/>
            <w:r>
              <w:rPr>
                <w:rFonts w:ascii="Times New Roman" w:hAnsi="Times New Roman" w:eastAsia="宋体"/>
                <w:b w:val="0"/>
                <w:sz w:val="20"/>
              </w:rPr>
              <w:t>0.00%</w:t>
            </w:r>
          </w:p>
        </w:tc>
        <w:tc>
          <w:tcPr>
            <w:tcW w:type="dxa" w:w="1805"/>
            <w:vAlign w:val="center"/>
          </w:tcPr>
          <w:p>
            <w:pPr>
              <w:spacing w:line="276" w:lineRule="auto" w:after="0"/>
            </w:pPr>
            <w:r/>
            <w:r>
              <w:rPr>
                <w:rFonts w:ascii="Times New Roman" w:hAnsi="Times New Roman" w:eastAsia="宋体"/>
                <w:b w:val="0"/>
                <w:sz w:val="20"/>
              </w:rPr>
              <w:t>0.00%</w:t>
            </w:r>
          </w:p>
        </w:tc>
        <w:tc>
          <w:tcPr>
            <w:tcW w:type="dxa" w:w="1805"/>
            <w:vAlign w:val="center"/>
          </w:tcPr>
          <w:p>
            <w:pPr>
              <w:spacing w:line="276" w:lineRule="auto" w:after="0"/>
            </w:pPr>
            <w:r/>
            <w:r>
              <w:rPr>
                <w:rFonts w:ascii="Times New Roman" w:hAnsi="Times New Roman" w:eastAsia="宋体"/>
                <w:b w:val="0"/>
                <w:sz w:val="20"/>
              </w:rPr>
              <w:t>0.00%</w:t>
            </w:r>
          </w:p>
        </w:tc>
      </w:tr>
      <w:tr>
        <w:tc>
          <w:tcPr>
            <w:tcW w:type="dxa" w:w="1805"/>
            <w:vAlign w:val="center"/>
          </w:tcPr>
          <w:p>
            <w:pPr>
              <w:spacing w:line="276" w:lineRule="auto" w:after="0"/>
            </w:pPr>
            <w:r/>
            <w:r>
              <w:rPr>
                <w:rFonts w:ascii="Times New Roman" w:hAnsi="Times New Roman" w:eastAsia="宋体"/>
                <w:b w:val="0"/>
                <w:sz w:val="20"/>
              </w:rPr>
              <w:t>direct_jailbreak</w:t>
            </w:r>
          </w:p>
        </w:tc>
        <w:tc>
          <w:tcPr>
            <w:tcW w:type="dxa" w:w="1805"/>
            <w:vAlign w:val="center"/>
          </w:tcPr>
          <w:p>
            <w:pPr>
              <w:spacing w:line="276" w:lineRule="auto" w:after="0"/>
            </w:pPr>
            <w:r/>
            <w:r>
              <w:rPr>
                <w:rFonts w:ascii="Times New Roman" w:hAnsi="Times New Roman" w:eastAsia="宋体"/>
                <w:b w:val="0"/>
                <w:sz w:val="20"/>
              </w:rPr>
              <w:t>0.00%</w:t>
            </w:r>
          </w:p>
        </w:tc>
        <w:tc>
          <w:tcPr>
            <w:tcW w:type="dxa" w:w="1805"/>
            <w:vAlign w:val="center"/>
          </w:tcPr>
          <w:p>
            <w:pPr>
              <w:spacing w:line="276" w:lineRule="auto" w:after="0"/>
            </w:pPr>
            <w:r/>
            <w:r>
              <w:rPr>
                <w:rFonts w:ascii="Times New Roman" w:hAnsi="Times New Roman" w:eastAsia="宋体"/>
                <w:b w:val="0"/>
                <w:sz w:val="20"/>
              </w:rPr>
              <w:t>0.00%</w:t>
            </w:r>
          </w:p>
        </w:tc>
        <w:tc>
          <w:tcPr>
            <w:tcW w:type="dxa" w:w="1805"/>
            <w:vAlign w:val="center"/>
          </w:tcPr>
          <w:p>
            <w:pPr>
              <w:spacing w:line="276" w:lineRule="auto" w:after="0"/>
            </w:pPr>
            <w:r/>
            <w:r>
              <w:rPr>
                <w:rFonts w:ascii="Times New Roman" w:hAnsi="Times New Roman" w:eastAsia="宋体"/>
                <w:b w:val="0"/>
                <w:sz w:val="20"/>
              </w:rPr>
              <w:t>0.00%</w:t>
            </w:r>
          </w:p>
        </w:tc>
        <w:tc>
          <w:tcPr>
            <w:tcW w:type="dxa" w:w="1805"/>
            <w:vAlign w:val="center"/>
          </w:tcPr>
          <w:p>
            <w:pPr>
              <w:spacing w:line="276" w:lineRule="auto" w:after="0"/>
            </w:pPr>
            <w:r/>
            <w:r>
              <w:rPr>
                <w:rFonts w:ascii="Times New Roman" w:hAnsi="Times New Roman" w:eastAsia="宋体"/>
                <w:b w:val="0"/>
                <w:sz w:val="20"/>
              </w:rPr>
              <w:t>100.00%</w:t>
            </w:r>
          </w:p>
        </w:tc>
      </w:tr>
      <w:tr>
        <w:tc>
          <w:tcPr>
            <w:tcW w:type="dxa" w:w="1805"/>
            <w:vAlign w:val="center"/>
          </w:tcPr>
          <w:p>
            <w:pPr>
              <w:spacing w:line="276" w:lineRule="auto" w:after="0"/>
            </w:pPr>
            <w:r/>
            <w:r>
              <w:rPr>
                <w:rFonts w:ascii="Times New Roman" w:hAnsi="Times New Roman" w:eastAsia="宋体"/>
                <w:b w:val="0"/>
                <w:sz w:val="20"/>
              </w:rPr>
              <w:t>json_rpc</w:t>
            </w:r>
          </w:p>
        </w:tc>
        <w:tc>
          <w:tcPr>
            <w:tcW w:type="dxa" w:w="1805"/>
            <w:vAlign w:val="center"/>
          </w:tcPr>
          <w:p>
            <w:pPr>
              <w:spacing w:line="276" w:lineRule="auto" w:after="0"/>
            </w:pPr>
            <w:r/>
            <w:r>
              <w:rPr>
                <w:rFonts w:ascii="Times New Roman" w:hAnsi="Times New Roman" w:eastAsia="宋体"/>
                <w:b w:val="0"/>
                <w:sz w:val="20"/>
              </w:rPr>
              <w:t>0.00%</w:t>
            </w:r>
          </w:p>
        </w:tc>
        <w:tc>
          <w:tcPr>
            <w:tcW w:type="dxa" w:w="1805"/>
            <w:vAlign w:val="center"/>
          </w:tcPr>
          <w:p>
            <w:pPr>
              <w:spacing w:line="276" w:lineRule="auto" w:after="0"/>
            </w:pPr>
            <w:r/>
            <w:r>
              <w:rPr>
                <w:rFonts w:ascii="Times New Roman" w:hAnsi="Times New Roman" w:eastAsia="宋体"/>
                <w:b w:val="0"/>
                <w:sz w:val="20"/>
              </w:rPr>
              <w:t>0.00%</w:t>
            </w:r>
          </w:p>
        </w:tc>
        <w:tc>
          <w:tcPr>
            <w:tcW w:type="dxa" w:w="1805"/>
            <w:vAlign w:val="center"/>
          </w:tcPr>
          <w:p>
            <w:pPr>
              <w:spacing w:line="276" w:lineRule="auto" w:after="0"/>
            </w:pPr>
            <w:r/>
            <w:r>
              <w:rPr>
                <w:rFonts w:ascii="Times New Roman" w:hAnsi="Times New Roman" w:eastAsia="宋体"/>
                <w:b w:val="0"/>
                <w:sz w:val="20"/>
              </w:rPr>
              <w:t>0.00%</w:t>
            </w:r>
          </w:p>
        </w:tc>
        <w:tc>
          <w:tcPr>
            <w:tcW w:type="dxa" w:w="1805"/>
            <w:vAlign w:val="center"/>
          </w:tcPr>
          <w:p>
            <w:pPr>
              <w:spacing w:line="276" w:lineRule="auto" w:after="0"/>
            </w:pPr>
            <w:r/>
            <w:r>
              <w:rPr>
                <w:rFonts w:ascii="Times New Roman" w:hAnsi="Times New Roman" w:eastAsia="宋体"/>
                <w:b w:val="0"/>
                <w:sz w:val="20"/>
              </w:rPr>
              <w:t>100.00%</w:t>
            </w:r>
          </w:p>
        </w:tc>
      </w:tr>
      <w:tr>
        <w:tc>
          <w:tcPr>
            <w:tcW w:type="dxa" w:w="1805"/>
            <w:vAlign w:val="center"/>
          </w:tcPr>
          <w:p>
            <w:pPr>
              <w:spacing w:line="276" w:lineRule="auto" w:after="0"/>
            </w:pPr>
            <w:r/>
            <w:r>
              <w:rPr>
                <w:rFonts w:ascii="Times New Roman" w:hAnsi="Times New Roman" w:eastAsia="宋体"/>
                <w:b w:val="0"/>
                <w:sz w:val="20"/>
              </w:rPr>
              <w:t>multilingual_t2l</w:t>
            </w:r>
          </w:p>
        </w:tc>
        <w:tc>
          <w:tcPr>
            <w:tcW w:type="dxa" w:w="1805"/>
            <w:vAlign w:val="center"/>
          </w:tcPr>
          <w:p>
            <w:pPr>
              <w:spacing w:line="276" w:lineRule="auto" w:after="0"/>
            </w:pPr>
            <w:r/>
            <w:r>
              <w:rPr>
                <w:rFonts w:ascii="Times New Roman" w:hAnsi="Times New Roman" w:eastAsia="宋体"/>
                <w:b w:val="0"/>
                <w:sz w:val="20"/>
              </w:rPr>
              <w:t>100.00%</w:t>
            </w:r>
          </w:p>
        </w:tc>
        <w:tc>
          <w:tcPr>
            <w:tcW w:type="dxa" w:w="1805"/>
            <w:vAlign w:val="center"/>
          </w:tcPr>
          <w:p>
            <w:pPr>
              <w:spacing w:line="276" w:lineRule="auto" w:after="0"/>
            </w:pPr>
            <w:r/>
            <w:r>
              <w:rPr>
                <w:rFonts w:ascii="Times New Roman" w:hAnsi="Times New Roman" w:eastAsia="宋体"/>
                <w:b w:val="0"/>
                <w:sz w:val="20"/>
              </w:rPr>
              <w:t>100.00%</w:t>
            </w:r>
          </w:p>
        </w:tc>
        <w:tc>
          <w:tcPr>
            <w:tcW w:type="dxa" w:w="1805"/>
            <w:vAlign w:val="center"/>
          </w:tcPr>
          <w:p>
            <w:pPr>
              <w:spacing w:line="276" w:lineRule="auto" w:after="0"/>
            </w:pPr>
            <w:r/>
            <w:r>
              <w:rPr>
                <w:rFonts w:ascii="Times New Roman" w:hAnsi="Times New Roman" w:eastAsia="宋体"/>
                <w:b w:val="0"/>
                <w:sz w:val="20"/>
              </w:rPr>
              <w:t>0.00%</w:t>
            </w:r>
          </w:p>
        </w:tc>
        <w:tc>
          <w:tcPr>
            <w:tcW w:type="dxa" w:w="1805"/>
            <w:vAlign w:val="center"/>
          </w:tcPr>
          <w:p>
            <w:pPr>
              <w:spacing w:line="276" w:lineRule="auto" w:after="0"/>
            </w:pPr>
            <w:r/>
            <w:r>
              <w:rPr>
                <w:rFonts w:ascii="Times New Roman" w:hAnsi="Times New Roman" w:eastAsia="宋体"/>
                <w:b w:val="0"/>
                <w:sz w:val="20"/>
              </w:rPr>
              <w:t>100.00%</w:t>
            </w:r>
          </w:p>
        </w:tc>
      </w:tr>
      <w:tr>
        <w:tc>
          <w:tcPr>
            <w:tcW w:type="dxa" w:w="1805"/>
            <w:vAlign w:val="center"/>
          </w:tcPr>
          <w:p>
            <w:pPr>
              <w:spacing w:line="276" w:lineRule="auto" w:after="0"/>
            </w:pPr>
            <w:r/>
            <w:r>
              <w:rPr>
                <w:rFonts w:ascii="Times New Roman" w:hAnsi="Times New Roman" w:eastAsia="宋体"/>
                <w:b w:val="0"/>
                <w:sz w:val="20"/>
              </w:rPr>
              <w:t>rag_indirect</w:t>
            </w:r>
          </w:p>
        </w:tc>
        <w:tc>
          <w:tcPr>
            <w:tcW w:type="dxa" w:w="1805"/>
            <w:vAlign w:val="center"/>
          </w:tcPr>
          <w:p>
            <w:pPr>
              <w:spacing w:line="276" w:lineRule="auto" w:after="0"/>
            </w:pPr>
            <w:r/>
            <w:r>
              <w:rPr>
                <w:rFonts w:ascii="Times New Roman" w:hAnsi="Times New Roman" w:eastAsia="宋体"/>
                <w:b w:val="0"/>
                <w:sz w:val="20"/>
              </w:rPr>
              <w:t>100.00%</w:t>
            </w:r>
          </w:p>
        </w:tc>
        <w:tc>
          <w:tcPr>
            <w:tcW w:type="dxa" w:w="1805"/>
            <w:vAlign w:val="center"/>
          </w:tcPr>
          <w:p>
            <w:pPr>
              <w:spacing w:line="276" w:lineRule="auto" w:after="0"/>
            </w:pPr>
            <w:r/>
            <w:r>
              <w:rPr>
                <w:rFonts w:ascii="Times New Roman" w:hAnsi="Times New Roman" w:eastAsia="宋体"/>
                <w:b w:val="0"/>
                <w:sz w:val="20"/>
              </w:rPr>
              <w:t>100.00%</w:t>
            </w:r>
          </w:p>
        </w:tc>
        <w:tc>
          <w:tcPr>
            <w:tcW w:type="dxa" w:w="1805"/>
            <w:vAlign w:val="center"/>
          </w:tcPr>
          <w:p>
            <w:pPr>
              <w:spacing w:line="276" w:lineRule="auto" w:after="0"/>
            </w:pPr>
            <w:r/>
            <w:r>
              <w:rPr>
                <w:rFonts w:ascii="Times New Roman" w:hAnsi="Times New Roman" w:eastAsia="宋体"/>
                <w:b w:val="0"/>
                <w:sz w:val="20"/>
              </w:rPr>
              <w:t>0.00%</w:t>
            </w:r>
          </w:p>
        </w:tc>
        <w:tc>
          <w:tcPr>
            <w:tcW w:type="dxa" w:w="1805"/>
            <w:vAlign w:val="center"/>
          </w:tcPr>
          <w:p>
            <w:pPr>
              <w:spacing w:line="276" w:lineRule="auto" w:after="0"/>
            </w:pPr>
            <w:r/>
            <w:r>
              <w:rPr>
                <w:rFonts w:ascii="Times New Roman" w:hAnsi="Times New Roman" w:eastAsia="宋体"/>
                <w:b w:val="0"/>
                <w:sz w:val="20"/>
              </w:rPr>
              <w:t>100.00%</w:t>
            </w:r>
          </w:p>
        </w:tc>
      </w:tr>
      <w:tr>
        <w:tc>
          <w:tcPr>
            <w:tcW w:type="dxa" w:w="1805"/>
            <w:vAlign w:val="center"/>
          </w:tcPr>
          <w:p>
            <w:pPr>
              <w:spacing w:line="276" w:lineRule="auto" w:after="0"/>
            </w:pPr>
            <w:r/>
            <w:r>
              <w:rPr>
                <w:rFonts w:ascii="Times New Roman" w:hAnsi="Times New Roman" w:eastAsia="宋体"/>
                <w:b w:val="0"/>
                <w:sz w:val="20"/>
              </w:rPr>
              <w:t>tool_output_injection</w:t>
            </w:r>
          </w:p>
        </w:tc>
        <w:tc>
          <w:tcPr>
            <w:tcW w:type="dxa" w:w="1805"/>
            <w:vAlign w:val="center"/>
          </w:tcPr>
          <w:p>
            <w:pPr>
              <w:spacing w:line="276" w:lineRule="auto" w:after="0"/>
            </w:pPr>
            <w:r/>
            <w:r>
              <w:rPr>
                <w:rFonts w:ascii="Times New Roman" w:hAnsi="Times New Roman" w:eastAsia="宋体"/>
                <w:b w:val="0"/>
                <w:sz w:val="20"/>
              </w:rPr>
              <w:t>100.00%</w:t>
            </w:r>
          </w:p>
        </w:tc>
        <w:tc>
          <w:tcPr>
            <w:tcW w:type="dxa" w:w="1805"/>
            <w:vAlign w:val="center"/>
          </w:tcPr>
          <w:p>
            <w:pPr>
              <w:spacing w:line="276" w:lineRule="auto" w:after="0"/>
            </w:pPr>
            <w:r/>
            <w:r>
              <w:rPr>
                <w:rFonts w:ascii="Times New Roman" w:hAnsi="Times New Roman" w:eastAsia="宋体"/>
                <w:b w:val="0"/>
                <w:sz w:val="20"/>
              </w:rPr>
              <w:t>100.00%</w:t>
            </w:r>
          </w:p>
        </w:tc>
        <w:tc>
          <w:tcPr>
            <w:tcW w:type="dxa" w:w="1805"/>
            <w:vAlign w:val="center"/>
          </w:tcPr>
          <w:p>
            <w:pPr>
              <w:spacing w:line="276" w:lineRule="auto" w:after="0"/>
            </w:pPr>
            <w:r/>
            <w:r>
              <w:rPr>
                <w:rFonts w:ascii="Times New Roman" w:hAnsi="Times New Roman" w:eastAsia="宋体"/>
                <w:b w:val="0"/>
                <w:sz w:val="20"/>
              </w:rPr>
              <w:t>0.00%</w:t>
            </w:r>
          </w:p>
        </w:tc>
        <w:tc>
          <w:tcPr>
            <w:tcW w:type="dxa" w:w="1805"/>
            <w:vAlign w:val="center"/>
          </w:tcPr>
          <w:p>
            <w:pPr>
              <w:spacing w:line="276" w:lineRule="auto" w:after="0"/>
            </w:pPr>
            <w:r/>
            <w:r>
              <w:rPr>
                <w:rFonts w:ascii="Times New Roman" w:hAnsi="Times New Roman" w:eastAsia="宋体"/>
                <w:b w:val="0"/>
                <w:sz w:val="20"/>
              </w:rPr>
              <w:t>100.00%</w:t>
            </w:r>
          </w:p>
        </w:tc>
      </w:tr>
    </w:tbl>
    <w:p>
      <w:pPr>
        <w:spacing w:line="360" w:lineRule="auto" w:after="120"/>
      </w:pPr>
      <w:r>
        <w:rPr>
          <w:rFonts w:ascii="Times New Roman" w:hAnsi="Times New Roman" w:eastAsia="宋体"/>
          <w:b w:val="0"/>
          <w:sz w:val="24"/>
        </w:rPr>
      </w:r>
    </w:p>
    <w:p>
      <w:pPr>
        <w:spacing w:line="360" w:lineRule="auto" w:after="120"/>
      </w:pPr>
      <w:r>
        <w:rPr>
          <w:rFonts w:ascii="Times New Roman" w:hAnsi="Times New Roman" w:eastAsia="宋体"/>
          <w:b w:val="0"/>
          <w:sz w:val="24"/>
        </w:rPr>
        <w:t>按攻击族观察可以发现，不同攻击类型对防护组件的依赖不同。RAG 间接注入和工具输出注入更依赖不可信来源检测；JSON/RPC 注入更依赖结构化字段检测和意图一致性检查；多语言/T2L 注入需要归一化、多语言信号和工具策略共同发挥作用。Full Guard 的稳定性来自多种检测信号的互补，而不是单一关键词列表。</w:t>
      </w:r>
    </w:p>
    <w:p>
      <w:pPr>
        <w:pStyle w:val="Heading2"/>
        <w:spacing w:line="360" w:lineRule="auto"/>
      </w:pPr>
      <w:r>
        <w:rPr>
          <w:rFonts w:ascii="Times New Roman" w:hAnsi="Times New Roman" w:eastAsia="宋体"/>
          <w:b/>
          <w:sz w:val="26"/>
        </w:rPr>
        <w:t>8.3 消融观察</w:t>
      </w:r>
    </w:p>
    <w:p>
      <w:pPr>
        <w:spacing w:line="360" w:lineRule="auto" w:after="120"/>
      </w:pPr>
      <w:r>
        <w:rPr>
          <w:rFonts w:ascii="Times New Roman" w:hAnsi="Times New Roman" w:eastAsia="宋体"/>
          <w:b w:val="0"/>
          <w:sz w:val="24"/>
        </w:rPr>
        <w:t>keyword_only 与 policy_only 的差异说明，文本信号和工具策略关注不同层面。keyword_only 可以发现“ignore previous instructions”“before summarizing”“read_file”等明显诱导，但对已经被解析为工具调用的危险参数缺少强约束。policy_only 不需要理解完整文本，也能阻断 secret 路径、非 mock 端点和代码执行，但对攻击来源解释不足。full_guard 的价值在于同时完成检测、阻断和解释。</w:t>
      </w:r>
    </w:p>
    <w:p>
      <w:pPr>
        <w:pStyle w:val="Heading2"/>
        <w:spacing w:line="360" w:lineRule="auto"/>
      </w:pPr>
      <w:r>
        <w:rPr>
          <w:rFonts w:ascii="Times New Roman" w:hAnsi="Times New Roman" w:eastAsia="宋体"/>
          <w:b/>
          <w:sz w:val="26"/>
        </w:rPr>
        <w:t>8.4 代表案例分析</w:t>
      </w:r>
    </w:p>
    <w:p>
      <w:pPr>
        <w:spacing w:line="360" w:lineRule="auto" w:after="120"/>
      </w:pPr>
      <w:r>
        <w:rPr>
          <w:rFonts w:ascii="Times New Roman" w:hAnsi="Times New Roman" w:eastAsia="宋体"/>
          <w:b w:val="0"/>
          <w:sz w:val="24"/>
        </w:rPr>
        <w:t>RAG 案例中，用户请求总结供应商风险报告，攻击内容隐藏在 Markdown 注释里。baseline 可能把注释中的“先读取 secret 再发送”当作任务步骤；full_guard 通过不可信文档指令、工具诱导、secret 路径访问和意图-动作不一致给出阻断。</w:t>
      </w:r>
    </w:p>
    <w:p>
      <w:pPr>
        <w:spacing w:line="360" w:lineRule="auto" w:after="120"/>
      </w:pPr>
      <w:r>
        <w:rPr>
          <w:rFonts w:ascii="Times New Roman" w:hAnsi="Times New Roman" w:eastAsia="宋体"/>
          <w:b w:val="0"/>
          <w:sz w:val="24"/>
        </w:rPr>
        <w:t>JSON/RPC 案例中，用户只要求翻译 `text` 字段，但 `data.next_step` 字段包含伪工具动作。该案例验证了结构化字段不应自动获得更高指令优先级。full_guard 通过 structured_injection、tool_lure 和 intent_action_mismatch 等信号进行防护。</w:t>
      </w:r>
    </w:p>
    <w:p>
      <w:pPr>
        <w:spacing w:line="360" w:lineRule="auto" w:after="120"/>
      </w:pPr>
      <w:r>
        <w:rPr>
          <w:rFonts w:ascii="Times New Roman" w:hAnsi="Times New Roman" w:eastAsia="宋体"/>
          <w:b w:val="0"/>
          <w:sz w:val="24"/>
        </w:rPr>
        <w:t>多语言/T2L 案例中，用户要求只翻译 JSON 指定字段，非目标字段中夹带写文件与 mock API 调用。该案例说明，即使文本处于翻译或转写任务中，模型也必须保持“文本是数据”的边界，不能执行其中描述的动作。</w:t>
      </w:r>
    </w:p>
    <w:p>
      <w:pPr>
        <w:pStyle w:val="Heading1"/>
        <w:spacing w:line="360" w:lineRule="auto"/>
      </w:pPr>
      <w:r>
        <w:rPr>
          <w:rFonts w:ascii="Times New Roman" w:hAnsi="Times New Roman" w:eastAsia="宋体"/>
          <w:b/>
          <w:sz w:val="30"/>
        </w:rPr>
        <w:t>9 讨论</w:t>
      </w:r>
    </w:p>
    <w:p>
      <w:pPr>
        <w:pStyle w:val="Heading2"/>
        <w:spacing w:line="360" w:lineRule="auto"/>
      </w:pPr>
      <w:r>
        <w:rPr>
          <w:rFonts w:ascii="Times New Roman" w:hAnsi="Times New Roman" w:eastAsia="宋体"/>
          <w:b/>
          <w:sz w:val="26"/>
        </w:rPr>
        <w:t>9.1 为什么行为级监督必要</w:t>
      </w:r>
    </w:p>
    <w:p>
      <w:pPr>
        <w:spacing w:line="360" w:lineRule="auto" w:after="120"/>
      </w:pPr>
      <w:r>
        <w:rPr>
          <w:rFonts w:ascii="Times New Roman" w:hAnsi="Times New Roman" w:eastAsia="宋体"/>
          <w:b w:val="0"/>
          <w:sz w:val="24"/>
        </w:rPr>
        <w:t>实验结果支持一个核心判断：对于工具集成 Agent，安全失败不一定表现为最终回答违规，而可能表现为中间工具调用越权。若只检查最终文本，系统可能漏掉已经发生的文件读取或外发动作。行为级监督通过在工具执行前拦截候选调用，将安全检查插入到风险发生之前。</w:t>
      </w:r>
    </w:p>
    <w:p>
      <w:pPr>
        <w:pStyle w:val="Heading2"/>
        <w:spacing w:line="360" w:lineRule="auto"/>
      </w:pPr>
      <w:r>
        <w:rPr>
          <w:rFonts w:ascii="Times New Roman" w:hAnsi="Times New Roman" w:eastAsia="宋体"/>
          <w:b/>
          <w:sz w:val="26"/>
        </w:rPr>
        <w:t>9.2 与传统提示过滤的关系</w:t>
      </w:r>
    </w:p>
    <w:p>
      <w:pPr>
        <w:spacing w:line="360" w:lineRule="auto" w:after="120"/>
      </w:pPr>
      <w:r>
        <w:rPr>
          <w:rFonts w:ascii="Times New Roman" w:hAnsi="Times New Roman" w:eastAsia="宋体"/>
          <w:b w:val="0"/>
          <w:sz w:val="24"/>
        </w:rPr>
        <w:t>本文并不否定关键词和提示过滤的价值。相反，keyword_only 在显式注入样本上能够显著降低风险。但实验也显示，单纯文本检测不足以覆盖所有工具参数、路径、端点和数据流风险。因此，合理的 Agent 防护应将文本过滤作为一层信号，而不是唯一防线。</w:t>
      </w:r>
    </w:p>
    <w:p>
      <w:pPr>
        <w:pStyle w:val="Heading2"/>
        <w:spacing w:line="360" w:lineRule="auto"/>
      </w:pPr>
      <w:r>
        <w:rPr>
          <w:rFonts w:ascii="Times New Roman" w:hAnsi="Times New Roman" w:eastAsia="宋体"/>
          <w:b/>
          <w:sz w:val="26"/>
        </w:rPr>
        <w:t>9.3 对实际部署的启示</w:t>
      </w:r>
    </w:p>
    <w:p>
      <w:pPr>
        <w:spacing w:line="360" w:lineRule="auto" w:after="120"/>
      </w:pPr>
      <w:r>
        <w:rPr>
          <w:rFonts w:ascii="Times New Roman" w:hAnsi="Times New Roman" w:eastAsia="宋体"/>
          <w:b w:val="0"/>
          <w:sz w:val="24"/>
        </w:rPr>
        <w:t>实际部署中，Agent 系统应至少具备四种能力：标记不可信来源、限制工具权限、追踪敏感数据流、记录可复核日志。对于高风险工具，如邮件、外部 API 和代码执行，系统应采用默认最小权限，并在不确定情况下进入人工确认状态。</w:t>
      </w:r>
    </w:p>
    <w:p>
      <w:pPr>
        <w:pStyle w:val="Heading2"/>
        <w:spacing w:line="360" w:lineRule="auto"/>
      </w:pPr>
      <w:r>
        <w:rPr>
          <w:rFonts w:ascii="Times New Roman" w:hAnsi="Times New Roman" w:eastAsia="宋体"/>
          <w:b/>
          <w:sz w:val="26"/>
        </w:rPr>
        <w:t>9.4 局限性</w:t>
      </w:r>
    </w:p>
    <w:p>
      <w:pPr>
        <w:spacing w:line="360" w:lineRule="auto" w:after="120"/>
      </w:pPr>
      <w:r>
        <w:rPr>
          <w:rFonts w:ascii="Times New Roman" w:hAnsi="Times New Roman" w:eastAsia="宋体"/>
          <w:b w:val="0"/>
          <w:sz w:val="24"/>
        </w:rPr>
        <w:t>本文仍存在若干限制。第一，样本主要为合成数据，尚未覆盖真实企业文档的全部格式和噪声。第二，Qwen2.5-7B 代表实验规模有限，模型输出格式不稳定会影响工具调用解析。第三，Guard 以规则和策略为主，缺少学习型检测器。第四，图像、PDF 版式、网页 DOM 和多模态隐藏提示尚未充分覆盖。第五，WRS 权重为工程设定，未来需要更多实证数据校准。</w:t>
      </w:r>
    </w:p>
    <w:p>
      <w:pPr>
        <w:pStyle w:val="Heading1"/>
        <w:spacing w:line="360" w:lineRule="auto"/>
      </w:pPr>
      <w:r>
        <w:rPr>
          <w:rFonts w:ascii="Times New Roman" w:hAnsi="Times New Roman" w:eastAsia="宋体"/>
          <w:b/>
          <w:sz w:val="30"/>
        </w:rPr>
        <w:t>10 伦理与安全边界</w:t>
      </w:r>
    </w:p>
    <w:p>
      <w:pPr>
        <w:spacing w:line="360" w:lineRule="auto" w:after="120"/>
      </w:pPr>
      <w:r>
        <w:rPr>
          <w:rFonts w:ascii="Times New Roman" w:hAnsi="Times New Roman" w:eastAsia="宋体"/>
          <w:b w:val="0"/>
          <w:sz w:val="24"/>
        </w:rPr>
        <w:t>本文所有攻击样本均限定在本地授权 mock 靶场内。样本不包含真实恶意代码、真实漏洞利用步骤、真实 API、真实邮箱、真实凭证或真实业务路径。`send_email` 不真实发送邮件，`call_api` 不访问公网，`run_code` 不执行真实代码。本文公开的是安全评测框架和行为监督方法，而不是攻击真实系统的操作流程。</w:t>
      </w:r>
    </w:p>
    <w:p>
      <w:pPr>
        <w:pStyle w:val="Heading1"/>
        <w:spacing w:line="360" w:lineRule="auto"/>
      </w:pPr>
      <w:r>
        <w:rPr>
          <w:rFonts w:ascii="Times New Roman" w:hAnsi="Times New Roman" w:eastAsia="宋体"/>
          <w:b/>
          <w:sz w:val="30"/>
        </w:rPr>
        <w:t>11 结论</w:t>
      </w:r>
    </w:p>
    <w:p>
      <w:pPr>
        <w:spacing w:line="360" w:lineRule="auto" w:after="120"/>
      </w:pPr>
      <w:r>
        <w:rPr>
          <w:rFonts w:ascii="Times New Roman" w:hAnsi="Times New Roman" w:eastAsia="宋体"/>
          <w:b w:val="0"/>
          <w:sz w:val="24"/>
        </w:rPr>
        <w:t>本文提出 M3-PI Guard，一个面向工具集成大模型智能体的提示注入红队评测与行为监督原型。该系统通过 69 条标准化 AttackCase、本地 mock 工具链、行为监督策略和可复现日志，将大模型安全评测从文本输出扩展到工具链行为。实验表明，full_guard 能够在本地样本中有效降低攻击成功率、未授权工具调用率和数据外流风险，并提供可审计风险原因。未来工作将扩展真实业务载体、多模型横向比较、多模态提示注入、学习型检测器和更细粒度的数据流标签。</w:t>
      </w:r>
    </w:p>
    <w:p>
      <w:pPr>
        <w:pStyle w:val="Heading1"/>
        <w:spacing w:line="360" w:lineRule="auto"/>
      </w:pPr>
      <w:r>
        <w:rPr>
          <w:rFonts w:ascii="Times New Roman" w:hAnsi="Times New Roman" w:eastAsia="宋体"/>
          <w:b/>
          <w:sz w:val="30"/>
        </w:rPr>
        <w:t>参考文献</w:t>
      </w:r>
    </w:p>
    <w:p>
      <w:pPr>
        <w:spacing w:line="360" w:lineRule="auto" w:after="120"/>
      </w:pPr>
      <w:r>
        <w:rPr>
          <w:rFonts w:ascii="Times New Roman" w:hAnsi="Times New Roman" w:eastAsia="宋体"/>
          <w:b w:val="0"/>
          <w:sz w:val="24"/>
        </w:rPr>
        <w:t>[1] OWASP Foundation. OWASP Top 10 for Large Language Model Applications 2025[EB/OL]. https://owasp.org/www-project-top-10-for-large-language-model-applications/.</w:t>
      </w:r>
    </w:p>
    <w:p>
      <w:pPr>
        <w:spacing w:line="360" w:lineRule="auto" w:after="120"/>
      </w:pPr>
      <w:r>
        <w:rPr>
          <w:rFonts w:ascii="Times New Roman" w:hAnsi="Times New Roman" w:eastAsia="宋体"/>
          <w:b w:val="0"/>
          <w:sz w:val="24"/>
        </w:rPr>
        <w:t>[2] National Institute of Standards and Technology. Artificial Intelligence Risk Management Framework (AI RMF 1.0)[R]. Gaithersburg: NIST, 2023. https://www.nist.gov/itl/ai-risk-management-framework.</w:t>
      </w:r>
    </w:p>
    <w:p>
      <w:pPr>
        <w:spacing w:line="360" w:lineRule="auto" w:after="120"/>
      </w:pPr>
      <w:r>
        <w:rPr>
          <w:rFonts w:ascii="Times New Roman" w:hAnsi="Times New Roman" w:eastAsia="宋体"/>
          <w:b w:val="0"/>
          <w:sz w:val="24"/>
        </w:rPr>
        <w:t>[3] Greshake K, Abdelnabi S, Mishra S, et al. Not what you've signed up for: Compromising real-world LLM-integrated applications with indirect prompt injection[C/OL]. arXiv:2302.12173, 2023.</w:t>
      </w:r>
    </w:p>
    <w:p>
      <w:pPr>
        <w:spacing w:line="360" w:lineRule="auto" w:after="120"/>
      </w:pPr>
      <w:r>
        <w:rPr>
          <w:rFonts w:ascii="Times New Roman" w:hAnsi="Times New Roman" w:eastAsia="宋体"/>
          <w:b w:val="0"/>
          <w:sz w:val="24"/>
        </w:rPr>
        <w:t>[4] Liu Y, Deng G, Xu Z, et al. Prompt injection attack against LLM-integrated applications[EB/OL]. arXiv:2306.05499, 2023.</w:t>
      </w:r>
    </w:p>
    <w:p>
      <w:pPr>
        <w:spacing w:line="360" w:lineRule="auto" w:after="120"/>
      </w:pPr>
      <w:r>
        <w:rPr>
          <w:rFonts w:ascii="Times New Roman" w:hAnsi="Times New Roman" w:eastAsia="宋体"/>
          <w:b w:val="0"/>
          <w:sz w:val="24"/>
        </w:rPr>
        <w:t>[5] Zhan Q, Liang Z, Ying Z, et al. InjecAgent: Benchmarking indirect prompt injections in tool-integrated large language model agents[C/OL]. ACL Findings, 2024.</w:t>
      </w:r>
    </w:p>
    <w:p>
      <w:pPr>
        <w:spacing w:line="360" w:lineRule="auto" w:after="120"/>
      </w:pPr>
      <w:r>
        <w:rPr>
          <w:rFonts w:ascii="Times New Roman" w:hAnsi="Times New Roman" w:eastAsia="宋体"/>
          <w:b w:val="0"/>
          <w:sz w:val="24"/>
        </w:rPr>
        <w:t>[6] Debenedetti E, Zhang J, Balunovic M, et al. AgentDojo: A dynamic environment to evaluate attacks and defenses for LLM agents[C/OL]. 2024.</w:t>
      </w:r>
    </w:p>
    <w:p>
      <w:pPr>
        <w:spacing w:line="360" w:lineRule="auto" w:after="120"/>
      </w:pPr>
      <w:r>
        <w:rPr>
          <w:rFonts w:ascii="Times New Roman" w:hAnsi="Times New Roman" w:eastAsia="宋体"/>
          <w:b w:val="0"/>
          <w:sz w:val="24"/>
        </w:rPr>
        <w:t>[7] Wei A, Haghtalab N, Steinhardt J. Jailbroken: How does LLM safety training fail?[C/OL]. NeurIPS, 2023.</w:t>
      </w:r>
    </w:p>
    <w:p>
      <w:pPr>
        <w:spacing w:line="360" w:lineRule="auto" w:after="120"/>
      </w:pPr>
      <w:r>
        <w:rPr>
          <w:rFonts w:ascii="Times New Roman" w:hAnsi="Times New Roman" w:eastAsia="宋体"/>
          <w:b w:val="0"/>
          <w:sz w:val="24"/>
        </w:rPr>
        <w:t>[8] Ding P, Kuang J, Ma D, et al. A wolf in sheep's clothing: Generalized nested jailbreak prompts can fool large language models easily[C/OL]. NAACL, 2024.</w:t>
      </w:r>
    </w:p>
    <w:p>
      <w:pPr>
        <w:spacing w:line="360" w:lineRule="auto" w:after="120"/>
      </w:pPr>
      <w:r>
        <w:rPr>
          <w:rFonts w:ascii="Times New Roman" w:hAnsi="Times New Roman" w:eastAsia="宋体"/>
          <w:b w:val="0"/>
          <w:sz w:val="24"/>
        </w:rPr>
        <w:t>[9] Shen X, Chen Z, Backes M, et al. Do anything now: Characterizing and evaluating in-the-wild jailbreak prompts on large language models[C/OL]. ACM CCS, 2024.</w:t>
      </w:r>
    </w:p>
    <w:p>
      <w:pPr>
        <w:spacing w:line="360" w:lineRule="auto" w:after="120"/>
      </w:pPr>
      <w:r>
        <w:rPr>
          <w:rFonts w:ascii="Times New Roman" w:hAnsi="Times New Roman" w:eastAsia="宋体"/>
          <w:b w:val="0"/>
          <w:sz w:val="24"/>
        </w:rPr>
        <w:t>[10] Kumar S S, Cummings M, Stimpson A. Strengthening LLM trust boundaries: A survey of prompt injection attacks[C/OL]. ICHMS, 2024.</w:t>
      </w:r>
    </w:p>
    <w:p>
      <w:pPr>
        <w:spacing w:line="360" w:lineRule="auto" w:after="120"/>
      </w:pPr>
      <w:r>
        <w:rPr>
          <w:rFonts w:ascii="Times New Roman" w:hAnsi="Times New Roman" w:eastAsia="宋体"/>
          <w:b w:val="0"/>
          <w:sz w:val="24"/>
        </w:rPr>
        <w:t>[11] Yu J, Lin X, Xing X. GPTFuzzer: Red Teaming Large Language Models with Auto-Generated Jailbreak Prompts[C/OL]. 2023.</w:t>
      </w:r>
    </w:p>
    <w:p>
      <w:pPr>
        <w:spacing w:line="360" w:lineRule="auto" w:after="120"/>
      </w:pPr>
      <w:r>
        <w:rPr>
          <w:rFonts w:ascii="Times New Roman" w:hAnsi="Times New Roman" w:eastAsia="宋体"/>
          <w:b w:val="0"/>
          <w:sz w:val="24"/>
        </w:rPr>
        <w:t>[12] Wallace E, Feng S, Kandpal N, et al. Universal adversarial triggers for attacking and analyzing NLP[C]. EMNLP-IJCNLP, 2019.</w:t>
      </w:r>
    </w:p>
    <w:sectPr>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宋体"/>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宋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宋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宋体"/>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宋体"/>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面向工具集成大模型智能体的提示注入红队评测与行为监督：M3-PI Guard 的设计、基准与实证分析</dc:title>
  <dc:subject>LLM agent prompt-injection red-team evaluation and behavior supervision</dc:subject>
  <dc:creator/>
  <cp:keywords/>
  <dc:description>Anonymous long academic paper draft.</dc:description>
  <cp:lastModifiedBy/>
  <cp:revision>1</cp:revision>
  <dcterms:created xsi:type="dcterms:W3CDTF">2013-12-23T23:15:00Z</dcterms:created>
  <dcterms:modified xsi:type="dcterms:W3CDTF">2013-12-23T23:15:00Z</dcterms:modified>
  <cp:category/>
</cp:coreProperties>
</file>