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7CD0F">
      <w:pPr>
        <w:pStyle w:val="3"/>
        <w:keepNext w:val="0"/>
        <w:keepLines w:val="0"/>
        <w:pageBreakBefore w:val="0"/>
        <w:widowControl/>
        <w:kinsoku/>
        <w:wordWrap/>
        <w:overflowPunct/>
        <w:topLinePunct w:val="0"/>
        <w:autoSpaceDE/>
        <w:autoSpaceDN/>
        <w:bidi w:val="0"/>
        <w:adjustRightInd/>
        <w:snapToGrid/>
        <w:spacing w:before="240" w:after="240" w:line="360" w:lineRule="auto"/>
        <w:ind w:firstLine="0"/>
        <w:jc w:val="center"/>
        <w:textAlignment w:val="auto"/>
        <w:rPr>
          <w:color w:val="auto"/>
        </w:rPr>
      </w:pPr>
      <w:r>
        <w:rPr>
          <w:rFonts w:ascii="黑体" w:hAnsi="黑体" w:eastAsia="黑体"/>
          <w:b/>
          <w:color w:val="auto"/>
          <w:sz w:val="32"/>
        </w:rPr>
        <w:t>第二章 作品设计与实现</w:t>
      </w:r>
    </w:p>
    <w:p w14:paraId="19EEBC53">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本章围绕M³-PI</w:t>
      </w:r>
      <w:r>
        <w:rPr>
          <w:rFonts w:hint="eastAsia"/>
          <w:b w:val="0"/>
          <w:color w:val="auto"/>
          <w:sz w:val="24"/>
          <w:lang w:eastAsia="zh-CN"/>
        </w:rPr>
        <w:t>行为监督器</w:t>
      </w:r>
      <w:r>
        <w:rPr>
          <w:rFonts w:ascii="宋体" w:hAnsi="宋体" w:eastAsia="宋体"/>
          <w:b w:val="0"/>
          <w:color w:val="auto"/>
          <w:sz w:val="24"/>
        </w:rPr>
        <w:t>的系统设计与工程实现展开。与普通聊天式大模型安全过滤不同，</w:t>
      </w:r>
      <w:r>
        <w:rPr>
          <w:rFonts w:hint="eastAsia"/>
          <w:b w:val="0"/>
          <w:color w:val="auto"/>
          <w:sz w:val="24"/>
          <w:lang w:val="en-US" w:eastAsia="zh-CN"/>
        </w:rPr>
        <w:t>我们的</w:t>
      </w:r>
      <w:r>
        <w:rPr>
          <w:rFonts w:ascii="宋体" w:hAnsi="宋体" w:eastAsia="宋体"/>
          <w:b w:val="0"/>
          <w:color w:val="auto"/>
          <w:sz w:val="24"/>
        </w:rPr>
        <w:t>作品把一次</w:t>
      </w:r>
      <w:r>
        <w:rPr>
          <w:rFonts w:hint="eastAsia"/>
          <w:b w:val="0"/>
          <w:color w:val="auto"/>
          <w:sz w:val="24"/>
          <w:lang w:eastAsia="zh-CN"/>
        </w:rPr>
        <w:t>Agent</w:t>
      </w:r>
      <w:r>
        <w:rPr>
          <w:rFonts w:ascii="宋体" w:hAnsi="宋体" w:eastAsia="宋体"/>
          <w:b w:val="0"/>
          <w:color w:val="auto"/>
          <w:sz w:val="24"/>
        </w:rPr>
        <w:t>运行视作由用户任务、上下文材料、模型推理、候选工具调用、工具观察结果和最终回答组成的行为链，并在候选工具调用进入执行器之前设置</w:t>
      </w:r>
      <w:r>
        <w:rPr>
          <w:rFonts w:hint="eastAsia"/>
          <w:b w:val="0"/>
          <w:color w:val="auto"/>
          <w:sz w:val="24"/>
          <w:lang w:eastAsia="zh-CN"/>
        </w:rPr>
        <w:t>行为监督器</w:t>
      </w:r>
      <w:r>
        <w:rPr>
          <w:rFonts w:ascii="宋体" w:hAnsi="宋体" w:eastAsia="宋体"/>
          <w:b w:val="0"/>
          <w:color w:val="auto"/>
          <w:sz w:val="24"/>
        </w:rPr>
        <w:t>点。该监督点位于模型输出与工具执行之间，因此能够在文件读取、邮件发送、接口调用或代码执行等高风险动作发生前完成裁决。</w:t>
      </w:r>
    </w:p>
    <w:p w14:paraId="6A3F3668">
      <w:pPr>
        <w:pStyle w:val="4"/>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hint="eastAsia" w:eastAsia="黑体"/>
          <w:color w:val="auto"/>
          <w:sz w:val="28"/>
          <w:szCs w:val="28"/>
          <w:lang w:eastAsia="zh-CN"/>
        </w:rPr>
      </w:pPr>
      <w:r>
        <w:rPr>
          <w:rFonts w:ascii="黑体" w:hAnsi="黑体" w:eastAsia="黑体"/>
          <w:b/>
          <w:color w:val="auto"/>
          <w:sz w:val="28"/>
          <w:szCs w:val="28"/>
        </w:rPr>
        <w:t>2.1 相关概念</w:t>
      </w:r>
      <w:r>
        <w:rPr>
          <w:rFonts w:hint="eastAsia" w:ascii="黑体" w:hAnsi="黑体" w:eastAsia="黑体"/>
          <w:b/>
          <w:color w:val="auto"/>
          <w:sz w:val="28"/>
          <w:szCs w:val="28"/>
          <w:lang w:val="en-US" w:eastAsia="zh-CN"/>
        </w:rPr>
        <w:t>解释</w:t>
      </w:r>
    </w:p>
    <w:p w14:paraId="57CEFEE4">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hint="eastAsia" w:eastAsia="黑体"/>
          <w:color w:val="auto"/>
          <w:sz w:val="24"/>
          <w:szCs w:val="24"/>
          <w:lang w:eastAsia="zh-CN"/>
        </w:rPr>
      </w:pPr>
      <w:r>
        <w:rPr>
          <w:rFonts w:ascii="黑体" w:hAnsi="黑体" w:eastAsia="黑体"/>
          <w:b/>
          <w:color w:val="auto"/>
          <w:sz w:val="24"/>
          <w:szCs w:val="24"/>
        </w:rPr>
        <w:t>2.1.1 工具调用</w:t>
      </w:r>
      <w:r>
        <w:rPr>
          <w:rFonts w:hint="eastAsia" w:ascii="黑体" w:hAnsi="黑体" w:eastAsia="黑体"/>
          <w:b/>
          <w:color w:val="auto"/>
          <w:sz w:val="24"/>
          <w:szCs w:val="24"/>
          <w:lang w:eastAsia="zh-CN"/>
        </w:rPr>
        <w:t>Agent</w:t>
      </w:r>
    </w:p>
    <w:p w14:paraId="691848ED">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工具调用</w:t>
      </w:r>
      <w:r>
        <w:rPr>
          <w:rFonts w:hint="eastAsia"/>
          <w:b w:val="0"/>
          <w:color w:val="auto"/>
          <w:sz w:val="24"/>
          <w:lang w:eastAsia="zh-CN"/>
        </w:rPr>
        <w:t>Agent</w:t>
      </w:r>
      <w:r>
        <w:rPr>
          <w:rFonts w:ascii="宋体" w:hAnsi="宋体" w:eastAsia="宋体"/>
          <w:b w:val="0"/>
          <w:color w:val="auto"/>
          <w:sz w:val="24"/>
        </w:rPr>
        <w:t>是指大语言模型在完成任务时，不仅生成自然语言回答，还能够根据上下文选择并调用外部工具的系统形态。典型工具包括文件读取、文件写入、邮件发送、数据库查询、外部接口调用、检索增强生成和代码执行等。与传统问答模型相比，工具调用</w:t>
      </w:r>
      <w:r>
        <w:rPr>
          <w:rFonts w:hint="eastAsia"/>
          <w:b w:val="0"/>
          <w:color w:val="auto"/>
          <w:sz w:val="24"/>
          <w:lang w:eastAsia="zh-CN"/>
        </w:rPr>
        <w:t>Agent</w:t>
      </w:r>
      <w:r>
        <w:rPr>
          <w:rFonts w:ascii="宋体" w:hAnsi="宋体" w:eastAsia="宋体"/>
          <w:b w:val="0"/>
          <w:color w:val="auto"/>
          <w:sz w:val="24"/>
        </w:rPr>
        <w:t>的输出可能被系统解释为可执行动作，因而模型行为会直接影响文件、网络、业务系统或数据流。</w:t>
      </w:r>
    </w:p>
    <w:p w14:paraId="70B705A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在</w:t>
      </w:r>
      <w:r>
        <w:rPr>
          <w:rFonts w:hint="eastAsia"/>
          <w:b w:val="0"/>
          <w:color w:val="auto"/>
          <w:sz w:val="24"/>
          <w:lang w:eastAsia="zh-CN"/>
        </w:rPr>
        <w:t>我们的作品</w:t>
      </w:r>
      <w:r>
        <w:rPr>
          <w:rFonts w:ascii="宋体" w:hAnsi="宋体" w:eastAsia="宋体"/>
          <w:b w:val="0"/>
          <w:color w:val="auto"/>
          <w:sz w:val="24"/>
        </w:rPr>
        <w:t>中，工具调用</w:t>
      </w:r>
      <w:r>
        <w:rPr>
          <w:rFonts w:hint="eastAsia"/>
          <w:b w:val="0"/>
          <w:color w:val="auto"/>
          <w:sz w:val="24"/>
          <w:lang w:eastAsia="zh-CN"/>
        </w:rPr>
        <w:t>Agent</w:t>
      </w:r>
      <w:r>
        <w:rPr>
          <w:rFonts w:hint="eastAsia"/>
          <w:b w:val="0"/>
          <w:color w:val="auto"/>
          <w:sz w:val="24"/>
          <w:lang w:val="en-US" w:eastAsia="zh-CN"/>
        </w:rPr>
        <w:t>是</w:t>
      </w:r>
      <w:r>
        <w:rPr>
          <w:rFonts w:ascii="宋体" w:hAnsi="宋体" w:eastAsia="宋体"/>
          <w:b w:val="0"/>
          <w:color w:val="auto"/>
          <w:sz w:val="24"/>
        </w:rPr>
        <w:t>由</w:t>
      </w:r>
      <w:r>
        <w:rPr>
          <w:rFonts w:hint="eastAsia"/>
          <w:b w:val="0"/>
          <w:color w:val="auto"/>
          <w:sz w:val="24"/>
          <w:lang w:eastAsia="zh-CN"/>
        </w:rPr>
        <w:t>Agent运行器</w:t>
      </w:r>
      <w:r>
        <w:rPr>
          <w:rFonts w:ascii="宋体" w:hAnsi="宋体" w:eastAsia="宋体"/>
          <w:b w:val="0"/>
          <w:color w:val="auto"/>
          <w:sz w:val="24"/>
        </w:rPr>
        <w:t>、模型后端、</w:t>
      </w:r>
      <w:r>
        <w:rPr>
          <w:rFonts w:hint="eastAsia"/>
          <w:b w:val="0"/>
          <w:color w:val="auto"/>
          <w:sz w:val="24"/>
          <w:lang w:eastAsia="zh-CN"/>
        </w:rPr>
        <w:t>工具调用</w:t>
      </w:r>
      <w:r>
        <w:rPr>
          <w:rFonts w:ascii="宋体" w:hAnsi="宋体" w:eastAsia="宋体"/>
          <w:b w:val="0"/>
          <w:color w:val="auto"/>
          <w:sz w:val="24"/>
        </w:rPr>
        <w:t>解析器和</w:t>
      </w:r>
      <w:r>
        <w:rPr>
          <w:rFonts w:hint="eastAsia"/>
          <w:b w:val="0"/>
          <w:color w:val="auto"/>
          <w:sz w:val="24"/>
          <w:lang w:eastAsia="zh-CN"/>
        </w:rPr>
        <w:t>模拟</w:t>
      </w:r>
      <w:r>
        <w:rPr>
          <w:rFonts w:ascii="宋体" w:hAnsi="宋体" w:eastAsia="宋体"/>
          <w:b w:val="0"/>
          <w:color w:val="auto"/>
          <w:sz w:val="24"/>
        </w:rPr>
        <w:t>工具集合共同构成</w:t>
      </w:r>
      <w:r>
        <w:rPr>
          <w:rFonts w:hint="eastAsia"/>
          <w:b w:val="0"/>
          <w:color w:val="auto"/>
          <w:sz w:val="24"/>
          <w:lang w:val="en-US" w:eastAsia="zh-CN"/>
        </w:rPr>
        <w:t>的</w:t>
      </w:r>
      <w:r>
        <w:rPr>
          <w:rFonts w:ascii="宋体" w:hAnsi="宋体" w:eastAsia="宋体"/>
          <w:b w:val="0"/>
          <w:color w:val="auto"/>
          <w:sz w:val="24"/>
        </w:rPr>
        <w:t>。</w:t>
      </w:r>
      <w:r>
        <w:rPr>
          <w:rFonts w:hint="eastAsia"/>
          <w:b w:val="0"/>
          <w:color w:val="auto"/>
          <w:sz w:val="24"/>
          <w:lang w:eastAsia="zh-CN"/>
        </w:rPr>
        <w:t>Agent运行器</w:t>
      </w:r>
      <w:r>
        <w:rPr>
          <w:rFonts w:ascii="宋体" w:hAnsi="宋体" w:eastAsia="宋体"/>
          <w:b w:val="0"/>
          <w:color w:val="auto"/>
          <w:sz w:val="24"/>
        </w:rPr>
        <w:t>负责把</w:t>
      </w:r>
      <w:r>
        <w:rPr>
          <w:rFonts w:hint="eastAsia"/>
          <w:b w:val="0"/>
          <w:color w:val="auto"/>
          <w:sz w:val="24"/>
          <w:lang w:eastAsia="zh-CN"/>
        </w:rPr>
        <w:t>攻击样本</w:t>
      </w:r>
      <w:r>
        <w:rPr>
          <w:rFonts w:ascii="宋体" w:hAnsi="宋体" w:eastAsia="宋体"/>
          <w:b w:val="0"/>
          <w:color w:val="auto"/>
          <w:sz w:val="24"/>
        </w:rPr>
        <w:t>转化为模型输入，模型后端负责产生文本回答或候选工具调用，</w:t>
      </w:r>
      <w:r>
        <w:rPr>
          <w:rFonts w:hint="eastAsia"/>
          <w:b w:val="0"/>
          <w:color w:val="auto"/>
          <w:sz w:val="24"/>
          <w:lang w:eastAsia="zh-CN"/>
        </w:rPr>
        <w:t>工具调用</w:t>
      </w:r>
      <w:r>
        <w:rPr>
          <w:rFonts w:ascii="宋体" w:hAnsi="宋体" w:eastAsia="宋体"/>
          <w:b w:val="0"/>
          <w:color w:val="auto"/>
          <w:sz w:val="24"/>
        </w:rPr>
        <w:t>解析器负责把模型输出中的结构化动作提取出来，</w:t>
      </w:r>
      <w:r>
        <w:rPr>
          <w:rFonts w:hint="eastAsia"/>
          <w:b w:val="0"/>
          <w:color w:val="auto"/>
          <w:sz w:val="24"/>
          <w:lang w:eastAsia="zh-CN"/>
        </w:rPr>
        <w:t>模拟</w:t>
      </w:r>
      <w:r>
        <w:rPr>
          <w:rFonts w:ascii="宋体" w:hAnsi="宋体" w:eastAsia="宋体"/>
          <w:b w:val="0"/>
          <w:color w:val="auto"/>
          <w:sz w:val="24"/>
        </w:rPr>
        <w:t>工具集合负责在本地安全环境中模拟执行这些动作。</w:t>
      </w:r>
    </w:p>
    <w:p w14:paraId="41797348">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2.1.2 提示注入</w:t>
      </w:r>
    </w:p>
    <w:p w14:paraId="20179C21">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提示注入是指攻击者把指令性文本混入用户输入、外部文档、网页片段、邮件正文、JSON字段、翻译文本或上游工具输出中，诱导模型忽略原始任务边界并执行攻击者期望的行为。提示注入</w:t>
      </w:r>
      <w:r>
        <w:rPr>
          <w:rFonts w:hint="eastAsia"/>
          <w:b w:val="0"/>
          <w:color w:val="auto"/>
          <w:sz w:val="24"/>
          <w:lang w:val="en-US" w:eastAsia="zh-CN"/>
        </w:rPr>
        <w:t>分为直接提示注入和间接提示注入。</w:t>
      </w:r>
      <w:r>
        <w:rPr>
          <w:rFonts w:ascii="宋体" w:hAnsi="宋体" w:eastAsia="宋体"/>
          <w:b w:val="0"/>
          <w:color w:val="auto"/>
          <w:sz w:val="24"/>
        </w:rPr>
        <w:t>直接提示注入</w:t>
      </w:r>
      <w:r>
        <w:rPr>
          <w:rFonts w:hint="eastAsia"/>
          <w:b w:val="0"/>
          <w:color w:val="auto"/>
          <w:sz w:val="24"/>
          <w:lang w:val="en-US" w:eastAsia="zh-CN"/>
        </w:rPr>
        <w:t>提示词通常有这几点：</w:t>
      </w:r>
      <w:r>
        <w:rPr>
          <w:rFonts w:ascii="宋体" w:hAnsi="宋体" w:eastAsia="宋体"/>
          <w:b w:val="0"/>
          <w:color w:val="auto"/>
          <w:sz w:val="24"/>
        </w:rPr>
        <w:t>“忽略上文规则”</w:t>
      </w:r>
      <w:r>
        <w:rPr>
          <w:rFonts w:hint="eastAsia"/>
          <w:b w:val="0"/>
          <w:color w:val="auto"/>
          <w:sz w:val="24"/>
          <w:lang w:eastAsia="zh-CN"/>
        </w:rPr>
        <w:t>、</w:t>
      </w:r>
      <w:r>
        <w:rPr>
          <w:rFonts w:ascii="宋体" w:hAnsi="宋体" w:eastAsia="宋体"/>
          <w:b w:val="0"/>
          <w:color w:val="auto"/>
          <w:sz w:val="24"/>
        </w:rPr>
        <w:t>“你现在是管理员”等显式命令</w:t>
      </w:r>
      <w:r>
        <w:rPr>
          <w:rFonts w:hint="eastAsia"/>
          <w:b w:val="0"/>
          <w:color w:val="auto"/>
          <w:sz w:val="24"/>
          <w:lang w:eastAsia="zh-CN"/>
        </w:rPr>
        <w:t>，</w:t>
      </w:r>
      <w:r>
        <w:rPr>
          <w:rFonts w:hint="eastAsia"/>
          <w:b w:val="0"/>
          <w:color w:val="auto"/>
          <w:sz w:val="24"/>
          <w:lang w:val="en-US" w:eastAsia="zh-CN"/>
        </w:rPr>
        <w:t>直接诱导模型输出敏感信息或者执行特定危险命令；</w:t>
      </w:r>
      <w:r>
        <w:rPr>
          <w:rFonts w:ascii="宋体" w:hAnsi="宋体" w:eastAsia="宋体"/>
          <w:b w:val="0"/>
          <w:color w:val="auto"/>
          <w:sz w:val="24"/>
        </w:rPr>
        <w:t>间接提示注入则</w:t>
      </w:r>
      <w:r>
        <w:rPr>
          <w:rFonts w:hint="eastAsia"/>
          <w:b w:val="0"/>
          <w:color w:val="auto"/>
          <w:sz w:val="24"/>
          <w:lang w:val="en-US" w:eastAsia="zh-CN"/>
        </w:rPr>
        <w:t>把提示词</w:t>
      </w:r>
      <w:r>
        <w:rPr>
          <w:rFonts w:ascii="宋体" w:hAnsi="宋体" w:eastAsia="宋体"/>
          <w:b w:val="0"/>
          <w:color w:val="auto"/>
          <w:sz w:val="24"/>
        </w:rPr>
        <w:t>隐藏在模型需要处理的数据中，</w:t>
      </w:r>
      <w:r>
        <w:rPr>
          <w:rFonts w:hint="eastAsia"/>
          <w:b w:val="0"/>
          <w:color w:val="auto"/>
          <w:sz w:val="24"/>
          <w:lang w:val="en-US" w:eastAsia="zh-CN"/>
        </w:rPr>
        <w:t>如</w:t>
      </w:r>
      <w:r>
        <w:rPr>
          <w:rFonts w:ascii="宋体" w:hAnsi="宋体" w:eastAsia="宋体"/>
          <w:b w:val="0"/>
          <w:color w:val="auto"/>
          <w:sz w:val="24"/>
        </w:rPr>
        <w:t>RAG文档注释、工具返回值</w:t>
      </w:r>
      <w:r>
        <w:rPr>
          <w:rFonts w:hint="eastAsia"/>
          <w:b w:val="0"/>
          <w:color w:val="auto"/>
          <w:sz w:val="24"/>
          <w:lang w:eastAsia="zh-CN"/>
        </w:rPr>
        <w:t>、</w:t>
      </w:r>
      <w:r>
        <w:rPr>
          <w:rFonts w:hint="eastAsia"/>
          <w:b w:val="0"/>
          <w:color w:val="auto"/>
          <w:sz w:val="24"/>
          <w:lang w:val="en-US" w:eastAsia="zh-CN"/>
        </w:rPr>
        <w:t>xml、json</w:t>
      </w:r>
      <w:r>
        <w:rPr>
          <w:rFonts w:ascii="宋体" w:hAnsi="宋体" w:eastAsia="宋体"/>
          <w:b w:val="0"/>
          <w:color w:val="auto"/>
          <w:sz w:val="24"/>
        </w:rPr>
        <w:t>或待翻译文本</w:t>
      </w:r>
      <w:r>
        <w:rPr>
          <w:rFonts w:hint="eastAsia"/>
          <w:b w:val="0"/>
          <w:color w:val="auto"/>
          <w:sz w:val="24"/>
          <w:lang w:val="en-US" w:eastAsia="zh-CN"/>
        </w:rPr>
        <w:t>中</w:t>
      </w:r>
      <w:r>
        <w:rPr>
          <w:rFonts w:hint="eastAsia"/>
          <w:b w:val="0"/>
          <w:color w:val="auto"/>
          <w:sz w:val="24"/>
          <w:lang w:eastAsia="zh-CN"/>
        </w:rPr>
        <w:t>，</w:t>
      </w:r>
      <w:r>
        <w:rPr>
          <w:rFonts w:hint="eastAsia"/>
          <w:b w:val="0"/>
          <w:color w:val="auto"/>
          <w:sz w:val="24"/>
          <w:lang w:val="en-US" w:eastAsia="zh-CN"/>
        </w:rPr>
        <w:t>在模型处理这些数据中就会被这些提示词所诱导，输出敏感信息或者执行特定危险命令</w:t>
      </w:r>
      <w:r>
        <w:rPr>
          <w:rFonts w:ascii="宋体" w:hAnsi="宋体" w:eastAsia="宋体"/>
          <w:b w:val="0"/>
          <w:color w:val="auto"/>
          <w:sz w:val="24"/>
        </w:rPr>
        <w:t>。</w:t>
      </w:r>
    </w:p>
    <w:p w14:paraId="567C2840">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hint="eastAsia"/>
          <w:b w:val="0"/>
          <w:color w:val="auto"/>
          <w:sz w:val="24"/>
          <w:lang w:eastAsia="zh-CN"/>
        </w:rPr>
        <w:t>我们的作品</w:t>
      </w:r>
      <w:r>
        <w:rPr>
          <w:rFonts w:ascii="宋体" w:hAnsi="宋体" w:eastAsia="宋体"/>
          <w:b w:val="0"/>
          <w:color w:val="auto"/>
          <w:sz w:val="24"/>
        </w:rPr>
        <w:t>将上下文来源作为安全设计的核心变量。来自用户输入、检索文档、工具观察结果和结构化业务字段的内容，都只应作为待处理数据，不应被提升为系统指令、开发者指令或工具执行指令。</w:t>
      </w:r>
    </w:p>
    <w:p w14:paraId="66B0CA14">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 xml:space="preserve">2.1.3 </w:t>
      </w:r>
      <w:r>
        <w:rPr>
          <w:rFonts w:hint="eastAsia" w:ascii="黑体" w:hAnsi="黑体" w:eastAsia="黑体"/>
          <w:b/>
          <w:color w:val="auto"/>
          <w:sz w:val="24"/>
          <w:szCs w:val="24"/>
          <w:lang w:eastAsia="zh-CN"/>
        </w:rPr>
        <w:t>行为监督器（</w:t>
      </w:r>
      <w:r>
        <w:rPr>
          <w:rFonts w:hint="eastAsia" w:ascii="黑体" w:hAnsi="黑体" w:eastAsia="黑体"/>
          <w:b/>
          <w:color w:val="auto"/>
          <w:sz w:val="24"/>
          <w:szCs w:val="24"/>
          <w:lang w:val="en-US" w:eastAsia="zh-CN"/>
        </w:rPr>
        <w:t>Guard</w:t>
      </w:r>
      <w:r>
        <w:rPr>
          <w:rFonts w:hint="eastAsia" w:ascii="黑体" w:hAnsi="黑体" w:eastAsia="黑体"/>
          <w:b/>
          <w:color w:val="auto"/>
          <w:sz w:val="24"/>
          <w:szCs w:val="24"/>
          <w:lang w:eastAsia="zh-CN"/>
        </w:rPr>
        <w:t>）</w:t>
      </w:r>
      <w:r>
        <w:rPr>
          <w:rFonts w:ascii="黑体" w:hAnsi="黑体" w:eastAsia="黑体"/>
          <w:b/>
          <w:color w:val="auto"/>
          <w:sz w:val="24"/>
          <w:szCs w:val="24"/>
        </w:rPr>
        <w:t>与工具执行前拦截</w:t>
      </w:r>
    </w:p>
    <w:p w14:paraId="35492C33">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传统内容安全机制常把最终回答作为过滤对象，但工具调用</w:t>
      </w:r>
      <w:r>
        <w:rPr>
          <w:rFonts w:hint="eastAsia"/>
          <w:b w:val="0"/>
          <w:color w:val="auto"/>
          <w:sz w:val="24"/>
          <w:lang w:eastAsia="zh-CN"/>
        </w:rPr>
        <w:t>Agent</w:t>
      </w:r>
      <w:r>
        <w:rPr>
          <w:rFonts w:ascii="宋体" w:hAnsi="宋体" w:eastAsia="宋体"/>
          <w:b w:val="0"/>
          <w:color w:val="auto"/>
          <w:sz w:val="24"/>
        </w:rPr>
        <w:t>的风险可能在最终回答生成之前已经发生。模型可能先读取本地</w:t>
      </w:r>
      <w:r>
        <w:rPr>
          <w:rFonts w:ascii="宋体" w:hAnsi="宋体" w:eastAsia="宋体" w:cs="宋体"/>
          <w:sz w:val="24"/>
          <w:szCs w:val="24"/>
        </w:rPr>
        <w:t>金丝雀</w:t>
      </w:r>
      <w:r>
        <w:rPr>
          <w:rFonts w:hint="eastAsia" w:cs="宋体"/>
          <w:sz w:val="24"/>
          <w:szCs w:val="24"/>
          <w:lang w:val="en-US" w:eastAsia="zh-CN"/>
        </w:rPr>
        <w:t>密钥</w:t>
      </w:r>
      <w:r>
        <w:rPr>
          <w:rFonts w:hint="eastAsia" w:cs="宋体"/>
          <w:sz w:val="24"/>
          <w:szCs w:val="24"/>
          <w:lang w:eastAsia="zh-CN"/>
        </w:rPr>
        <w:t>（</w:t>
      </w:r>
      <w:r>
        <w:rPr>
          <w:rFonts w:ascii="宋体" w:hAnsi="宋体" w:eastAsia="宋体"/>
          <w:b w:val="0"/>
          <w:color w:val="auto"/>
          <w:sz w:val="24"/>
        </w:rPr>
        <w:t>canary secret</w:t>
      </w:r>
      <w:r>
        <w:rPr>
          <w:rFonts w:hint="eastAsia"/>
          <w:b w:val="0"/>
          <w:color w:val="auto"/>
          <w:sz w:val="24"/>
          <w:lang w:eastAsia="zh-CN"/>
        </w:rPr>
        <w:t>）</w:t>
      </w:r>
      <w:r>
        <w:rPr>
          <w:rFonts w:ascii="宋体" w:hAnsi="宋体" w:eastAsia="宋体"/>
          <w:b w:val="0"/>
          <w:color w:val="auto"/>
          <w:sz w:val="24"/>
        </w:rPr>
        <w:t>，再生成看似正常的总结；也可能先把敏感标记发送到</w:t>
      </w:r>
      <w:r>
        <w:rPr>
          <w:rFonts w:hint="eastAsia"/>
          <w:b w:val="0"/>
          <w:color w:val="auto"/>
          <w:sz w:val="24"/>
          <w:lang w:eastAsia="zh-CN"/>
        </w:rPr>
        <w:t>模拟（</w:t>
      </w:r>
      <w:r>
        <w:rPr>
          <w:rFonts w:ascii="宋体" w:hAnsi="宋体" w:eastAsia="宋体" w:cs="宋体"/>
          <w:sz w:val="24"/>
          <w:szCs w:val="24"/>
        </w:rPr>
        <w:t>mock</w:t>
      </w:r>
      <w:r>
        <w:rPr>
          <w:rFonts w:hint="eastAsia"/>
          <w:b w:val="0"/>
          <w:color w:val="auto"/>
          <w:sz w:val="24"/>
          <w:lang w:eastAsia="zh-CN"/>
        </w:rPr>
        <w:t>）</w:t>
      </w:r>
      <w:r>
        <w:rPr>
          <w:rFonts w:ascii="宋体" w:hAnsi="宋体" w:eastAsia="宋体"/>
          <w:b w:val="0"/>
          <w:color w:val="auto"/>
          <w:sz w:val="24"/>
        </w:rPr>
        <w:t>邮箱，再回答任务已完成</w:t>
      </w:r>
      <w:r>
        <w:rPr>
          <w:rFonts w:hint="eastAsia"/>
          <w:b w:val="0"/>
          <w:color w:val="auto"/>
          <w:sz w:val="24"/>
          <w:lang w:val="en-US" w:eastAsia="zh-CN"/>
        </w:rPr>
        <w:t>或者相关信息</w:t>
      </w:r>
      <w:r>
        <w:rPr>
          <w:rFonts w:ascii="宋体" w:hAnsi="宋体" w:eastAsia="宋体"/>
          <w:b w:val="0"/>
          <w:color w:val="auto"/>
          <w:sz w:val="24"/>
        </w:rPr>
        <w:t>。</w:t>
      </w:r>
      <w:r>
        <w:rPr>
          <w:rFonts w:hint="eastAsia"/>
          <w:b w:val="0"/>
          <w:color w:val="auto"/>
          <w:sz w:val="24"/>
          <w:lang w:eastAsia="zh-CN"/>
        </w:rPr>
        <w:t>我们的作品</w:t>
      </w:r>
      <w:r>
        <w:rPr>
          <w:rFonts w:ascii="宋体" w:hAnsi="宋体" w:eastAsia="宋体"/>
          <w:b w:val="0"/>
          <w:color w:val="auto"/>
          <w:sz w:val="24"/>
        </w:rPr>
        <w:t>把安全检查前移到工具调用之前，对候选工具调用进行</w:t>
      </w:r>
      <w:r>
        <w:rPr>
          <w:rFonts w:hint="eastAsia"/>
          <w:b w:val="0"/>
          <w:color w:val="auto"/>
          <w:sz w:val="24"/>
          <w:lang w:eastAsia="zh-CN"/>
        </w:rPr>
        <w:t>行为监督器</w:t>
      </w:r>
      <w:r>
        <w:rPr>
          <w:rFonts w:ascii="宋体" w:hAnsi="宋体" w:eastAsia="宋体"/>
          <w:b w:val="0"/>
          <w:color w:val="auto"/>
          <w:sz w:val="24"/>
        </w:rPr>
        <w:t>。</w:t>
      </w:r>
    </w:p>
    <w:p w14:paraId="47941541">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hint="eastAsia"/>
          <w:b w:val="0"/>
          <w:color w:val="auto"/>
          <w:sz w:val="24"/>
          <w:lang w:eastAsia="zh-CN"/>
        </w:rPr>
        <w:t>行为监督器（Guard）</w:t>
      </w:r>
      <w:r>
        <w:rPr>
          <w:rFonts w:ascii="宋体" w:hAnsi="宋体" w:eastAsia="宋体"/>
          <w:b w:val="0"/>
          <w:color w:val="auto"/>
          <w:sz w:val="24"/>
        </w:rPr>
        <w:t>是对当前任务是否需要该工具、工具参数是否越权、敏感数据是否外发、上下文是否包含注入信号</w:t>
      </w:r>
      <w:r>
        <w:rPr>
          <w:rFonts w:hint="eastAsia"/>
          <w:b w:val="0"/>
          <w:color w:val="auto"/>
          <w:sz w:val="24"/>
          <w:lang w:val="en-US" w:eastAsia="zh-CN"/>
        </w:rPr>
        <w:t>等内容</w:t>
      </w:r>
      <w:r>
        <w:rPr>
          <w:rFonts w:ascii="宋体" w:hAnsi="宋体" w:eastAsia="宋体"/>
          <w:b w:val="0"/>
          <w:color w:val="auto"/>
          <w:sz w:val="24"/>
        </w:rPr>
        <w:t>进行综合判断。</w:t>
      </w:r>
      <w:r>
        <w:rPr>
          <w:rFonts w:hint="eastAsia"/>
          <w:b w:val="0"/>
          <w:color w:val="auto"/>
          <w:sz w:val="24"/>
          <w:lang w:eastAsia="zh-CN"/>
        </w:rPr>
        <w:t>行为监督器</w:t>
      </w:r>
      <w:r>
        <w:rPr>
          <w:rFonts w:ascii="宋体" w:hAnsi="宋体" w:eastAsia="宋体"/>
          <w:b w:val="0"/>
          <w:color w:val="auto"/>
          <w:sz w:val="24"/>
        </w:rPr>
        <w:t>输出allow、ask、deny三态决策：allow表示动作符合任务与策略要求</w:t>
      </w:r>
      <w:r>
        <w:rPr>
          <w:rFonts w:hint="eastAsia"/>
          <w:b w:val="0"/>
          <w:color w:val="auto"/>
          <w:sz w:val="24"/>
          <w:lang w:eastAsia="zh-CN"/>
        </w:rPr>
        <w:t>，</w:t>
      </w:r>
      <w:r>
        <w:rPr>
          <w:rFonts w:ascii="宋体" w:hAnsi="宋体" w:eastAsia="宋体"/>
          <w:b w:val="0"/>
          <w:color w:val="auto"/>
          <w:sz w:val="24"/>
        </w:rPr>
        <w:t>ask表示存在不确定风险，需要人工确认</w:t>
      </w:r>
      <w:r>
        <w:rPr>
          <w:rFonts w:hint="eastAsia"/>
          <w:b w:val="0"/>
          <w:color w:val="auto"/>
          <w:sz w:val="24"/>
          <w:lang w:eastAsia="zh-CN"/>
        </w:rPr>
        <w:t>，</w:t>
      </w:r>
      <w:r>
        <w:rPr>
          <w:rFonts w:ascii="宋体" w:hAnsi="宋体" w:eastAsia="宋体"/>
          <w:b w:val="0"/>
          <w:color w:val="auto"/>
          <w:sz w:val="24"/>
        </w:rPr>
        <w:t>deny表示存在明确越权、外发或高危执行，应直接阻断。</w:t>
      </w:r>
    </w:p>
    <w:p w14:paraId="2DB251CA">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hint="default" w:ascii="黑体" w:hAnsi="黑体" w:eastAsia="黑体"/>
          <w:b/>
          <w:color w:val="auto"/>
          <w:sz w:val="24"/>
          <w:szCs w:val="24"/>
          <w:lang w:val="en-US" w:eastAsia="zh-CN"/>
        </w:rPr>
      </w:pPr>
      <w:r>
        <w:rPr>
          <w:rFonts w:ascii="黑体" w:hAnsi="黑体" w:eastAsia="黑体"/>
          <w:b/>
          <w:color w:val="auto"/>
          <w:sz w:val="24"/>
          <w:szCs w:val="24"/>
        </w:rPr>
        <w:t xml:space="preserve">2.1.4 </w:t>
      </w:r>
      <w:r>
        <w:rPr>
          <w:rFonts w:hint="eastAsia" w:ascii="黑体" w:hAnsi="黑体" w:eastAsia="黑体"/>
          <w:b/>
          <w:color w:val="auto"/>
          <w:sz w:val="24"/>
          <w:szCs w:val="24"/>
          <w:lang w:val="en-US" w:eastAsia="zh-CN"/>
        </w:rPr>
        <w:t>应用链概念解释</w:t>
      </w:r>
    </w:p>
    <w:p w14:paraId="7E73C4AD">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sz w:val="24"/>
          <w:szCs w:val="24"/>
        </w:rPr>
      </w:pPr>
      <w:r>
        <w:rPr>
          <w:rFonts w:ascii="宋体" w:hAnsi="宋体" w:eastAsia="宋体"/>
          <w:b w:val="0"/>
          <w:color w:val="auto"/>
          <w:sz w:val="24"/>
          <w:szCs w:val="24"/>
        </w:rPr>
        <w:t>红队靶场用于在受控环境中复现攻击链。提示注入测试如果直接连接真实邮箱、真实API、真实文件系统或真实代码执行器，容易造成额外风险。因此，</w:t>
      </w:r>
      <w:r>
        <w:rPr>
          <w:rFonts w:hint="eastAsia"/>
          <w:b w:val="0"/>
          <w:color w:val="auto"/>
          <w:sz w:val="24"/>
          <w:szCs w:val="24"/>
          <w:lang w:eastAsia="zh-CN"/>
        </w:rPr>
        <w:t>我们的作品</w:t>
      </w:r>
      <w:r>
        <w:rPr>
          <w:rFonts w:ascii="宋体" w:hAnsi="宋体" w:eastAsia="宋体"/>
          <w:b w:val="0"/>
          <w:color w:val="auto"/>
          <w:sz w:val="24"/>
          <w:szCs w:val="24"/>
        </w:rPr>
        <w:t>把所有工具行为限制在</w:t>
      </w:r>
      <w:r>
        <w:rPr>
          <w:rFonts w:ascii="宋体" w:hAnsi="宋体" w:eastAsia="宋体" w:cs="宋体"/>
          <w:sz w:val="24"/>
          <w:szCs w:val="24"/>
        </w:rPr>
        <w:t>沙盒</w:t>
      </w:r>
      <w:r>
        <w:rPr>
          <w:rFonts w:ascii="宋体" w:hAnsi="宋体" w:eastAsia="宋体"/>
          <w:b w:val="0"/>
          <w:color w:val="auto"/>
          <w:sz w:val="24"/>
          <w:szCs w:val="24"/>
        </w:rPr>
        <w:t>目录和</w:t>
      </w:r>
      <w:r>
        <w:rPr>
          <w:rFonts w:hint="eastAsia"/>
          <w:b w:val="0"/>
          <w:color w:val="auto"/>
          <w:sz w:val="24"/>
          <w:szCs w:val="24"/>
          <w:lang w:eastAsia="zh-CN"/>
        </w:rPr>
        <w:t>模拟</w:t>
      </w:r>
      <w:r>
        <w:rPr>
          <w:rFonts w:ascii="宋体" w:hAnsi="宋体" w:eastAsia="宋体"/>
          <w:b w:val="0"/>
          <w:color w:val="auto"/>
          <w:sz w:val="24"/>
          <w:szCs w:val="24"/>
        </w:rPr>
        <w:t>服务中</w:t>
      </w:r>
      <w:r>
        <w:rPr>
          <w:rFonts w:hint="eastAsia"/>
          <w:b w:val="0"/>
          <w:color w:val="auto"/>
          <w:sz w:val="24"/>
          <w:szCs w:val="24"/>
          <w:lang w:val="en-US" w:eastAsia="zh-CN"/>
        </w:rPr>
        <w:t>,</w:t>
      </w:r>
      <w:r>
        <w:rPr>
          <w:rFonts w:ascii="宋体" w:hAnsi="宋体" w:eastAsia="宋体"/>
          <w:b w:val="0"/>
          <w:color w:val="auto"/>
          <w:sz w:val="24"/>
          <w:szCs w:val="24"/>
        </w:rPr>
        <w:t>邮件只写入</w:t>
      </w:r>
      <w:r>
        <w:rPr>
          <w:rFonts w:ascii="宋体" w:hAnsi="宋体" w:eastAsia="宋体" w:cs="宋体"/>
          <w:sz w:val="24"/>
          <w:szCs w:val="24"/>
        </w:rPr>
        <w:t>发件记录文件</w:t>
      </w:r>
      <w:r>
        <w:rPr>
          <w:rFonts w:ascii="宋体" w:hAnsi="宋体" w:eastAsia="宋体"/>
          <w:b w:val="0"/>
          <w:color w:val="auto"/>
          <w:sz w:val="24"/>
          <w:szCs w:val="24"/>
        </w:rPr>
        <w:t>，API只返回预置JSON，代码执行工具默认禁用，本地敏感数据使用canary假标记。</w:t>
      </w:r>
    </w:p>
    <w:p w14:paraId="6123A866">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sz w:val="24"/>
          <w:szCs w:val="24"/>
        </w:rPr>
      </w:pPr>
      <w:r>
        <w:rPr>
          <w:rFonts w:ascii="宋体" w:hAnsi="宋体" w:eastAsia="宋体"/>
          <w:b w:val="0"/>
          <w:color w:val="auto"/>
          <w:sz w:val="24"/>
          <w:szCs w:val="24"/>
        </w:rPr>
        <w:t>这种设计既保留了工具调用风险形态，又</w:t>
      </w:r>
      <w:r>
        <w:rPr>
          <w:rFonts w:hint="eastAsia"/>
          <w:b w:val="0"/>
          <w:color w:val="auto"/>
          <w:sz w:val="24"/>
          <w:szCs w:val="24"/>
          <w:lang w:val="en-US" w:eastAsia="zh-CN"/>
        </w:rPr>
        <w:t>可以</w:t>
      </w:r>
      <w:r>
        <w:rPr>
          <w:rFonts w:ascii="宋体" w:hAnsi="宋体" w:eastAsia="宋体"/>
          <w:b w:val="0"/>
          <w:color w:val="auto"/>
          <w:sz w:val="24"/>
          <w:szCs w:val="24"/>
        </w:rPr>
        <w:t>避免真实危害。评测时可以观察到无防护Agent会尝试哪些风险动作，也可以验证</w:t>
      </w:r>
      <w:r>
        <w:rPr>
          <w:rFonts w:hint="eastAsia"/>
          <w:b w:val="0"/>
          <w:color w:val="auto"/>
          <w:sz w:val="24"/>
          <w:szCs w:val="24"/>
          <w:lang w:eastAsia="zh-CN"/>
        </w:rPr>
        <w:t>行为监督器</w:t>
      </w:r>
      <w:r>
        <w:rPr>
          <w:rFonts w:ascii="宋体" w:hAnsi="宋体" w:eastAsia="宋体"/>
          <w:b w:val="0"/>
          <w:color w:val="auto"/>
          <w:sz w:val="24"/>
          <w:szCs w:val="24"/>
        </w:rPr>
        <w:t>是否在工具执行前完成阻断。</w:t>
      </w:r>
    </w:p>
    <w:p w14:paraId="47202D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eastAsia="宋体"/>
          <w:color w:val="auto"/>
          <w:sz w:val="21"/>
          <w:szCs w:val="21"/>
          <w:lang w:eastAsia="zh-CN"/>
        </w:rPr>
      </w:pPr>
      <w:r>
        <w:rPr>
          <w:rFonts w:ascii="宋体" w:hAnsi="宋体" w:eastAsia="宋体"/>
          <w:b w:val="0"/>
          <w:color w:val="auto"/>
          <w:sz w:val="21"/>
          <w:szCs w:val="21"/>
        </w:rPr>
        <w:t>表2-1 概念</w:t>
      </w:r>
      <w:r>
        <w:rPr>
          <w:rFonts w:hint="eastAsia"/>
          <w:b w:val="0"/>
          <w:color w:val="auto"/>
          <w:sz w:val="21"/>
          <w:szCs w:val="21"/>
          <w:lang w:val="en-US" w:eastAsia="zh-CN"/>
        </w:rPr>
        <w:t>解释</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647"/>
        <w:gridCol w:w="3607"/>
        <w:gridCol w:w="4141"/>
      </w:tblGrid>
      <w:tr w14:paraId="1F43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876" w:type="pct"/>
            <w:shd w:val="clear" w:color="auto" w:fill="auto"/>
            <w:vAlign w:val="center"/>
          </w:tcPr>
          <w:p w14:paraId="5E0B960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宋体" w:hAnsi="宋体" w:eastAsia="宋体" w:cs="宋体"/>
                <w:b w:val="0"/>
                <w:bCs/>
                <w:color w:val="auto"/>
                <w:sz w:val="21"/>
                <w:szCs w:val="21"/>
                <w:lang w:val="en-US" w:eastAsia="zh-CN"/>
              </w:rPr>
            </w:pPr>
            <w:r>
              <w:rPr>
                <w:rFonts w:hint="eastAsia" w:cs="宋体"/>
                <w:b w:val="0"/>
                <w:bCs/>
                <w:color w:val="auto"/>
                <w:sz w:val="21"/>
                <w:szCs w:val="21"/>
                <w:lang w:val="en-US" w:eastAsia="zh-CN"/>
              </w:rPr>
              <w:t>概念</w:t>
            </w:r>
          </w:p>
        </w:tc>
        <w:tc>
          <w:tcPr>
            <w:tcW w:w="1919" w:type="pct"/>
            <w:shd w:val="clear" w:color="auto" w:fill="auto"/>
            <w:vAlign w:val="center"/>
          </w:tcPr>
          <w:p w14:paraId="286313D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lang w:val="en-US" w:eastAsia="zh-CN"/>
              </w:rPr>
            </w:pPr>
            <w:r>
              <w:rPr>
                <w:rFonts w:hint="eastAsia" w:cs="宋体"/>
                <w:b w:val="0"/>
                <w:bCs/>
                <w:color w:val="auto"/>
                <w:sz w:val="21"/>
                <w:szCs w:val="21"/>
                <w:lang w:val="en-US" w:eastAsia="zh-CN"/>
              </w:rPr>
              <w:t>含义</w:t>
            </w:r>
          </w:p>
        </w:tc>
        <w:tc>
          <w:tcPr>
            <w:tcW w:w="2203" w:type="pct"/>
            <w:shd w:val="clear" w:color="auto" w:fill="auto"/>
            <w:vAlign w:val="center"/>
          </w:tcPr>
          <w:p w14:paraId="02C00A7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宋体" w:hAnsi="宋体" w:eastAsia="宋体" w:cs="宋体"/>
                <w:b w:val="0"/>
                <w:bCs/>
                <w:color w:val="auto"/>
                <w:sz w:val="21"/>
                <w:szCs w:val="21"/>
                <w:lang w:val="en-US" w:eastAsia="zh-CN"/>
              </w:rPr>
            </w:pPr>
            <w:r>
              <w:rPr>
                <w:rFonts w:hint="eastAsia" w:cs="宋体"/>
                <w:b w:val="0"/>
                <w:bCs/>
                <w:color w:val="auto"/>
                <w:sz w:val="21"/>
                <w:szCs w:val="21"/>
                <w:lang w:val="en-US" w:eastAsia="zh-CN"/>
              </w:rPr>
              <w:t>与实现的关系</w:t>
            </w:r>
          </w:p>
        </w:tc>
      </w:tr>
      <w:tr w14:paraId="197F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76" w:type="pct"/>
            <w:shd w:val="clear" w:color="auto" w:fill="auto"/>
            <w:vAlign w:val="center"/>
          </w:tcPr>
          <w:p w14:paraId="6F855F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rPr>
              <w:t>工具调用</w:t>
            </w:r>
            <w:r>
              <w:rPr>
                <w:rFonts w:hint="eastAsia" w:ascii="宋体" w:hAnsi="宋体" w:eastAsia="宋体" w:cs="宋体"/>
                <w:b w:val="0"/>
                <w:bCs/>
                <w:color w:val="auto"/>
                <w:sz w:val="21"/>
                <w:szCs w:val="21"/>
                <w:lang w:eastAsia="zh-CN"/>
              </w:rPr>
              <w:t>Agent</w:t>
            </w:r>
          </w:p>
        </w:tc>
        <w:tc>
          <w:tcPr>
            <w:tcW w:w="1919" w:type="pct"/>
            <w:shd w:val="clear" w:color="auto" w:fill="auto"/>
            <w:vAlign w:val="center"/>
          </w:tcPr>
          <w:p w14:paraId="4625806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能够根据自然语言任务生成</w:t>
            </w:r>
            <w:r>
              <w:rPr>
                <w:rFonts w:hint="eastAsia" w:ascii="宋体" w:hAnsi="宋体" w:eastAsia="宋体" w:cs="宋体"/>
                <w:b w:val="0"/>
                <w:bCs/>
                <w:color w:val="auto"/>
                <w:sz w:val="21"/>
                <w:szCs w:val="21"/>
                <w:lang w:eastAsia="zh-CN"/>
              </w:rPr>
              <w:t>工具调用</w:t>
            </w:r>
            <w:r>
              <w:rPr>
                <w:rFonts w:hint="eastAsia" w:ascii="宋体" w:hAnsi="宋体" w:eastAsia="宋体" w:cs="宋体"/>
                <w:b w:val="0"/>
                <w:bCs/>
                <w:color w:val="auto"/>
                <w:sz w:val="21"/>
                <w:szCs w:val="21"/>
              </w:rPr>
              <w:t>并调用外部工具的大模型系统</w:t>
            </w:r>
          </w:p>
        </w:tc>
        <w:tc>
          <w:tcPr>
            <w:tcW w:w="2203" w:type="pct"/>
            <w:shd w:val="clear" w:color="auto" w:fill="auto"/>
            <w:vAlign w:val="center"/>
          </w:tcPr>
          <w:p w14:paraId="7E7D589B">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由</w:t>
            </w:r>
            <w:r>
              <w:rPr>
                <w:rFonts w:hint="eastAsia" w:ascii="宋体" w:hAnsi="宋体" w:eastAsia="宋体" w:cs="宋体"/>
                <w:b w:val="0"/>
                <w:bCs/>
                <w:color w:val="auto"/>
                <w:sz w:val="21"/>
                <w:szCs w:val="21"/>
                <w:lang w:eastAsia="zh-CN"/>
              </w:rPr>
              <w:t>Agent运行器</w:t>
            </w:r>
            <w:r>
              <w:rPr>
                <w:rFonts w:hint="eastAsia" w:ascii="宋体" w:hAnsi="宋体" w:eastAsia="宋体" w:cs="宋体"/>
                <w:b w:val="0"/>
                <w:bCs/>
                <w:color w:val="auto"/>
                <w:sz w:val="21"/>
                <w:szCs w:val="21"/>
              </w:rPr>
              <w:t>、模型后端、</w:t>
            </w:r>
            <w:r>
              <w:rPr>
                <w:rFonts w:hint="eastAsia" w:ascii="宋体" w:hAnsi="宋体" w:eastAsia="宋体" w:cs="宋体"/>
                <w:b w:val="0"/>
                <w:bCs/>
                <w:color w:val="auto"/>
                <w:sz w:val="21"/>
                <w:szCs w:val="21"/>
                <w:lang w:eastAsia="zh-CN"/>
              </w:rPr>
              <w:t>工具调用</w:t>
            </w:r>
            <w:r>
              <w:rPr>
                <w:rFonts w:hint="eastAsia" w:ascii="宋体" w:hAnsi="宋体" w:eastAsia="宋体" w:cs="宋体"/>
                <w:b w:val="0"/>
                <w:bCs/>
                <w:color w:val="auto"/>
                <w:sz w:val="21"/>
                <w:szCs w:val="21"/>
              </w:rPr>
              <w:t>解析器和</w:t>
            </w:r>
            <w:r>
              <w:rPr>
                <w:rFonts w:hint="eastAsia" w:ascii="宋体" w:hAnsi="宋体" w:eastAsia="宋体" w:cs="宋体"/>
                <w:b w:val="0"/>
                <w:bCs/>
                <w:color w:val="auto"/>
                <w:sz w:val="21"/>
                <w:szCs w:val="21"/>
                <w:lang w:eastAsia="zh-CN"/>
              </w:rPr>
              <w:t>模拟</w:t>
            </w:r>
            <w:r>
              <w:rPr>
                <w:rFonts w:hint="eastAsia" w:ascii="宋体" w:hAnsi="宋体" w:eastAsia="宋体" w:cs="宋体"/>
                <w:b w:val="0"/>
                <w:bCs/>
                <w:color w:val="auto"/>
                <w:sz w:val="21"/>
                <w:szCs w:val="21"/>
              </w:rPr>
              <w:t>工具共同模拟</w:t>
            </w:r>
          </w:p>
        </w:tc>
      </w:tr>
      <w:tr w14:paraId="269A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76" w:type="pct"/>
            <w:shd w:val="clear" w:color="auto" w:fill="auto"/>
            <w:vAlign w:val="center"/>
          </w:tcPr>
          <w:p w14:paraId="795DF5E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不可信上下文</w:t>
            </w:r>
          </w:p>
        </w:tc>
        <w:tc>
          <w:tcPr>
            <w:tcW w:w="1919" w:type="pct"/>
            <w:shd w:val="clear" w:color="auto" w:fill="auto"/>
            <w:vAlign w:val="center"/>
          </w:tcPr>
          <w:p w14:paraId="09D38DE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来自用户、文档、网页、JSON、翻译文本或工具返回值的待处理数据</w:t>
            </w:r>
          </w:p>
        </w:tc>
        <w:tc>
          <w:tcPr>
            <w:tcW w:w="2203" w:type="pct"/>
            <w:shd w:val="clear" w:color="auto" w:fill="auto"/>
            <w:vAlign w:val="center"/>
          </w:tcPr>
          <w:p w14:paraId="25BBF9B2">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进入detector、dataflow和意图一致性检查流程</w:t>
            </w:r>
          </w:p>
        </w:tc>
      </w:tr>
      <w:tr w14:paraId="729B8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876" w:type="pct"/>
            <w:shd w:val="clear" w:color="auto" w:fill="auto"/>
            <w:vAlign w:val="center"/>
          </w:tcPr>
          <w:p w14:paraId="0995E48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lang w:eastAsia="zh-CN"/>
              </w:rPr>
              <w:t>行为监督器</w:t>
            </w:r>
          </w:p>
        </w:tc>
        <w:tc>
          <w:tcPr>
            <w:tcW w:w="1919" w:type="pct"/>
            <w:shd w:val="clear" w:color="auto" w:fill="auto"/>
            <w:vAlign w:val="center"/>
          </w:tcPr>
          <w:p w14:paraId="1B37DB1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在工具执行前判断候选动作是否越权、外发或与任务不一致</w:t>
            </w:r>
          </w:p>
        </w:tc>
        <w:tc>
          <w:tcPr>
            <w:tcW w:w="2203" w:type="pct"/>
            <w:shd w:val="clear" w:color="auto" w:fill="auto"/>
            <w:vAlign w:val="center"/>
          </w:tcPr>
          <w:p w14:paraId="0834906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由</w:t>
            </w:r>
            <w:r>
              <w:rPr>
                <w:rFonts w:hint="eastAsia" w:ascii="宋体" w:hAnsi="宋体" w:eastAsia="宋体" w:cs="宋体"/>
                <w:b w:val="0"/>
                <w:bCs/>
                <w:color w:val="auto"/>
                <w:sz w:val="21"/>
                <w:szCs w:val="21"/>
                <w:lang w:eastAsia="zh-CN"/>
              </w:rPr>
              <w:t>行为监督器</w:t>
            </w:r>
            <w:r>
              <w:rPr>
                <w:rFonts w:hint="eastAsia" w:ascii="宋体" w:hAnsi="宋体" w:eastAsia="宋体" w:cs="宋体"/>
                <w:b w:val="0"/>
                <w:bCs/>
                <w:color w:val="auto"/>
                <w:sz w:val="21"/>
                <w:szCs w:val="21"/>
              </w:rPr>
              <w:t>输出allow / ask / deny、risk_score和reasons</w:t>
            </w:r>
          </w:p>
        </w:tc>
      </w:tr>
      <w:tr w14:paraId="0468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876" w:type="pct"/>
            <w:shd w:val="clear" w:color="auto" w:fill="auto"/>
            <w:vAlign w:val="center"/>
          </w:tcPr>
          <w:p w14:paraId="3D1DDC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本地红队靶场</w:t>
            </w:r>
          </w:p>
        </w:tc>
        <w:tc>
          <w:tcPr>
            <w:tcW w:w="1919" w:type="pct"/>
            <w:shd w:val="clear" w:color="auto" w:fill="auto"/>
            <w:vAlign w:val="center"/>
          </w:tcPr>
          <w:p w14:paraId="2D0E5933">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在本地复现攻击链而不访问真实业务系统的测试环境</w:t>
            </w:r>
          </w:p>
        </w:tc>
        <w:tc>
          <w:tcPr>
            <w:tcW w:w="2203" w:type="pct"/>
            <w:shd w:val="clear" w:color="auto" w:fill="auto"/>
            <w:vAlign w:val="center"/>
          </w:tcPr>
          <w:p w14:paraId="151A2E4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由</w:t>
            </w:r>
            <w:r>
              <w:rPr>
                <w:rFonts w:hint="eastAsia" w:ascii="宋体" w:hAnsi="宋体" w:eastAsia="宋体" w:cs="宋体"/>
                <w:b w:val="0"/>
                <w:bCs/>
                <w:color w:val="auto"/>
                <w:sz w:val="21"/>
                <w:szCs w:val="21"/>
                <w:lang w:eastAsia="zh-CN"/>
              </w:rPr>
              <w:t>攻击样本</w:t>
            </w:r>
            <w:r>
              <w:rPr>
                <w:rFonts w:hint="eastAsia" w:ascii="宋体" w:hAnsi="宋体" w:eastAsia="宋体" w:cs="宋体"/>
                <w:b w:val="0"/>
                <w:bCs/>
                <w:color w:val="auto"/>
                <w:sz w:val="21"/>
                <w:szCs w:val="21"/>
              </w:rPr>
              <w:t>、</w:t>
            </w:r>
            <w:r>
              <w:rPr>
                <w:rFonts w:hint="eastAsia" w:ascii="宋体" w:hAnsi="宋体" w:eastAsia="宋体" w:cs="宋体"/>
                <w:b w:val="0"/>
                <w:bCs/>
                <w:color w:val="auto"/>
                <w:sz w:val="21"/>
                <w:szCs w:val="21"/>
                <w:lang w:val="en-US" w:eastAsia="zh-CN"/>
              </w:rPr>
              <w:t xml:space="preserve">stub </w:t>
            </w:r>
            <w:r>
              <w:rPr>
                <w:rFonts w:hint="eastAsia" w:ascii="宋体" w:hAnsi="宋体" w:eastAsia="宋体" w:cs="宋体"/>
                <w:b w:val="0"/>
                <w:bCs/>
                <w:color w:val="auto"/>
                <w:sz w:val="21"/>
                <w:szCs w:val="21"/>
              </w:rPr>
              <w:t>/</w:t>
            </w:r>
            <w:r>
              <w:rPr>
                <w:rFonts w:hint="eastAsia" w:ascii="宋体" w:hAnsi="宋体" w:eastAsia="宋体" w:cs="宋体"/>
                <w:b w:val="0"/>
                <w:bCs/>
                <w:color w:val="auto"/>
                <w:sz w:val="21"/>
                <w:szCs w:val="21"/>
                <w:lang w:val="en-US" w:eastAsia="zh-CN"/>
              </w:rPr>
              <w:t xml:space="preserve"> </w:t>
            </w:r>
            <w:r>
              <w:rPr>
                <w:rFonts w:hint="eastAsia" w:ascii="宋体" w:hAnsi="宋体" w:eastAsia="宋体" w:cs="宋体"/>
                <w:b w:val="0"/>
                <w:bCs/>
                <w:color w:val="auto"/>
                <w:sz w:val="21"/>
                <w:szCs w:val="21"/>
              </w:rPr>
              <w:t>Qwen后端、sandbox</w:t>
            </w:r>
            <w:r>
              <w:rPr>
                <w:rFonts w:hint="eastAsia" w:ascii="宋体" w:hAnsi="宋体" w:eastAsia="宋体" w:cs="宋体"/>
                <w:b w:val="0"/>
                <w:bCs/>
                <w:color w:val="auto"/>
                <w:sz w:val="21"/>
                <w:szCs w:val="21"/>
                <w:lang w:eastAsia="zh-CN"/>
              </w:rPr>
              <w:t>模拟</w:t>
            </w:r>
            <w:r>
              <w:rPr>
                <w:rFonts w:hint="eastAsia" w:ascii="宋体" w:hAnsi="宋体" w:eastAsia="宋体" w:cs="宋体"/>
                <w:b w:val="0"/>
                <w:bCs/>
                <w:color w:val="auto"/>
                <w:sz w:val="21"/>
                <w:szCs w:val="21"/>
              </w:rPr>
              <w:t>工具和</w:t>
            </w:r>
            <w:r>
              <w:rPr>
                <w:rFonts w:hint="eastAsia" w:ascii="宋体" w:hAnsi="宋体" w:eastAsia="宋体" w:cs="宋体"/>
                <w:b w:val="0"/>
                <w:bCs/>
                <w:color w:val="auto"/>
                <w:sz w:val="21"/>
                <w:szCs w:val="21"/>
                <w:lang w:eastAsia="zh-CN"/>
              </w:rPr>
              <w:t>运行日志</w:t>
            </w:r>
            <w:r>
              <w:rPr>
                <w:rFonts w:hint="eastAsia" w:ascii="宋体" w:hAnsi="宋体" w:eastAsia="宋体" w:cs="宋体"/>
                <w:b w:val="0"/>
                <w:bCs/>
                <w:color w:val="auto"/>
                <w:sz w:val="21"/>
                <w:szCs w:val="21"/>
              </w:rPr>
              <w:t>构成</w:t>
            </w:r>
          </w:p>
        </w:tc>
      </w:tr>
      <w:tr w14:paraId="51B46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76" w:type="pct"/>
            <w:shd w:val="clear" w:color="auto" w:fill="auto"/>
            <w:vAlign w:val="center"/>
          </w:tcPr>
          <w:p w14:paraId="57361B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可审计证据链</w:t>
            </w:r>
          </w:p>
        </w:tc>
        <w:tc>
          <w:tcPr>
            <w:tcW w:w="1919" w:type="pct"/>
            <w:shd w:val="clear" w:color="auto" w:fill="auto"/>
            <w:vAlign w:val="center"/>
          </w:tcPr>
          <w:p w14:paraId="79FD9B3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每个指标都能回溯到样本、模型输出、工具调用和</w:t>
            </w:r>
            <w:r>
              <w:rPr>
                <w:rFonts w:hint="eastAsia" w:ascii="宋体" w:hAnsi="宋体" w:eastAsia="宋体" w:cs="宋体"/>
                <w:b w:val="0"/>
                <w:bCs/>
                <w:color w:val="auto"/>
                <w:sz w:val="21"/>
                <w:szCs w:val="21"/>
                <w:lang w:eastAsia="zh-CN"/>
              </w:rPr>
              <w:t>行为监督器</w:t>
            </w:r>
            <w:r>
              <w:rPr>
                <w:rFonts w:hint="eastAsia" w:ascii="宋体" w:hAnsi="宋体" w:eastAsia="宋体" w:cs="宋体"/>
                <w:b w:val="0"/>
                <w:bCs/>
                <w:color w:val="auto"/>
                <w:sz w:val="21"/>
                <w:szCs w:val="21"/>
              </w:rPr>
              <w:t>决策</w:t>
            </w:r>
          </w:p>
        </w:tc>
        <w:tc>
          <w:tcPr>
            <w:tcW w:w="2203" w:type="pct"/>
            <w:shd w:val="clear" w:color="auto" w:fill="auto"/>
            <w:vAlign w:val="center"/>
          </w:tcPr>
          <w:p w14:paraId="73092E3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由JSONL日志、</w:t>
            </w:r>
            <w:r>
              <w:rPr>
                <w:rFonts w:hint="eastAsia" w:ascii="宋体" w:hAnsi="宋体" w:eastAsia="宋体" w:cs="宋体"/>
                <w:b w:val="0"/>
                <w:bCs/>
                <w:color w:val="auto"/>
                <w:sz w:val="21"/>
                <w:szCs w:val="21"/>
                <w:lang w:eastAsia="zh-CN"/>
              </w:rPr>
              <w:t>评测指标</w:t>
            </w:r>
            <w:r>
              <w:rPr>
                <w:rFonts w:hint="eastAsia" w:ascii="宋体" w:hAnsi="宋体" w:eastAsia="宋体" w:cs="宋体"/>
                <w:b w:val="0"/>
                <w:bCs/>
                <w:color w:val="auto"/>
                <w:sz w:val="21"/>
                <w:szCs w:val="21"/>
              </w:rPr>
              <w:t>文件和</w:t>
            </w:r>
            <w:r>
              <w:rPr>
                <w:rFonts w:hint="eastAsia" w:ascii="宋体" w:hAnsi="宋体" w:eastAsia="宋体" w:cs="宋体"/>
                <w:b w:val="0"/>
                <w:bCs/>
                <w:color w:val="auto"/>
                <w:sz w:val="21"/>
                <w:szCs w:val="21"/>
                <w:lang w:eastAsia="zh-CN"/>
              </w:rPr>
              <w:t>可视化面板</w:t>
            </w:r>
            <w:r>
              <w:rPr>
                <w:rFonts w:hint="eastAsia" w:ascii="宋体" w:hAnsi="宋体" w:eastAsia="宋体" w:cs="宋体"/>
                <w:b w:val="0"/>
                <w:bCs/>
                <w:color w:val="auto"/>
                <w:sz w:val="21"/>
                <w:szCs w:val="21"/>
              </w:rPr>
              <w:t>支撑</w:t>
            </w:r>
          </w:p>
        </w:tc>
      </w:tr>
    </w:tbl>
    <w:p w14:paraId="66D6308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color w:val="auto"/>
        </w:rPr>
      </w:pPr>
    </w:p>
    <w:p w14:paraId="57F5C276">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color w:val="auto"/>
          <w:lang w:val="en-US" w:eastAsia="zh-CN"/>
        </w:rPr>
      </w:pPr>
      <w:r>
        <w:rPr>
          <w:rFonts w:hint="eastAsia"/>
          <w:color w:val="auto"/>
          <w:lang w:val="en-US" w:eastAsia="zh-CN"/>
        </w:rPr>
        <w:t>本文采用攻击成功率（ASR）、非授权工具调用率（UTR）、数据泄露风险率（DSR）、阻断覆盖率（BSR）、误报率（FPR）、平均风险值（AvgRisk）以及综合鲁棒性评分（WRS）作为系统评测指标。</w:t>
      </w:r>
    </w:p>
    <w:p w14:paraId="10701868">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color w:val="auto"/>
          <w:lang w:val="en-US" w:eastAsia="zh-CN"/>
        </w:rPr>
      </w:pPr>
      <w:r>
        <w:rPr>
          <w:rFonts w:hint="eastAsia"/>
          <w:color w:val="auto"/>
          <w:lang w:val="en-US" w:eastAsia="zh-CN"/>
        </w:rPr>
        <w:t>攻击成功率（ASR）用于衡量攻击样本是否能够触发预设的不安全目标行为，例如读取哨兵敏感信息、向外部通道模拟发送数据、调用非授权接口或触发代码执行请求，其计算方式为触发不安全目标行为的样本数与总样本数之比。</w:t>
      </w:r>
    </w:p>
    <w:p w14:paraId="72138F3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color w:val="auto"/>
          <w:lang w:val="en-US" w:eastAsia="zh-CN"/>
        </w:rPr>
      </w:pPr>
      <w:r>
        <w:rPr>
          <w:rFonts w:hint="eastAsia"/>
          <w:color w:val="auto"/>
          <w:lang w:val="en-US" w:eastAsia="zh-CN"/>
        </w:rPr>
        <w:t>非授权工具调用率（UTR）用于刻画智能体在执行过程中是否生成与用户任务无关或超出策略约束的工具调用行为，该指标反映工具调用是否受到输入注入或结构化欺骗影响。</w:t>
      </w:r>
    </w:p>
    <w:p w14:paraId="3876B6E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color w:val="auto"/>
          <w:lang w:val="en-US" w:eastAsia="zh-CN"/>
        </w:rPr>
      </w:pPr>
      <w:r>
        <w:rPr>
          <w:rFonts w:hint="eastAsia"/>
          <w:color w:val="auto"/>
          <w:lang w:val="en-US" w:eastAsia="zh-CN"/>
        </w:rPr>
        <w:t>数据泄露风险率（DSR）用于衡量哨兵敏感信息是否进入外发链路，例如邮件模拟工具、接口调用工具或文件写入路径等，该指标用于评估敏感数据在工具链中的传播风险。</w:t>
      </w:r>
    </w:p>
    <w:p w14:paraId="4B237E6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color w:val="auto"/>
          <w:lang w:val="en-US" w:eastAsia="zh-CN"/>
        </w:rPr>
      </w:pPr>
      <w:r>
        <w:rPr>
          <w:rFonts w:hint="eastAsia"/>
          <w:color w:val="auto"/>
          <w:lang w:val="en-US" w:eastAsia="zh-CN"/>
        </w:rPr>
        <w:t>阻断覆盖率（BSR）用于衡量行为监督模块对风险工具调用的拦截能力，即在攻击样本中系统输出“询问确认”或“拒绝执行”行为的比例，用于反映防护策略的覆盖程度。</w:t>
      </w:r>
    </w:p>
    <w:p w14:paraId="1E4CD79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color w:val="auto"/>
          <w:lang w:val="en-US" w:eastAsia="zh-CN"/>
        </w:rPr>
      </w:pPr>
      <w:r>
        <w:rPr>
          <w:rFonts w:hint="eastAsia"/>
          <w:color w:val="auto"/>
          <w:lang w:val="en-US" w:eastAsia="zh-CN"/>
        </w:rPr>
        <w:t>误报率（FPR）用于衡量正常样本被错误拦截的比例，正常样本指不包含攻击意图且不涉及敏感数据外发的任务类型，该指标用于评估防护策略对正常任务的影响程度。</w:t>
      </w:r>
    </w:p>
    <w:p w14:paraId="45E2AA3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color w:val="auto"/>
          <w:lang w:val="en-US" w:eastAsia="zh-CN"/>
        </w:rPr>
      </w:pPr>
      <w:r>
        <w:rPr>
          <w:rFonts w:hint="eastAsia"/>
          <w:color w:val="auto"/>
          <w:lang w:val="en-US" w:eastAsia="zh-CN"/>
        </w:rPr>
        <w:t>平均风险值（AvgRisk）为行为监督模块对单条样本输出风险分的平均结果，风险分取值范围为0到1，用于描述样本整体风险强度，不直接作为防护优劣判定依据。</w:t>
      </w:r>
    </w:p>
    <w:p w14:paraId="361726A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color w:val="auto"/>
          <w:lang w:val="en-US" w:eastAsia="zh-CN"/>
        </w:rPr>
      </w:pPr>
      <w:r>
        <w:rPr>
          <w:rFonts w:hint="eastAsia"/>
          <w:color w:val="auto"/>
          <w:lang w:val="en-US" w:eastAsia="zh-CN"/>
        </w:rPr>
        <w:t>综合鲁棒性评分（WRS）用于衡量系统整体防护能力，综合考虑攻击抑制能力、工具调用约束能力、数据泄露控制能力以及误报控制能力，其数值越高表示系统在面对多类型提示注入攻击时的整体稳定性越强。</w:t>
      </w:r>
    </w:p>
    <w:p w14:paraId="6AEDCB5D">
      <w:pPr>
        <w:pStyle w:val="4"/>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8"/>
          <w:szCs w:val="28"/>
        </w:rPr>
      </w:pPr>
      <w:r>
        <w:rPr>
          <w:rFonts w:ascii="黑体" w:hAnsi="黑体" w:eastAsia="黑体"/>
          <w:b/>
          <w:color w:val="auto"/>
          <w:sz w:val="28"/>
          <w:szCs w:val="28"/>
        </w:rPr>
        <w:t>2.2 系统总体架构</w:t>
      </w:r>
    </w:p>
    <w:p w14:paraId="099D2CE5">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sz w:val="24"/>
          <w:szCs w:val="24"/>
        </w:rPr>
      </w:pPr>
      <w:r>
        <w:rPr>
          <w:rFonts w:ascii="宋体" w:hAnsi="宋体" w:eastAsia="宋体"/>
          <w:b w:val="0"/>
          <w:color w:val="auto"/>
          <w:sz w:val="24"/>
        </w:rPr>
        <w:t>M³-PI</w:t>
      </w:r>
      <w:r>
        <w:rPr>
          <w:rFonts w:hint="eastAsia"/>
          <w:b w:val="0"/>
          <w:color w:val="auto"/>
          <w:sz w:val="24"/>
          <w:lang w:eastAsia="zh-CN"/>
        </w:rPr>
        <w:t>行为监督器</w:t>
      </w:r>
      <w:r>
        <w:rPr>
          <w:rFonts w:ascii="宋体" w:hAnsi="宋体" w:eastAsia="宋体"/>
          <w:b w:val="0"/>
          <w:color w:val="auto"/>
          <w:sz w:val="24"/>
        </w:rPr>
        <w:t>采用分层闭环架构，整体上可分为样本与任务层、Agent执行层、</w:t>
      </w:r>
      <w:r>
        <w:rPr>
          <w:rFonts w:hint="eastAsia"/>
          <w:b w:val="0"/>
          <w:color w:val="auto"/>
          <w:sz w:val="24"/>
          <w:lang w:eastAsia="zh-CN"/>
        </w:rPr>
        <w:t>行</w:t>
      </w:r>
      <w:r>
        <w:rPr>
          <w:rFonts w:hint="eastAsia"/>
          <w:b w:val="0"/>
          <w:color w:val="auto"/>
          <w:sz w:val="24"/>
          <w:szCs w:val="24"/>
          <w:lang w:eastAsia="zh-CN"/>
        </w:rPr>
        <w:t>为监督器</w:t>
      </w:r>
      <w:r>
        <w:rPr>
          <w:rFonts w:ascii="宋体" w:hAnsi="宋体" w:eastAsia="宋体"/>
          <w:b w:val="0"/>
          <w:color w:val="auto"/>
          <w:sz w:val="24"/>
          <w:szCs w:val="24"/>
        </w:rPr>
        <w:t>层和证据评估层。各层之间通过标准化数据结构衔接，使攻击样本、模型行为、工具调用、阻断结果和评测指标保持可追溯关系。</w:t>
      </w:r>
    </w:p>
    <w:p w14:paraId="6463E34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color w:val="auto"/>
          <w:sz w:val="24"/>
          <w:szCs w:val="24"/>
        </w:rPr>
      </w:pPr>
      <w:r>
        <w:rPr>
          <w:sz w:val="24"/>
          <w:szCs w:val="24"/>
        </w:rPr>
        <w:drawing>
          <wp:inline distT="0" distB="0" distL="114300" distR="114300">
            <wp:extent cx="5903595" cy="255778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03999" cy="2558400"/>
                    </a:xfrm>
                    <a:prstGeom prst="rect">
                      <a:avLst/>
                    </a:prstGeom>
                  </pic:spPr>
                </pic:pic>
              </a:graphicData>
            </a:graphic>
          </wp:inline>
        </w:drawing>
      </w:r>
    </w:p>
    <w:p w14:paraId="54F21BB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color w:val="auto"/>
          <w:sz w:val="24"/>
          <w:szCs w:val="24"/>
        </w:rPr>
      </w:pPr>
      <w:r>
        <w:rPr>
          <w:rFonts w:ascii="宋体" w:hAnsi="宋体" w:eastAsia="宋体"/>
          <w:b w:val="0"/>
          <w:color w:val="auto"/>
          <w:sz w:val="24"/>
          <w:szCs w:val="24"/>
        </w:rPr>
        <w:t>图2-1 M³-PI</w:t>
      </w:r>
      <w:r>
        <w:rPr>
          <w:rFonts w:hint="eastAsia"/>
          <w:b w:val="0"/>
          <w:color w:val="auto"/>
          <w:sz w:val="24"/>
          <w:szCs w:val="24"/>
          <w:lang w:eastAsia="zh-CN"/>
        </w:rPr>
        <w:t>行为监督器</w:t>
      </w:r>
      <w:r>
        <w:rPr>
          <w:rFonts w:ascii="宋体" w:hAnsi="宋体" w:eastAsia="宋体"/>
          <w:b w:val="0"/>
          <w:color w:val="auto"/>
          <w:sz w:val="24"/>
          <w:szCs w:val="24"/>
        </w:rPr>
        <w:t>系统总体架构</w:t>
      </w:r>
    </w:p>
    <w:p w14:paraId="145B9861">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2.2.1 分层设计</w:t>
      </w:r>
    </w:p>
    <w:p w14:paraId="6548A9C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color w:val="auto"/>
        </w:rPr>
      </w:pPr>
      <w:r>
        <w:rPr>
          <w:rFonts w:hint="eastAsia"/>
          <w:color w:val="auto"/>
        </w:rPr>
        <w:t>系统整体采用分层设计，将完整实验流程划分为四个层级：样本与任务层、智能体执行层、行为监督层以及证据评估层。</w:t>
      </w:r>
    </w:p>
    <w:p w14:paraId="6E628838">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color w:val="auto"/>
        </w:rPr>
      </w:pPr>
      <w:r>
        <w:rPr>
          <w:rFonts w:hint="eastAsia"/>
          <w:color w:val="auto"/>
        </w:rPr>
        <w:t>样本与任务层以攻击样本结构为核心，负责统一描述攻击族类型、注入载体、用户正常任务、上下文材料、预期安全行为以及不安全目标动作。该层输出标准化攻击样本，用于保证不同攻击类型在同一数据结构下进行表示与调用，从而支持跨攻击族的统一评测与对比分析。</w:t>
      </w:r>
    </w:p>
    <w:p w14:paraId="583790B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color w:val="auto"/>
        </w:rPr>
      </w:pPr>
      <w:r>
        <w:rPr>
          <w:rFonts w:hint="eastAsia"/>
          <w:color w:val="auto"/>
        </w:rPr>
        <w:t>智能体执行层负责将攻击样本转换为模型输入，并通过桩模型后端或本地大模型后端生成候选输出结果。该层同时解析模型输出，将其转换为最终回答或工具调用行为，为后续行为监督提供可观测的执行链路。</w:t>
      </w:r>
    </w:p>
    <w:p w14:paraId="24F2810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color w:val="auto"/>
        </w:rPr>
      </w:pPr>
      <w:r>
        <w:rPr>
          <w:rFonts w:hint="eastAsia"/>
          <w:color w:val="auto"/>
        </w:rPr>
        <w:t>行为监督层位于模型输出与工具执行之间，用于对候选工具调用进行安全性判断。该层通过文本归一化、提示注入检测、工具策略约束以及敏感数据流追踪等机制，对输入上下文与工具调用行为进行联合分析，并输出包括允许执行、询问确认或拒绝执行在内的三态裁决结果，同时给出对应风险分数与可解释原因。</w:t>
      </w:r>
    </w:p>
    <w:p w14:paraId="12F4FA4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color w:val="auto"/>
        </w:rPr>
      </w:pPr>
      <w:r>
        <w:rPr>
          <w:rFonts w:hint="eastAsia"/>
          <w:color w:val="auto"/>
        </w:rPr>
        <w:t>证据评估层基于运行日志对系统行为进行统计分析，计算攻击成功率、非授权工具调用率、数据泄露风险率、阻断覆盖率、误报率、平均风险值以及综合鲁棒性评分等指标，并通过可视化面板对攻击行为分布、防护效果对比以及单案例执行链路进行展示，从而形成可复现、可审计的实验闭环。</w:t>
      </w:r>
    </w:p>
    <w:p w14:paraId="2407E38A">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2.2.2 系统运行流程</w:t>
      </w:r>
    </w:p>
    <w:p w14:paraId="3A835714">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系统运行流程可概括为</w:t>
      </w:r>
      <w:r>
        <w:rPr>
          <w:rFonts w:hint="eastAsia"/>
          <w:b w:val="0"/>
          <w:color w:val="auto"/>
          <w:sz w:val="24"/>
          <w:lang w:eastAsia="zh-CN"/>
        </w:rPr>
        <w:t>：攻击样本</w:t>
      </w:r>
      <w:r>
        <w:rPr>
          <w:rFonts w:ascii="宋体" w:hAnsi="宋体" w:eastAsia="宋体"/>
          <w:b w:val="0"/>
          <w:color w:val="auto"/>
          <w:sz w:val="24"/>
        </w:rPr>
        <w:t xml:space="preserve"> -&gt; </w:t>
      </w:r>
      <w:r>
        <w:rPr>
          <w:rFonts w:hint="eastAsia"/>
          <w:b w:val="0"/>
          <w:color w:val="auto"/>
          <w:sz w:val="24"/>
          <w:lang w:eastAsia="zh-CN"/>
        </w:rPr>
        <w:t>Agent运行器</w:t>
      </w:r>
      <w:r>
        <w:rPr>
          <w:rFonts w:ascii="宋体" w:hAnsi="宋体" w:eastAsia="宋体"/>
          <w:b w:val="0"/>
          <w:color w:val="auto"/>
          <w:sz w:val="24"/>
        </w:rPr>
        <w:t xml:space="preserve"> -&gt; </w:t>
      </w:r>
      <w:r>
        <w:rPr>
          <w:rFonts w:hint="eastAsia" w:ascii="宋体" w:hAnsi="宋体" w:eastAsia="宋体"/>
          <w:b w:val="0"/>
          <w:color w:val="auto"/>
          <w:sz w:val="24"/>
        </w:rPr>
        <w:t>模型后端</w:t>
      </w:r>
      <w:r>
        <w:rPr>
          <w:rFonts w:ascii="宋体" w:hAnsi="宋体" w:eastAsia="宋体"/>
          <w:b w:val="0"/>
          <w:color w:val="auto"/>
          <w:sz w:val="24"/>
        </w:rPr>
        <w:t xml:space="preserve"> -&gt; </w:t>
      </w:r>
      <w:r>
        <w:rPr>
          <w:rFonts w:hint="eastAsia"/>
          <w:b w:val="0"/>
          <w:color w:val="auto"/>
          <w:sz w:val="24"/>
          <w:lang w:eastAsia="zh-CN"/>
        </w:rPr>
        <w:t>工具调用</w:t>
      </w:r>
      <w:r>
        <w:rPr>
          <w:rFonts w:ascii="宋体" w:hAnsi="宋体" w:eastAsia="宋体"/>
          <w:b w:val="0"/>
          <w:color w:val="auto"/>
          <w:sz w:val="24"/>
        </w:rPr>
        <w:t xml:space="preserve"> -&gt; </w:t>
      </w:r>
      <w:r>
        <w:rPr>
          <w:rFonts w:hint="eastAsia"/>
          <w:b w:val="0"/>
          <w:color w:val="auto"/>
          <w:sz w:val="24"/>
          <w:lang w:eastAsia="zh-CN"/>
        </w:rPr>
        <w:t>行为监督器</w:t>
      </w:r>
      <w:r>
        <w:rPr>
          <w:rFonts w:ascii="宋体" w:hAnsi="宋体" w:eastAsia="宋体" w:cs="宋体"/>
          <w:sz w:val="24"/>
          <w:szCs w:val="24"/>
        </w:rPr>
        <w:t>决策</w:t>
      </w:r>
      <w:r>
        <w:rPr>
          <w:rFonts w:ascii="宋体" w:hAnsi="宋体" w:eastAsia="宋体"/>
          <w:b w:val="0"/>
          <w:color w:val="auto"/>
          <w:sz w:val="24"/>
        </w:rPr>
        <w:t xml:space="preserve">-&gt; </w:t>
      </w:r>
      <w:r>
        <w:rPr>
          <w:rFonts w:hint="eastAsia"/>
          <w:b w:val="0"/>
          <w:color w:val="auto"/>
          <w:sz w:val="24"/>
          <w:lang w:eastAsia="zh-CN"/>
        </w:rPr>
        <w:t>模拟</w:t>
      </w:r>
      <w:r>
        <w:rPr>
          <w:rFonts w:hint="eastAsia"/>
          <w:b w:val="0"/>
          <w:color w:val="auto"/>
          <w:sz w:val="24"/>
          <w:lang w:val="en-US" w:eastAsia="zh-CN"/>
        </w:rPr>
        <w:t>攻击</w:t>
      </w:r>
      <w:r>
        <w:rPr>
          <w:rFonts w:ascii="宋体" w:hAnsi="宋体" w:eastAsia="宋体"/>
          <w:b w:val="0"/>
          <w:color w:val="auto"/>
          <w:sz w:val="24"/>
        </w:rPr>
        <w:t xml:space="preserve"> -&gt; </w:t>
      </w:r>
      <w:r>
        <w:rPr>
          <w:rFonts w:hint="eastAsia"/>
          <w:b w:val="0"/>
          <w:color w:val="auto"/>
          <w:sz w:val="24"/>
          <w:lang w:eastAsia="zh-CN"/>
        </w:rPr>
        <w:t>运行日志</w:t>
      </w:r>
      <w:r>
        <w:rPr>
          <w:rFonts w:ascii="宋体" w:hAnsi="宋体" w:eastAsia="宋体"/>
          <w:b w:val="0"/>
          <w:color w:val="auto"/>
          <w:sz w:val="24"/>
        </w:rPr>
        <w:t xml:space="preserve"> -&gt; </w:t>
      </w:r>
      <w:r>
        <w:rPr>
          <w:rFonts w:hint="eastAsia"/>
          <w:b w:val="0"/>
          <w:color w:val="auto"/>
          <w:sz w:val="24"/>
          <w:lang w:eastAsia="zh-CN"/>
        </w:rPr>
        <w:t>评测指标</w:t>
      </w:r>
      <w:r>
        <w:rPr>
          <w:rFonts w:ascii="宋体" w:hAnsi="宋体" w:eastAsia="宋体"/>
          <w:b w:val="0"/>
          <w:color w:val="auto"/>
          <w:sz w:val="24"/>
        </w:rPr>
        <w:t xml:space="preserve"> -&gt; </w:t>
      </w:r>
      <w:r>
        <w:rPr>
          <w:rFonts w:hint="eastAsia"/>
          <w:b w:val="0"/>
          <w:color w:val="auto"/>
          <w:sz w:val="24"/>
          <w:lang w:eastAsia="zh-CN"/>
        </w:rPr>
        <w:t>可视化面板</w:t>
      </w:r>
      <w:r>
        <w:rPr>
          <w:rFonts w:ascii="宋体" w:hAnsi="宋体" w:eastAsia="宋体"/>
          <w:b w:val="0"/>
          <w:color w:val="auto"/>
          <w:sz w:val="24"/>
        </w:rPr>
        <w:t>。具体步骤如下。</w:t>
      </w:r>
    </w:p>
    <w:p w14:paraId="4B87B049">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（1）读取</w:t>
      </w:r>
      <w:r>
        <w:rPr>
          <w:rFonts w:hint="eastAsia"/>
          <w:b w:val="0"/>
          <w:color w:val="auto"/>
          <w:sz w:val="24"/>
          <w:lang w:eastAsia="zh-CN"/>
        </w:rPr>
        <w:t>攻击样本</w:t>
      </w:r>
      <w:r>
        <w:rPr>
          <w:rFonts w:ascii="宋体" w:hAnsi="宋体" w:eastAsia="宋体"/>
          <w:b w:val="0"/>
          <w:color w:val="auto"/>
          <w:sz w:val="24"/>
        </w:rPr>
        <w:t>，获取用户任务、上下文材料、攻击族、预期安全行为和不安全目标动作。</w:t>
      </w:r>
    </w:p>
    <w:p w14:paraId="2113CE5C">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（2）</w:t>
      </w:r>
      <w:r>
        <w:rPr>
          <w:rFonts w:hint="eastAsia"/>
          <w:b w:val="0"/>
          <w:color w:val="auto"/>
          <w:sz w:val="24"/>
          <w:lang w:eastAsia="zh-CN"/>
        </w:rPr>
        <w:t>Agent运行器</w:t>
      </w:r>
      <w:r>
        <w:rPr>
          <w:rFonts w:ascii="宋体" w:hAnsi="宋体" w:eastAsia="宋体"/>
          <w:b w:val="0"/>
          <w:color w:val="auto"/>
          <w:sz w:val="24"/>
        </w:rPr>
        <w:t>根据样本内容构造模型输入，并选择</w:t>
      </w:r>
      <w:r>
        <w:rPr>
          <w:rFonts w:hint="eastAsia"/>
          <w:b w:val="0"/>
          <w:color w:val="auto"/>
          <w:sz w:val="24"/>
          <w:lang w:eastAsia="zh-CN"/>
        </w:rPr>
        <w:t>桩模型</w:t>
      </w:r>
      <w:r>
        <w:rPr>
          <w:rFonts w:ascii="宋体" w:hAnsi="宋体" w:eastAsia="宋体"/>
          <w:b w:val="0"/>
          <w:color w:val="auto"/>
          <w:sz w:val="24"/>
        </w:rPr>
        <w:t>后端或本地Qwen2.5后端执行。</w:t>
      </w:r>
    </w:p>
    <w:p w14:paraId="7DCB1308">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（3）模型后端输出自然语言回答或结构化候选</w:t>
      </w:r>
      <w:r>
        <w:rPr>
          <w:rFonts w:hint="eastAsia"/>
          <w:b w:val="0"/>
          <w:color w:val="auto"/>
          <w:sz w:val="24"/>
          <w:lang w:eastAsia="zh-CN"/>
        </w:rPr>
        <w:t>工具调用</w:t>
      </w:r>
      <w:r>
        <w:rPr>
          <w:rFonts w:ascii="宋体" w:hAnsi="宋体" w:eastAsia="宋体"/>
          <w:b w:val="0"/>
          <w:color w:val="auto"/>
          <w:sz w:val="24"/>
        </w:rPr>
        <w:t>；系统保留raw_model_output。</w:t>
      </w:r>
    </w:p>
    <w:p w14:paraId="6325F879">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（4）</w:t>
      </w:r>
      <w:r>
        <w:rPr>
          <w:rFonts w:hint="eastAsia"/>
          <w:b w:val="0"/>
          <w:color w:val="auto"/>
          <w:sz w:val="24"/>
          <w:lang w:eastAsia="zh-CN"/>
        </w:rPr>
        <w:t>工具调用</w:t>
      </w:r>
      <w:r>
        <w:rPr>
          <w:rFonts w:ascii="宋体" w:hAnsi="宋体" w:eastAsia="宋体"/>
          <w:b w:val="0"/>
          <w:color w:val="auto"/>
          <w:sz w:val="24"/>
        </w:rPr>
        <w:t>解析器尝试从模型输出中提取工具名与参数；解析失败时记录parse_error。</w:t>
      </w:r>
    </w:p>
    <w:p w14:paraId="36BE043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（5）</w:t>
      </w:r>
      <w:r>
        <w:rPr>
          <w:rFonts w:hint="eastAsia"/>
          <w:b w:val="0"/>
          <w:color w:val="auto"/>
          <w:sz w:val="24"/>
          <w:lang w:eastAsia="zh-CN"/>
        </w:rPr>
        <w:t>行为监督器</w:t>
      </w:r>
      <w:r>
        <w:rPr>
          <w:rFonts w:ascii="宋体" w:hAnsi="宋体" w:eastAsia="宋体"/>
          <w:b w:val="0"/>
          <w:color w:val="auto"/>
          <w:sz w:val="24"/>
        </w:rPr>
        <w:t>在工具执行前读取上下文、候选</w:t>
      </w:r>
      <w:r>
        <w:rPr>
          <w:rFonts w:hint="eastAsia"/>
          <w:b w:val="0"/>
          <w:color w:val="auto"/>
          <w:sz w:val="24"/>
          <w:lang w:eastAsia="zh-CN"/>
        </w:rPr>
        <w:t>工具调用</w:t>
      </w:r>
      <w:r>
        <w:rPr>
          <w:rFonts w:ascii="宋体" w:hAnsi="宋体" w:eastAsia="宋体"/>
          <w:b w:val="0"/>
          <w:color w:val="auto"/>
          <w:sz w:val="24"/>
        </w:rPr>
        <w:t>和防护模式，输出决策、风险分与原因列表。</w:t>
      </w:r>
    </w:p>
    <w:p w14:paraId="2C92273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（6）若决策为allow，则进入本地</w:t>
      </w:r>
      <w:r>
        <w:rPr>
          <w:rFonts w:hint="eastAsia"/>
          <w:b w:val="0"/>
          <w:color w:val="auto"/>
          <w:sz w:val="24"/>
          <w:lang w:eastAsia="zh-CN"/>
        </w:rPr>
        <w:t>模拟</w:t>
      </w:r>
      <w:r>
        <w:rPr>
          <w:rFonts w:ascii="宋体" w:hAnsi="宋体" w:eastAsia="宋体"/>
          <w:b w:val="0"/>
          <w:color w:val="auto"/>
          <w:sz w:val="24"/>
        </w:rPr>
        <w:t>工具；若为ask或deny，则不触发真实副作用，并写入阻断记录。</w:t>
      </w:r>
    </w:p>
    <w:p w14:paraId="2D453323">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（7）</w:t>
      </w:r>
      <w:r>
        <w:rPr>
          <w:rFonts w:hint="eastAsia"/>
          <w:b w:val="0"/>
          <w:color w:val="auto"/>
          <w:sz w:val="24"/>
          <w:lang w:eastAsia="zh-CN"/>
        </w:rPr>
        <w:t>运行日志</w:t>
      </w:r>
      <w:r>
        <w:rPr>
          <w:rFonts w:ascii="宋体" w:hAnsi="宋体" w:eastAsia="宋体"/>
          <w:b w:val="0"/>
          <w:color w:val="auto"/>
          <w:sz w:val="24"/>
        </w:rPr>
        <w:t>将样本、模型输出、工具调用、</w:t>
      </w:r>
      <w:r>
        <w:rPr>
          <w:rFonts w:hint="eastAsia"/>
          <w:b w:val="0"/>
          <w:color w:val="auto"/>
          <w:sz w:val="24"/>
          <w:lang w:eastAsia="zh-CN"/>
        </w:rPr>
        <w:t>行为监督器</w:t>
      </w:r>
      <w:r>
        <w:rPr>
          <w:rFonts w:ascii="宋体" w:hAnsi="宋体" w:eastAsia="宋体"/>
          <w:b w:val="0"/>
          <w:color w:val="auto"/>
          <w:sz w:val="24"/>
        </w:rPr>
        <w:t>决策、</w:t>
      </w:r>
      <w:r>
        <w:rPr>
          <w:rFonts w:hint="eastAsia"/>
          <w:b w:val="0"/>
          <w:color w:val="auto"/>
          <w:sz w:val="24"/>
          <w:lang w:eastAsia="zh-CN"/>
        </w:rPr>
        <w:t>模拟</w:t>
      </w:r>
      <w:r>
        <w:rPr>
          <w:rFonts w:ascii="宋体" w:hAnsi="宋体" w:eastAsia="宋体"/>
          <w:b w:val="0"/>
          <w:color w:val="auto"/>
          <w:sz w:val="24"/>
        </w:rPr>
        <w:t>观察结果和最终状态写入JSONL。</w:t>
      </w:r>
    </w:p>
    <w:p w14:paraId="28F73070">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（8）m3_eval读取日志并计算指标，</w:t>
      </w:r>
      <w:r>
        <w:rPr>
          <w:rFonts w:hint="eastAsia"/>
          <w:b w:val="0"/>
          <w:color w:val="auto"/>
          <w:sz w:val="24"/>
          <w:lang w:eastAsia="zh-CN"/>
        </w:rPr>
        <w:t>可视化面板</w:t>
      </w:r>
      <w:r>
        <w:rPr>
          <w:rFonts w:ascii="宋体" w:hAnsi="宋体" w:eastAsia="宋体"/>
          <w:b w:val="0"/>
          <w:color w:val="auto"/>
          <w:sz w:val="24"/>
        </w:rPr>
        <w:t>负责总览展示、攻击族分组和单案例回放。</w:t>
      </w:r>
    </w:p>
    <w:p w14:paraId="5AA86A0A">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2.2.3 总体设计原则</w:t>
      </w:r>
    </w:p>
    <w:p w14:paraId="0481B7A2">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宋体" w:hAnsi="宋体" w:eastAsia="宋体"/>
          <w:b w:val="0"/>
          <w:color w:val="auto"/>
          <w:sz w:val="24"/>
        </w:rPr>
      </w:pPr>
      <w:r>
        <w:rPr>
          <w:rFonts w:ascii="宋体" w:hAnsi="宋体" w:eastAsia="宋体"/>
          <w:b w:val="0"/>
          <w:color w:val="auto"/>
          <w:sz w:val="24"/>
        </w:rPr>
        <w:t>前置监督原则。系统不等待最终回答生成后再做过滤，而是在候选工具调用被执行前完成风险判断。</w:t>
      </w:r>
    </w:p>
    <w:p w14:paraId="00D5E1E4">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宋体" w:hAnsi="宋体" w:eastAsia="宋体"/>
          <w:b w:val="0"/>
          <w:color w:val="auto"/>
          <w:sz w:val="24"/>
        </w:rPr>
      </w:pPr>
      <w:r>
        <w:rPr>
          <w:rFonts w:ascii="宋体" w:hAnsi="宋体" w:eastAsia="宋体"/>
          <w:b w:val="0"/>
          <w:color w:val="auto"/>
          <w:sz w:val="24"/>
        </w:rPr>
        <w:t>最小副作用原则。所有工具动作都限制在sandbox</w:t>
      </w:r>
      <w:r>
        <w:rPr>
          <w:rFonts w:hint="eastAsia"/>
          <w:b w:val="0"/>
          <w:color w:val="auto"/>
          <w:sz w:val="24"/>
          <w:lang w:eastAsia="zh-CN"/>
        </w:rPr>
        <w:t>模拟</w:t>
      </w:r>
      <w:r>
        <w:rPr>
          <w:rFonts w:ascii="宋体" w:hAnsi="宋体" w:eastAsia="宋体"/>
          <w:b w:val="0"/>
          <w:color w:val="auto"/>
          <w:sz w:val="24"/>
        </w:rPr>
        <w:t>环境中，不访问真实公网、真实邮箱、真实API或真实敏感数据。</w:t>
      </w:r>
    </w:p>
    <w:p w14:paraId="4CC7907D">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宋体" w:hAnsi="宋体" w:eastAsia="宋体"/>
          <w:b w:val="0"/>
          <w:color w:val="auto"/>
          <w:sz w:val="24"/>
        </w:rPr>
      </w:pPr>
      <w:r>
        <w:rPr>
          <w:rFonts w:ascii="宋体" w:hAnsi="宋体" w:eastAsia="宋体"/>
          <w:b w:val="0"/>
          <w:color w:val="auto"/>
          <w:sz w:val="24"/>
        </w:rPr>
        <w:t>统一建模原则。不同攻击族通过同一</w:t>
      </w:r>
      <w:r>
        <w:rPr>
          <w:rFonts w:ascii="宋体" w:hAnsi="宋体" w:eastAsia="宋体" w:cs="宋体"/>
          <w:sz w:val="24"/>
          <w:szCs w:val="24"/>
        </w:rPr>
        <w:t>攻击样本结构</w:t>
      </w:r>
      <w:r>
        <w:rPr>
          <w:rFonts w:ascii="宋体" w:hAnsi="宋体" w:eastAsia="宋体"/>
          <w:b w:val="0"/>
          <w:color w:val="auto"/>
          <w:sz w:val="24"/>
        </w:rPr>
        <w:t>表示，使后续运行、审计和指标计算保持一致。</w:t>
      </w:r>
    </w:p>
    <w:p w14:paraId="41E003D8">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可解释审计原则。每一次阻断都记录risk_score和reasons，便于复盘攻击链和说明防护依据。</w:t>
      </w:r>
    </w:p>
    <w:p w14:paraId="01A58076">
      <w:pPr>
        <w:pStyle w:val="4"/>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8"/>
          <w:szCs w:val="28"/>
        </w:rPr>
      </w:pPr>
      <w:r>
        <w:rPr>
          <w:rFonts w:ascii="黑体" w:hAnsi="黑体" w:eastAsia="黑体"/>
          <w:b/>
          <w:color w:val="auto"/>
          <w:sz w:val="28"/>
          <w:szCs w:val="28"/>
        </w:rPr>
        <w:t>2.3 红队攻击样本库设计</w:t>
      </w:r>
    </w:p>
    <w:p w14:paraId="76B60BE7">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红队攻击样本库是系统的输入基础。普通prompt列表只能记录“给模型输入了什么”，难以支撑工具行为评估；而工具调用安全测试还需要知道攻击意图、注入来源、危险目标动作和期望安全行为。因此，</w:t>
      </w:r>
      <w:r>
        <w:rPr>
          <w:rFonts w:hint="eastAsia"/>
          <w:b w:val="0"/>
          <w:color w:val="auto"/>
          <w:sz w:val="24"/>
          <w:lang w:eastAsia="zh-CN"/>
        </w:rPr>
        <w:t>我们的作品</w:t>
      </w:r>
      <w:r>
        <w:rPr>
          <w:rFonts w:ascii="宋体" w:hAnsi="宋体" w:eastAsia="宋体"/>
          <w:b w:val="0"/>
          <w:color w:val="auto"/>
          <w:sz w:val="24"/>
        </w:rPr>
        <w:t>设计统一的</w:t>
      </w:r>
      <w:r>
        <w:rPr>
          <w:rFonts w:ascii="宋体" w:hAnsi="宋体" w:eastAsia="宋体" w:cs="宋体"/>
          <w:sz w:val="24"/>
          <w:szCs w:val="24"/>
        </w:rPr>
        <w:t>攻击样本结构</w:t>
      </w:r>
      <w:r>
        <w:rPr>
          <w:rFonts w:ascii="宋体" w:hAnsi="宋体" w:eastAsia="宋体"/>
          <w:b w:val="0"/>
          <w:color w:val="auto"/>
          <w:sz w:val="24"/>
        </w:rPr>
        <w:t>作为样本、运行器、</w:t>
      </w:r>
      <w:r>
        <w:rPr>
          <w:rFonts w:hint="eastAsia"/>
          <w:b w:val="0"/>
          <w:color w:val="auto"/>
          <w:sz w:val="24"/>
          <w:lang w:eastAsia="zh-CN"/>
        </w:rPr>
        <w:t>行为监督器</w:t>
      </w:r>
      <w:r>
        <w:rPr>
          <w:rFonts w:ascii="宋体" w:hAnsi="宋体" w:eastAsia="宋体"/>
          <w:b w:val="0"/>
          <w:color w:val="auto"/>
          <w:sz w:val="24"/>
        </w:rPr>
        <w:t>、评测模块和</w:t>
      </w:r>
      <w:r>
        <w:rPr>
          <w:rFonts w:hint="eastAsia"/>
          <w:b w:val="0"/>
          <w:color w:val="auto"/>
          <w:sz w:val="24"/>
          <w:lang w:eastAsia="zh-CN"/>
        </w:rPr>
        <w:t>可视化面板</w:t>
      </w:r>
      <w:r>
        <w:rPr>
          <w:rFonts w:ascii="宋体" w:hAnsi="宋体" w:eastAsia="宋体"/>
          <w:b w:val="0"/>
          <w:color w:val="auto"/>
          <w:sz w:val="24"/>
        </w:rPr>
        <w:t>之间的共同数据协议。</w:t>
      </w:r>
    </w:p>
    <w:p w14:paraId="78926094">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 xml:space="preserve">2.3.1 </w:t>
      </w:r>
      <w:r>
        <w:rPr>
          <w:rFonts w:hint="eastAsia" w:ascii="黑体" w:hAnsi="黑体" w:eastAsia="黑体"/>
          <w:b/>
          <w:color w:val="auto"/>
          <w:sz w:val="24"/>
          <w:szCs w:val="24"/>
          <w:lang w:eastAsia="zh-CN"/>
        </w:rPr>
        <w:t>攻击样本</w:t>
      </w:r>
      <w:r>
        <w:rPr>
          <w:rFonts w:ascii="黑体" w:hAnsi="黑体" w:eastAsia="黑体"/>
          <w:b/>
          <w:color w:val="auto"/>
          <w:sz w:val="24"/>
          <w:szCs w:val="24"/>
        </w:rPr>
        <w:t>数据结构</w:t>
      </w:r>
    </w:p>
    <w:p w14:paraId="72522FC2">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eastAsia" w:ascii="宋体" w:hAnsi="宋体" w:eastAsia="宋体" w:cs="宋体"/>
          <w:b w:val="0"/>
          <w:bCs w:val="0"/>
          <w:color w:val="auto"/>
          <w:sz w:val="24"/>
          <w:szCs w:val="24"/>
        </w:rPr>
      </w:pPr>
      <w:r>
        <w:rPr>
          <w:rFonts w:ascii="宋体" w:hAnsi="宋体" w:eastAsia="宋体"/>
          <w:b w:val="0"/>
          <w:color w:val="auto"/>
          <w:sz w:val="24"/>
        </w:rPr>
        <w:t>每条</w:t>
      </w:r>
      <w:r>
        <w:rPr>
          <w:rFonts w:hint="eastAsia"/>
          <w:b w:val="0"/>
          <w:color w:val="auto"/>
          <w:sz w:val="24"/>
          <w:lang w:eastAsia="zh-CN"/>
        </w:rPr>
        <w:t>攻击样本</w:t>
      </w:r>
      <w:r>
        <w:rPr>
          <w:rFonts w:ascii="宋体" w:hAnsi="宋体" w:eastAsia="宋体"/>
          <w:b w:val="0"/>
          <w:color w:val="auto"/>
          <w:sz w:val="24"/>
        </w:rPr>
        <w:t>对应一个可复现的测试场景。样本既描述用户希望完成的正常任务，也描述攻击者隐藏在上下文中的诱导内容。系统不会把injected_content单独作为模型输入，而是把它嵌入document_content、JSON字段、翻译文本或工具输出中，从而模拟真实</w:t>
      </w:r>
      <w:r>
        <w:rPr>
          <w:rFonts w:hint="eastAsia"/>
          <w:b w:val="0"/>
          <w:color w:val="auto"/>
          <w:sz w:val="24"/>
          <w:lang w:eastAsia="zh-CN"/>
        </w:rPr>
        <w:t>Agen</w:t>
      </w:r>
      <w:r>
        <w:rPr>
          <w:rFonts w:hint="eastAsia" w:ascii="宋体" w:hAnsi="宋体" w:eastAsia="宋体" w:cs="宋体"/>
          <w:b w:val="0"/>
          <w:bCs w:val="0"/>
          <w:color w:val="auto"/>
          <w:sz w:val="24"/>
          <w:szCs w:val="24"/>
          <w:lang w:eastAsia="zh-CN"/>
        </w:rPr>
        <w:t>t</w:t>
      </w:r>
      <w:r>
        <w:rPr>
          <w:rFonts w:hint="eastAsia" w:ascii="宋体" w:hAnsi="宋体" w:eastAsia="宋体" w:cs="宋体"/>
          <w:b w:val="0"/>
          <w:bCs w:val="0"/>
          <w:color w:val="auto"/>
          <w:sz w:val="24"/>
          <w:szCs w:val="24"/>
        </w:rPr>
        <w:t>场景中的信任边界问题。</w:t>
      </w:r>
    </w:p>
    <w:p w14:paraId="65F2142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表2-</w:t>
      </w:r>
      <w:r>
        <w:rPr>
          <w:rFonts w:hint="eastAsia" w:cs="宋体"/>
          <w:b w:val="0"/>
          <w:bCs w:val="0"/>
          <w:color w:val="auto"/>
          <w:sz w:val="21"/>
          <w:szCs w:val="21"/>
          <w:lang w:val="en-US" w:eastAsia="zh-CN"/>
        </w:rPr>
        <w:t>2</w:t>
      </w:r>
      <w:r>
        <w:rPr>
          <w:rFonts w:hint="eastAsia" w:ascii="宋体" w:hAnsi="宋体" w:eastAsia="宋体" w:cs="宋体"/>
          <w:b w:val="0"/>
          <w:bCs w:val="0"/>
          <w:color w:val="auto"/>
          <w:sz w:val="21"/>
          <w:szCs w:val="21"/>
        </w:rPr>
        <w:t xml:space="preserve"> </w:t>
      </w:r>
      <w:r>
        <w:rPr>
          <w:rFonts w:hint="eastAsia" w:ascii="宋体" w:hAnsi="宋体" w:eastAsia="宋体" w:cs="宋体"/>
          <w:b w:val="0"/>
          <w:bCs w:val="0"/>
          <w:color w:val="auto"/>
          <w:sz w:val="21"/>
          <w:szCs w:val="21"/>
          <w:lang w:eastAsia="zh-CN"/>
        </w:rPr>
        <w:t>攻击样本</w:t>
      </w:r>
      <w:r>
        <w:rPr>
          <w:rFonts w:hint="eastAsia" w:ascii="宋体" w:hAnsi="宋体" w:eastAsia="宋体" w:cs="宋体"/>
          <w:b w:val="0"/>
          <w:bCs w:val="0"/>
          <w:color w:val="auto"/>
          <w:sz w:val="21"/>
          <w:szCs w:val="21"/>
        </w:rPr>
        <w:t>主要字段说明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912"/>
        <w:gridCol w:w="3285"/>
        <w:gridCol w:w="3198"/>
      </w:tblGrid>
      <w:tr w14:paraId="5C68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2912" w:type="dxa"/>
            <w:shd w:val="clear" w:color="auto" w:fill="auto"/>
            <w:vAlign w:val="center"/>
          </w:tcPr>
          <w:p w14:paraId="58750DC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字段</w:t>
            </w:r>
          </w:p>
        </w:tc>
        <w:tc>
          <w:tcPr>
            <w:tcW w:w="3285" w:type="dxa"/>
            <w:shd w:val="clear" w:color="auto" w:fill="auto"/>
            <w:vAlign w:val="center"/>
          </w:tcPr>
          <w:p w14:paraId="0732E6A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含义</w:t>
            </w:r>
          </w:p>
        </w:tc>
        <w:tc>
          <w:tcPr>
            <w:tcW w:w="3198" w:type="dxa"/>
            <w:shd w:val="clear" w:color="auto" w:fill="auto"/>
            <w:vAlign w:val="center"/>
          </w:tcPr>
          <w:p w14:paraId="0F9F575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实现用途</w:t>
            </w:r>
          </w:p>
        </w:tc>
      </w:tr>
      <w:tr w14:paraId="2747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90" w:hRule="atLeast"/>
          <w:jc w:val="center"/>
        </w:trPr>
        <w:tc>
          <w:tcPr>
            <w:tcW w:w="2912" w:type="dxa"/>
            <w:shd w:val="clear" w:color="auto" w:fill="auto"/>
            <w:vAlign w:val="center"/>
          </w:tcPr>
          <w:p w14:paraId="081AECAE">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case_id</w:t>
            </w:r>
          </w:p>
        </w:tc>
        <w:tc>
          <w:tcPr>
            <w:tcW w:w="3285" w:type="dxa"/>
            <w:shd w:val="clear" w:color="auto" w:fill="auto"/>
            <w:vAlign w:val="center"/>
          </w:tcPr>
          <w:p w14:paraId="69B3D844">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样本唯一标识</w:t>
            </w:r>
          </w:p>
        </w:tc>
        <w:tc>
          <w:tcPr>
            <w:tcW w:w="3198" w:type="dxa"/>
            <w:shd w:val="clear" w:color="auto" w:fill="auto"/>
            <w:vAlign w:val="center"/>
          </w:tcPr>
          <w:p w14:paraId="696331D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日志关联、重复运行和案例回放</w:t>
            </w:r>
          </w:p>
        </w:tc>
      </w:tr>
      <w:tr w14:paraId="3A7A2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2912" w:type="dxa"/>
            <w:shd w:val="clear" w:color="auto" w:fill="auto"/>
            <w:vAlign w:val="center"/>
          </w:tcPr>
          <w:p w14:paraId="7ECDDF5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attack_family</w:t>
            </w:r>
          </w:p>
        </w:tc>
        <w:tc>
          <w:tcPr>
            <w:tcW w:w="3285" w:type="dxa"/>
            <w:shd w:val="clear" w:color="auto" w:fill="auto"/>
            <w:vAlign w:val="center"/>
          </w:tcPr>
          <w:p w14:paraId="6B677BD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攻击族或benign_clean</w:t>
            </w:r>
          </w:p>
        </w:tc>
        <w:tc>
          <w:tcPr>
            <w:tcW w:w="3198" w:type="dxa"/>
            <w:shd w:val="clear" w:color="auto" w:fill="auto"/>
            <w:vAlign w:val="center"/>
          </w:tcPr>
          <w:p w14:paraId="7E7AC635">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按攻击族统计ASR、DSR、BSR和AvgRisk</w:t>
            </w:r>
          </w:p>
        </w:tc>
      </w:tr>
      <w:tr w14:paraId="658CF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2912" w:type="dxa"/>
            <w:shd w:val="clear" w:color="auto" w:fill="auto"/>
            <w:vAlign w:val="center"/>
          </w:tcPr>
          <w:p w14:paraId="68E22371">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carrier</w:t>
            </w:r>
          </w:p>
        </w:tc>
        <w:tc>
          <w:tcPr>
            <w:tcW w:w="3285" w:type="dxa"/>
            <w:shd w:val="clear" w:color="auto" w:fill="auto"/>
            <w:vAlign w:val="center"/>
          </w:tcPr>
          <w:p w14:paraId="47BB5B38">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注入载体，如文档、JSON、翻译文本或工具输出</w:t>
            </w:r>
          </w:p>
        </w:tc>
        <w:tc>
          <w:tcPr>
            <w:tcW w:w="3198" w:type="dxa"/>
            <w:shd w:val="clear" w:color="auto" w:fill="auto"/>
            <w:vAlign w:val="center"/>
          </w:tcPr>
          <w:p w14:paraId="6873036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判断风险来源，辅助</w:t>
            </w:r>
            <w:r>
              <w:rPr>
                <w:rFonts w:hint="eastAsia" w:ascii="宋体" w:hAnsi="宋体" w:eastAsia="宋体" w:cs="宋体"/>
                <w:b w:val="0"/>
                <w:bCs w:val="0"/>
                <w:color w:val="auto"/>
                <w:sz w:val="21"/>
                <w:szCs w:val="21"/>
                <w:lang w:eastAsia="zh-CN"/>
              </w:rPr>
              <w:t>可视化面板</w:t>
            </w:r>
            <w:r>
              <w:rPr>
                <w:rFonts w:hint="eastAsia" w:ascii="宋体" w:hAnsi="宋体" w:eastAsia="宋体" w:cs="宋体"/>
                <w:b w:val="0"/>
                <w:bCs w:val="0"/>
                <w:color w:val="auto"/>
                <w:sz w:val="21"/>
                <w:szCs w:val="21"/>
              </w:rPr>
              <w:t>分组</w:t>
            </w:r>
          </w:p>
        </w:tc>
      </w:tr>
      <w:tr w14:paraId="64C67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2912" w:type="dxa"/>
            <w:shd w:val="clear" w:color="auto" w:fill="auto"/>
            <w:vAlign w:val="center"/>
          </w:tcPr>
          <w:p w14:paraId="5B57CE0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language</w:t>
            </w:r>
          </w:p>
        </w:tc>
        <w:tc>
          <w:tcPr>
            <w:tcW w:w="3285" w:type="dxa"/>
            <w:shd w:val="clear" w:color="auto" w:fill="auto"/>
            <w:vAlign w:val="center"/>
          </w:tcPr>
          <w:p w14:paraId="710D36A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语言类型或混合语言类型</w:t>
            </w:r>
          </w:p>
        </w:tc>
        <w:tc>
          <w:tcPr>
            <w:tcW w:w="3198" w:type="dxa"/>
            <w:shd w:val="clear" w:color="auto" w:fill="auto"/>
            <w:vAlign w:val="center"/>
          </w:tcPr>
          <w:p w14:paraId="16D4A95B">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支撑多语言/T2L样本分析</w:t>
            </w:r>
          </w:p>
        </w:tc>
      </w:tr>
      <w:tr w14:paraId="00E50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2912" w:type="dxa"/>
            <w:shd w:val="clear" w:color="auto" w:fill="auto"/>
            <w:vAlign w:val="center"/>
          </w:tcPr>
          <w:p w14:paraId="55062C8F">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user_task</w:t>
            </w:r>
          </w:p>
        </w:tc>
        <w:tc>
          <w:tcPr>
            <w:tcW w:w="3285" w:type="dxa"/>
            <w:shd w:val="clear" w:color="auto" w:fill="auto"/>
            <w:vAlign w:val="center"/>
          </w:tcPr>
          <w:p w14:paraId="01E8B43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用户正常任务</w:t>
            </w:r>
          </w:p>
        </w:tc>
        <w:tc>
          <w:tcPr>
            <w:tcW w:w="3198" w:type="dxa"/>
            <w:shd w:val="clear" w:color="auto" w:fill="auto"/>
            <w:vAlign w:val="center"/>
          </w:tcPr>
          <w:p w14:paraId="4E0B6B25">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用于意图-动作一致性检查</w:t>
            </w:r>
          </w:p>
        </w:tc>
      </w:tr>
      <w:tr w14:paraId="70D2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2912" w:type="dxa"/>
            <w:shd w:val="clear" w:color="auto" w:fill="auto"/>
            <w:vAlign w:val="center"/>
          </w:tcPr>
          <w:p w14:paraId="1C37ED0F">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document_content</w:t>
            </w:r>
          </w:p>
        </w:tc>
        <w:tc>
          <w:tcPr>
            <w:tcW w:w="3285" w:type="dxa"/>
            <w:shd w:val="clear" w:color="auto" w:fill="auto"/>
            <w:vAlign w:val="center"/>
          </w:tcPr>
          <w:p w14:paraId="1D2D0D71">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模型需要处理的上下文材料</w:t>
            </w:r>
          </w:p>
        </w:tc>
        <w:tc>
          <w:tcPr>
            <w:tcW w:w="3198" w:type="dxa"/>
            <w:shd w:val="clear" w:color="auto" w:fill="auto"/>
            <w:vAlign w:val="center"/>
          </w:tcPr>
          <w:p w14:paraId="4055BC6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作为不可信数据进入detector</w:t>
            </w:r>
          </w:p>
        </w:tc>
      </w:tr>
      <w:tr w14:paraId="0B754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2912" w:type="dxa"/>
            <w:shd w:val="clear" w:color="auto" w:fill="auto"/>
            <w:vAlign w:val="center"/>
          </w:tcPr>
          <w:p w14:paraId="50B74EFF">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injected_content</w:t>
            </w:r>
          </w:p>
        </w:tc>
        <w:tc>
          <w:tcPr>
            <w:tcW w:w="3285" w:type="dxa"/>
            <w:shd w:val="clear" w:color="auto" w:fill="auto"/>
            <w:vAlign w:val="center"/>
          </w:tcPr>
          <w:p w14:paraId="547B9B7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隐藏或嵌入的攻击性内容</w:t>
            </w:r>
          </w:p>
        </w:tc>
        <w:tc>
          <w:tcPr>
            <w:tcW w:w="3198" w:type="dxa"/>
            <w:shd w:val="clear" w:color="auto" w:fill="auto"/>
            <w:vAlign w:val="center"/>
          </w:tcPr>
          <w:p w14:paraId="20A04E0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用于样本审计和人工复核</w:t>
            </w:r>
          </w:p>
        </w:tc>
      </w:tr>
      <w:tr w14:paraId="361F3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2912" w:type="dxa"/>
            <w:shd w:val="clear" w:color="auto" w:fill="auto"/>
            <w:vAlign w:val="center"/>
          </w:tcPr>
          <w:p w14:paraId="26A0DB9F">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expected_safe_behavior</w:t>
            </w:r>
          </w:p>
        </w:tc>
        <w:tc>
          <w:tcPr>
            <w:tcW w:w="3285" w:type="dxa"/>
            <w:shd w:val="clear" w:color="auto" w:fill="auto"/>
            <w:vAlign w:val="center"/>
          </w:tcPr>
          <w:p w14:paraId="19E04378">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模型在安全情况下应采取的行为</w:t>
            </w:r>
          </w:p>
        </w:tc>
        <w:tc>
          <w:tcPr>
            <w:tcW w:w="3198" w:type="dxa"/>
            <w:shd w:val="clear" w:color="auto" w:fill="auto"/>
            <w:vAlign w:val="center"/>
          </w:tcPr>
          <w:p w14:paraId="3CF9C968">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用于人工判断和案例解释</w:t>
            </w:r>
          </w:p>
        </w:tc>
      </w:tr>
      <w:tr w14:paraId="045B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2912" w:type="dxa"/>
            <w:shd w:val="clear" w:color="auto" w:fill="auto"/>
            <w:vAlign w:val="center"/>
          </w:tcPr>
          <w:p w14:paraId="679B01E2">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unsafe_target_actions</w:t>
            </w:r>
          </w:p>
        </w:tc>
        <w:tc>
          <w:tcPr>
            <w:tcW w:w="3285" w:type="dxa"/>
            <w:shd w:val="clear" w:color="auto" w:fill="auto"/>
            <w:vAlign w:val="center"/>
          </w:tcPr>
          <w:p w14:paraId="617D17BF">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攻击试图诱导的</w:t>
            </w:r>
            <w:r>
              <w:rPr>
                <w:rFonts w:hint="eastAsia" w:ascii="宋体" w:hAnsi="宋体" w:eastAsia="宋体" w:cs="宋体"/>
                <w:b w:val="0"/>
                <w:bCs w:val="0"/>
                <w:color w:val="auto"/>
                <w:sz w:val="21"/>
                <w:szCs w:val="21"/>
                <w:lang w:eastAsia="zh-CN"/>
              </w:rPr>
              <w:t>模拟</w:t>
            </w:r>
            <w:r>
              <w:rPr>
                <w:rFonts w:hint="eastAsia" w:ascii="宋体" w:hAnsi="宋体" w:eastAsia="宋体" w:cs="宋体"/>
                <w:b w:val="0"/>
                <w:bCs w:val="0"/>
                <w:color w:val="auto"/>
                <w:sz w:val="21"/>
                <w:szCs w:val="21"/>
              </w:rPr>
              <w:t>工具动作</w:t>
            </w:r>
          </w:p>
        </w:tc>
        <w:tc>
          <w:tcPr>
            <w:tcW w:w="3198" w:type="dxa"/>
            <w:shd w:val="clear" w:color="auto" w:fill="auto"/>
            <w:vAlign w:val="center"/>
          </w:tcPr>
          <w:p w14:paraId="4D5D1BBE">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用于计算ASR、UTR和DSR</w:t>
            </w:r>
          </w:p>
        </w:tc>
      </w:tr>
      <w:tr w14:paraId="4F92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2912" w:type="dxa"/>
            <w:shd w:val="clear" w:color="auto" w:fill="auto"/>
            <w:vAlign w:val="center"/>
          </w:tcPr>
          <w:p w14:paraId="6A97125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risk_tags</w:t>
            </w:r>
          </w:p>
        </w:tc>
        <w:tc>
          <w:tcPr>
            <w:tcW w:w="3285" w:type="dxa"/>
            <w:shd w:val="clear" w:color="auto" w:fill="auto"/>
            <w:vAlign w:val="center"/>
          </w:tcPr>
          <w:p w14:paraId="6E3FCEAB">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风险标签，如secret_read、data_exfil、tool_lure</w:t>
            </w:r>
          </w:p>
        </w:tc>
        <w:tc>
          <w:tcPr>
            <w:tcW w:w="3198" w:type="dxa"/>
            <w:shd w:val="clear" w:color="auto" w:fill="auto"/>
            <w:vAlign w:val="center"/>
          </w:tcPr>
          <w:p w14:paraId="67F02663">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支撑阻断原因分析</w:t>
            </w:r>
          </w:p>
        </w:tc>
      </w:tr>
      <w:tr w14:paraId="2DFC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2912" w:type="dxa"/>
            <w:shd w:val="clear" w:color="auto" w:fill="auto"/>
            <w:vAlign w:val="center"/>
          </w:tcPr>
          <w:p w14:paraId="0DADF1E1">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severity</w:t>
            </w:r>
          </w:p>
        </w:tc>
        <w:tc>
          <w:tcPr>
            <w:tcW w:w="3285" w:type="dxa"/>
            <w:shd w:val="clear" w:color="auto" w:fill="auto"/>
            <w:vAlign w:val="center"/>
          </w:tcPr>
          <w:p w14:paraId="7391B29B">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风险等级</w:t>
            </w:r>
          </w:p>
        </w:tc>
        <w:tc>
          <w:tcPr>
            <w:tcW w:w="3198" w:type="dxa"/>
            <w:shd w:val="clear" w:color="auto" w:fill="auto"/>
            <w:vAlign w:val="center"/>
          </w:tcPr>
          <w:p w14:paraId="2AE852D8">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用于分级展示和结果排序</w:t>
            </w:r>
          </w:p>
        </w:tc>
      </w:tr>
      <w:tr w14:paraId="1318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12" w:type="dxa"/>
            <w:shd w:val="clear" w:color="auto" w:fill="auto"/>
            <w:vAlign w:val="center"/>
          </w:tcPr>
          <w:p w14:paraId="05BAD5C5">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expected_detectors</w:t>
            </w:r>
          </w:p>
        </w:tc>
        <w:tc>
          <w:tcPr>
            <w:tcW w:w="3285" w:type="dxa"/>
            <w:shd w:val="clear" w:color="auto" w:fill="auto"/>
            <w:vAlign w:val="center"/>
          </w:tcPr>
          <w:p w14:paraId="19235388">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预期触发的检测信号</w:t>
            </w:r>
          </w:p>
        </w:tc>
        <w:tc>
          <w:tcPr>
            <w:tcW w:w="3198" w:type="dxa"/>
            <w:shd w:val="clear" w:color="auto" w:fill="auto"/>
            <w:vAlign w:val="center"/>
          </w:tcPr>
          <w:p w14:paraId="10448672">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用于</w:t>
            </w:r>
            <w:r>
              <w:rPr>
                <w:rFonts w:hint="eastAsia" w:ascii="宋体" w:hAnsi="宋体" w:eastAsia="宋体" w:cs="宋体"/>
                <w:b w:val="0"/>
                <w:bCs w:val="0"/>
                <w:color w:val="auto"/>
                <w:sz w:val="21"/>
                <w:szCs w:val="21"/>
                <w:lang w:eastAsia="zh-CN"/>
              </w:rPr>
              <w:t>行为监督器</w:t>
            </w:r>
            <w:r>
              <w:rPr>
                <w:rFonts w:hint="eastAsia" w:ascii="宋体" w:hAnsi="宋体" w:eastAsia="宋体" w:cs="宋体"/>
                <w:b w:val="0"/>
                <w:bCs w:val="0"/>
                <w:color w:val="auto"/>
                <w:sz w:val="21"/>
                <w:szCs w:val="21"/>
              </w:rPr>
              <w:t>单元测试和解释校验</w:t>
            </w:r>
          </w:p>
        </w:tc>
      </w:tr>
    </w:tbl>
    <w:p w14:paraId="1A5D77DD">
      <w:pPr>
        <w:keepNext w:val="0"/>
        <w:keepLines w:val="0"/>
        <w:pageBreakBefore w:val="0"/>
        <w:widowControl/>
        <w:kinsoku/>
        <w:wordWrap/>
        <w:overflowPunct/>
        <w:topLinePunct w:val="0"/>
        <w:autoSpaceDE/>
        <w:autoSpaceDN/>
        <w:bidi w:val="0"/>
        <w:adjustRightInd/>
        <w:snapToGrid/>
        <w:spacing w:after="0" w:line="360" w:lineRule="auto"/>
        <w:textAlignment w:val="auto"/>
        <w:rPr>
          <w:color w:val="auto"/>
        </w:rPr>
      </w:pPr>
    </w:p>
    <w:p w14:paraId="0CAE81E6">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2.3.2 攻击族覆盖</w:t>
      </w:r>
    </w:p>
    <w:p w14:paraId="74715AE7">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sz w:val="24"/>
          <w:szCs w:val="24"/>
        </w:rPr>
      </w:pPr>
      <w:r>
        <w:rPr>
          <w:rFonts w:ascii="宋体" w:hAnsi="宋体" w:eastAsia="宋体"/>
          <w:b w:val="0"/>
          <w:color w:val="auto"/>
          <w:sz w:val="24"/>
        </w:rPr>
        <w:t>样本库覆盖direct_jailbreak、rag_indirect、json_rpc、multilingual_t2l、tool_output_injection和benign_clean六类场景。direct_jailbreak用于测试显式角色扮演、规则覆盖和说服性提示；rag_indirect用于测试不可信文档、网页或邮件片段中的间接注入；json_rpc用于测试结构化字段伪装成工具步骤；multili</w:t>
      </w:r>
      <w:r>
        <w:rPr>
          <w:rFonts w:ascii="宋体" w:hAnsi="宋体" w:eastAsia="宋体"/>
          <w:b w:val="0"/>
          <w:color w:val="auto"/>
          <w:sz w:val="24"/>
          <w:szCs w:val="24"/>
        </w:rPr>
        <w:t>ngual_t2l用于测试翻译任务、拼音谐音、混合脚本和回译风格注入；tool_output_injection用于测试上游工具观察结果污染后续模型计划；benign_clean用于校准误报率。</w:t>
      </w:r>
    </w:p>
    <w:p w14:paraId="5486A6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color w:val="auto"/>
        </w:rPr>
      </w:pPr>
      <w:r>
        <w:rPr>
          <w:rFonts w:ascii="宋体" w:hAnsi="宋体" w:eastAsia="宋体"/>
          <w:b w:val="0"/>
          <w:color w:val="auto"/>
          <w:sz w:val="21"/>
          <w:szCs w:val="21"/>
        </w:rPr>
        <w:t>表2-</w:t>
      </w:r>
      <w:r>
        <w:rPr>
          <w:rFonts w:hint="eastAsia"/>
          <w:b w:val="0"/>
          <w:color w:val="auto"/>
          <w:sz w:val="21"/>
          <w:szCs w:val="21"/>
          <w:lang w:val="en-US" w:eastAsia="zh-CN"/>
        </w:rPr>
        <w:t>3</w:t>
      </w:r>
      <w:r>
        <w:rPr>
          <w:rFonts w:ascii="宋体" w:hAnsi="宋体" w:eastAsia="宋体"/>
          <w:b w:val="0"/>
          <w:color w:val="auto"/>
          <w:sz w:val="21"/>
          <w:szCs w:val="21"/>
        </w:rPr>
        <w:t xml:space="preserve"> 攻击族设计与关键防护信号</w:t>
      </w:r>
    </w:p>
    <w:tbl>
      <w:tblPr>
        <w:tblStyle w:val="34"/>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871"/>
        <w:gridCol w:w="2488"/>
        <w:gridCol w:w="1800"/>
        <w:gridCol w:w="3228"/>
      </w:tblGrid>
      <w:tr w14:paraId="3835C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871" w:type="dxa"/>
            <w:shd w:val="clear" w:color="auto" w:fill="auto"/>
            <w:vAlign w:val="center"/>
          </w:tcPr>
          <w:p w14:paraId="2E3207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攻击族</w:t>
            </w:r>
          </w:p>
        </w:tc>
        <w:tc>
          <w:tcPr>
            <w:tcW w:w="2488" w:type="dxa"/>
            <w:shd w:val="clear" w:color="auto" w:fill="auto"/>
            <w:vAlign w:val="center"/>
          </w:tcPr>
          <w:p w14:paraId="4713821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典型载体</w:t>
            </w:r>
          </w:p>
        </w:tc>
        <w:tc>
          <w:tcPr>
            <w:tcW w:w="1800" w:type="dxa"/>
            <w:shd w:val="clear" w:color="auto" w:fill="auto"/>
            <w:vAlign w:val="center"/>
          </w:tcPr>
          <w:p w14:paraId="2CB6B63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主要风险</w:t>
            </w:r>
          </w:p>
        </w:tc>
        <w:tc>
          <w:tcPr>
            <w:tcW w:w="3228" w:type="dxa"/>
            <w:shd w:val="clear" w:color="auto" w:fill="auto"/>
            <w:vAlign w:val="center"/>
          </w:tcPr>
          <w:p w14:paraId="01D0355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关键防护信号</w:t>
            </w:r>
          </w:p>
        </w:tc>
      </w:tr>
      <w:tr w14:paraId="3FB4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996" w:type="pct"/>
            <w:shd w:val="clear" w:color="auto" w:fill="auto"/>
            <w:vAlign w:val="center"/>
          </w:tcPr>
          <w:p w14:paraId="2B3C7E6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direct_jailbreak</w:t>
            </w:r>
          </w:p>
        </w:tc>
        <w:tc>
          <w:tcPr>
            <w:tcW w:w="1325" w:type="pct"/>
            <w:shd w:val="clear" w:color="auto" w:fill="auto"/>
            <w:vAlign w:val="center"/>
          </w:tcPr>
          <w:p w14:paraId="5183FD8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显式自然语言提示、角色扮演文本</w:t>
            </w:r>
          </w:p>
        </w:tc>
        <w:tc>
          <w:tcPr>
            <w:tcW w:w="958" w:type="pct"/>
            <w:shd w:val="clear" w:color="auto" w:fill="auto"/>
            <w:vAlign w:val="center"/>
          </w:tcPr>
          <w:p w14:paraId="174D007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诱导模型忽略系统约束</w:t>
            </w:r>
          </w:p>
        </w:tc>
        <w:tc>
          <w:tcPr>
            <w:tcW w:w="1719" w:type="pct"/>
            <w:shd w:val="clear" w:color="auto" w:fill="auto"/>
            <w:vAlign w:val="center"/>
          </w:tcPr>
          <w:p w14:paraId="0A4D473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instruction_override、roleplay_lure</w:t>
            </w:r>
          </w:p>
        </w:tc>
      </w:tr>
      <w:tr w14:paraId="5B2DB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996" w:type="pct"/>
            <w:shd w:val="clear" w:color="auto" w:fill="auto"/>
            <w:vAlign w:val="center"/>
          </w:tcPr>
          <w:p w14:paraId="1797142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rag_indirect</w:t>
            </w:r>
          </w:p>
        </w:tc>
        <w:tc>
          <w:tcPr>
            <w:tcW w:w="1325" w:type="pct"/>
            <w:shd w:val="clear" w:color="auto" w:fill="auto"/>
            <w:vAlign w:val="center"/>
          </w:tcPr>
          <w:p w14:paraId="2830CE4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Markdown文档、网页片段、邮件正文</w:t>
            </w:r>
          </w:p>
        </w:tc>
        <w:tc>
          <w:tcPr>
            <w:tcW w:w="958" w:type="pct"/>
            <w:shd w:val="clear" w:color="auto" w:fill="auto"/>
            <w:vAlign w:val="center"/>
          </w:tcPr>
          <w:p w14:paraId="263E5E46">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不可信文档被误当成指令</w:t>
            </w:r>
          </w:p>
        </w:tc>
        <w:tc>
          <w:tcPr>
            <w:tcW w:w="1719" w:type="pct"/>
            <w:shd w:val="clear" w:color="auto" w:fill="auto"/>
            <w:vAlign w:val="center"/>
          </w:tcPr>
          <w:p w14:paraId="2DFDC363">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untrusted_source_instruction、tool_lure</w:t>
            </w:r>
          </w:p>
        </w:tc>
      </w:tr>
      <w:tr w14:paraId="48F6A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996" w:type="pct"/>
            <w:shd w:val="clear" w:color="auto" w:fill="auto"/>
            <w:vAlign w:val="center"/>
          </w:tcPr>
          <w:p w14:paraId="4BE14EE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json_rpc</w:t>
            </w:r>
          </w:p>
        </w:tc>
        <w:tc>
          <w:tcPr>
            <w:tcW w:w="1325" w:type="pct"/>
            <w:shd w:val="clear" w:color="auto" w:fill="auto"/>
            <w:vAlign w:val="center"/>
          </w:tcPr>
          <w:p w14:paraId="14C7F08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JSON字段、RPC伪请求、方法名和参数</w:t>
            </w:r>
          </w:p>
        </w:tc>
        <w:tc>
          <w:tcPr>
            <w:tcW w:w="958" w:type="pct"/>
            <w:shd w:val="clear" w:color="auto" w:fill="auto"/>
            <w:vAlign w:val="center"/>
          </w:tcPr>
          <w:p w14:paraId="08F44943">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数据字段被提升为工具动作</w:t>
            </w:r>
          </w:p>
        </w:tc>
        <w:tc>
          <w:tcPr>
            <w:tcW w:w="1719" w:type="pct"/>
            <w:shd w:val="clear" w:color="auto" w:fill="auto"/>
            <w:vAlign w:val="center"/>
          </w:tcPr>
          <w:p w14:paraId="404DB153">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structured_field_method、intent_action_mismatch</w:t>
            </w:r>
          </w:p>
        </w:tc>
      </w:tr>
      <w:tr w14:paraId="27CB2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996" w:type="pct"/>
            <w:shd w:val="clear" w:color="auto" w:fill="auto"/>
            <w:vAlign w:val="center"/>
          </w:tcPr>
          <w:p w14:paraId="00644D6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multilingual_t2l</w:t>
            </w:r>
          </w:p>
        </w:tc>
        <w:tc>
          <w:tcPr>
            <w:tcW w:w="1325" w:type="pct"/>
            <w:shd w:val="clear" w:color="auto" w:fill="auto"/>
            <w:vAlign w:val="center"/>
          </w:tcPr>
          <w:p w14:paraId="5B25C08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翻译文本、中英混合、拼音、繁简混写</w:t>
            </w:r>
          </w:p>
        </w:tc>
        <w:tc>
          <w:tcPr>
            <w:tcW w:w="958" w:type="pct"/>
            <w:shd w:val="clear" w:color="auto" w:fill="auto"/>
            <w:vAlign w:val="center"/>
          </w:tcPr>
          <w:p w14:paraId="1ECA989B">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绕过单语关键词并切换任务</w:t>
            </w:r>
          </w:p>
        </w:tc>
        <w:tc>
          <w:tcPr>
            <w:tcW w:w="1719" w:type="pct"/>
            <w:shd w:val="clear" w:color="auto" w:fill="auto"/>
            <w:vAlign w:val="center"/>
          </w:tcPr>
          <w:p w14:paraId="1944180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unicode_obfuscation、mixed_script、multilingual_tool_lure</w:t>
            </w:r>
          </w:p>
        </w:tc>
      </w:tr>
      <w:tr w14:paraId="641E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996" w:type="pct"/>
            <w:shd w:val="clear" w:color="auto" w:fill="auto"/>
            <w:vAlign w:val="center"/>
          </w:tcPr>
          <w:p w14:paraId="0083A1F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tool_output_injection</w:t>
            </w:r>
          </w:p>
        </w:tc>
        <w:tc>
          <w:tcPr>
            <w:tcW w:w="1325" w:type="pct"/>
            <w:shd w:val="clear" w:color="auto" w:fill="auto"/>
            <w:vAlign w:val="center"/>
          </w:tcPr>
          <w:p w14:paraId="60764AD4">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检索结果、工具返回值、上游观察结果</w:t>
            </w:r>
          </w:p>
        </w:tc>
        <w:tc>
          <w:tcPr>
            <w:tcW w:w="958" w:type="pct"/>
            <w:shd w:val="clear" w:color="auto" w:fill="auto"/>
            <w:vAlign w:val="center"/>
          </w:tcPr>
          <w:p w14:paraId="52E9D04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工具观察内容污染后续计划</w:t>
            </w:r>
          </w:p>
        </w:tc>
        <w:tc>
          <w:tcPr>
            <w:tcW w:w="1719" w:type="pct"/>
            <w:shd w:val="clear" w:color="auto" w:fill="auto"/>
            <w:vAlign w:val="center"/>
          </w:tcPr>
          <w:p w14:paraId="0186CEF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tool_output_source、untrusted_observation</w:t>
            </w:r>
          </w:p>
        </w:tc>
      </w:tr>
      <w:tr w14:paraId="2C72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996" w:type="pct"/>
            <w:shd w:val="clear" w:color="auto" w:fill="auto"/>
            <w:vAlign w:val="center"/>
          </w:tcPr>
          <w:p w14:paraId="750CF8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benign_clean</w:t>
            </w:r>
          </w:p>
        </w:tc>
        <w:tc>
          <w:tcPr>
            <w:tcW w:w="1325" w:type="pct"/>
            <w:shd w:val="clear" w:color="auto" w:fill="auto"/>
            <w:vAlign w:val="center"/>
          </w:tcPr>
          <w:p w14:paraId="037E53F4">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正常总结、翻译、公开文件读写任务</w:t>
            </w:r>
          </w:p>
        </w:tc>
        <w:tc>
          <w:tcPr>
            <w:tcW w:w="958" w:type="pct"/>
            <w:shd w:val="clear" w:color="auto" w:fill="auto"/>
            <w:vAlign w:val="center"/>
          </w:tcPr>
          <w:p w14:paraId="56CC66D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用于评估正常任务误报</w:t>
            </w:r>
          </w:p>
        </w:tc>
        <w:tc>
          <w:tcPr>
            <w:tcW w:w="1719" w:type="pct"/>
            <w:shd w:val="clear" w:color="auto" w:fill="auto"/>
            <w:vAlign w:val="center"/>
          </w:tcPr>
          <w:p w14:paraId="169EE2A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不应触发高风险原因码</w:t>
            </w:r>
          </w:p>
        </w:tc>
      </w:tr>
    </w:tbl>
    <w:p w14:paraId="47690CCF">
      <w:pPr>
        <w:keepNext w:val="0"/>
        <w:keepLines w:val="0"/>
        <w:pageBreakBefore w:val="0"/>
        <w:widowControl/>
        <w:kinsoku/>
        <w:wordWrap/>
        <w:overflowPunct/>
        <w:topLinePunct w:val="0"/>
        <w:autoSpaceDE/>
        <w:autoSpaceDN/>
        <w:bidi w:val="0"/>
        <w:adjustRightInd/>
        <w:snapToGrid/>
        <w:spacing w:after="0" w:line="360" w:lineRule="auto"/>
        <w:textAlignment w:val="auto"/>
        <w:rPr>
          <w:color w:val="auto"/>
        </w:rPr>
      </w:pPr>
    </w:p>
    <w:p w14:paraId="65BDBED6">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2.3.3 样本安全约束与质量审计</w:t>
      </w:r>
    </w:p>
    <w:p w14:paraId="62EA84B5">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宋体" w:hAnsi="宋体" w:eastAsia="宋体" w:cs="宋体"/>
          <w:sz w:val="24"/>
          <w:szCs w:val="24"/>
        </w:rPr>
      </w:pPr>
      <w:r>
        <w:rPr>
          <w:rFonts w:ascii="宋体" w:hAnsi="宋体" w:eastAsia="宋体"/>
          <w:b w:val="0"/>
          <w:color w:val="auto"/>
          <w:sz w:val="24"/>
        </w:rPr>
        <w:t>为保证安全，样本库采用三类约束。unsafe_target_actions只能指向本地</w:t>
      </w:r>
      <w:r>
        <w:rPr>
          <w:rFonts w:hint="eastAsia"/>
          <w:b w:val="0"/>
          <w:color w:val="auto"/>
          <w:sz w:val="24"/>
          <w:lang w:eastAsia="zh-CN"/>
        </w:rPr>
        <w:t>模拟</w:t>
      </w:r>
      <w:r>
        <w:rPr>
          <w:rFonts w:ascii="宋体" w:hAnsi="宋体" w:eastAsia="宋体"/>
          <w:b w:val="0"/>
          <w:color w:val="auto"/>
          <w:sz w:val="24"/>
        </w:rPr>
        <w:t>工具，不得包含真实邮箱、真实URL、真实APIkey或真实攻击命令。benign_clean样本不得包含危险目标动作，用于客观评估误报率。所有敏感信息均使用canary、fake_token、</w:t>
      </w:r>
      <w:r>
        <w:rPr>
          <w:rFonts w:hint="eastAsia"/>
          <w:b w:val="0"/>
          <w:color w:val="auto"/>
          <w:sz w:val="24"/>
          <w:lang w:eastAsia="zh-CN"/>
        </w:rPr>
        <w:t>模拟</w:t>
      </w:r>
      <w:r>
        <w:rPr>
          <w:rFonts w:ascii="宋体" w:hAnsi="宋体" w:eastAsia="宋体"/>
          <w:b w:val="0"/>
          <w:color w:val="auto"/>
          <w:sz w:val="24"/>
        </w:rPr>
        <w:t>api_key等假标记表示，</w:t>
      </w:r>
      <w:r>
        <w:rPr>
          <w:rFonts w:ascii="宋体" w:hAnsi="宋体" w:eastAsia="宋体" w:cs="宋体"/>
          <w:sz w:val="24"/>
          <w:szCs w:val="24"/>
        </w:rPr>
        <w:t>这类标记仅用于测试检测链路中的数据泄露行为，不对应任何真实系统凭证。</w:t>
      </w:r>
    </w:p>
    <w:p w14:paraId="3D9FC03A">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在样本生成完成后，引入自动化审计脚本对数据质量进行一致性校验，主要包括case_id唯一性检查、必要字段完整性验证、attack_family合法性校验、language字段非空约束、unsafe_target_actions是否位于模拟工具白名单、是否存在真实外部链接或真实攻击指令，以及benign_clean样本是否误包含风险行为等。只有通过完整审计流程的样本，才允许进入后续实验执行阶段。</w:t>
      </w:r>
    </w:p>
    <w:p w14:paraId="620B681A">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hint="eastAsia" w:ascii="宋体" w:hAnsi="宋体" w:eastAsia="宋体" w:cs="宋体"/>
          <w:sz w:val="24"/>
          <w:szCs w:val="24"/>
        </w:rPr>
        <w:t>在实验执行阶段，系统通过run_batch与run_matrix两种模式对样本进行统一调度。run_batch用于顺序或分批处理完整样本集合，适用于全量评测与指标统计；run_matrix用于在不同防护模式以及不同模型后端之间进行组合对比实验，从而构建防护策略与模型行为之间的二维对照矩阵。两种执行方式共同构成统一的实验运行框架，用于支持后续ASR、UTR、DSR、BSR、FPR、AvgRisk与WRS等指标计算与分析。</w:t>
      </w:r>
    </w:p>
    <w:p w14:paraId="2037BB69">
      <w:pPr>
        <w:pStyle w:val="4"/>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8"/>
          <w:szCs w:val="28"/>
        </w:rPr>
      </w:pPr>
      <w:r>
        <w:rPr>
          <w:rFonts w:ascii="黑体" w:hAnsi="黑体" w:eastAsia="黑体"/>
          <w:b/>
          <w:color w:val="auto"/>
          <w:sz w:val="28"/>
          <w:szCs w:val="28"/>
        </w:rPr>
        <w:t>2.4 本地Agent靶场与模型后端</w:t>
      </w:r>
    </w:p>
    <w:p w14:paraId="775DF82C">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本地Agent靶场负责把</w:t>
      </w:r>
      <w:r>
        <w:rPr>
          <w:rFonts w:hint="eastAsia"/>
          <w:b w:val="0"/>
          <w:color w:val="auto"/>
          <w:sz w:val="24"/>
          <w:lang w:eastAsia="zh-CN"/>
        </w:rPr>
        <w:t>攻击样本</w:t>
      </w:r>
      <w:r>
        <w:rPr>
          <w:rFonts w:ascii="宋体" w:hAnsi="宋体" w:eastAsia="宋体"/>
          <w:b w:val="0"/>
          <w:color w:val="auto"/>
          <w:sz w:val="24"/>
        </w:rPr>
        <w:t>样本转化为可执行的</w:t>
      </w:r>
      <w:r>
        <w:rPr>
          <w:rFonts w:hint="eastAsia"/>
          <w:b w:val="0"/>
          <w:color w:val="auto"/>
          <w:sz w:val="24"/>
          <w:lang w:eastAsia="zh-CN"/>
        </w:rPr>
        <w:t>Agent</w:t>
      </w:r>
      <w:r>
        <w:rPr>
          <w:rFonts w:ascii="宋体" w:hAnsi="宋体" w:eastAsia="宋体"/>
          <w:b w:val="0"/>
          <w:color w:val="auto"/>
          <w:sz w:val="24"/>
        </w:rPr>
        <w:t>任务。靶场是抽象出工具调用</w:t>
      </w:r>
      <w:r>
        <w:rPr>
          <w:rFonts w:hint="eastAsia"/>
          <w:b w:val="0"/>
          <w:color w:val="auto"/>
          <w:sz w:val="24"/>
          <w:lang w:eastAsia="zh-CN"/>
        </w:rPr>
        <w:t>Agent</w:t>
      </w:r>
      <w:r>
        <w:rPr>
          <w:rFonts w:ascii="宋体" w:hAnsi="宋体" w:eastAsia="宋体"/>
          <w:b w:val="0"/>
          <w:color w:val="auto"/>
          <w:sz w:val="24"/>
        </w:rPr>
        <w:t>的核心链路</w:t>
      </w:r>
      <w:r>
        <w:rPr>
          <w:rFonts w:hint="eastAsia"/>
          <w:b w:val="0"/>
          <w:color w:val="auto"/>
          <w:sz w:val="24"/>
          <w:lang w:val="en-US" w:eastAsia="zh-CN"/>
        </w:rPr>
        <w:t>的</w:t>
      </w:r>
      <w:r>
        <w:rPr>
          <w:rFonts w:hint="eastAsia"/>
          <w:b w:val="0"/>
          <w:color w:val="auto"/>
          <w:sz w:val="24"/>
          <w:lang w:eastAsia="zh-CN"/>
        </w:rPr>
        <w:t>，</w:t>
      </w:r>
      <w:r>
        <w:rPr>
          <w:rFonts w:hint="eastAsia"/>
          <w:b w:val="0"/>
          <w:color w:val="auto"/>
          <w:sz w:val="24"/>
          <w:lang w:val="en-US" w:eastAsia="zh-CN"/>
        </w:rPr>
        <w:t>由</w:t>
      </w:r>
      <w:r>
        <w:rPr>
          <w:rFonts w:ascii="宋体" w:hAnsi="宋体" w:eastAsia="宋体"/>
          <w:b w:val="0"/>
          <w:color w:val="auto"/>
          <w:sz w:val="24"/>
        </w:rPr>
        <w:t>输入构造、模型调用、</w:t>
      </w:r>
      <w:r>
        <w:rPr>
          <w:rFonts w:hint="eastAsia"/>
          <w:b w:val="0"/>
          <w:color w:val="auto"/>
          <w:sz w:val="24"/>
          <w:lang w:eastAsia="zh-CN"/>
        </w:rPr>
        <w:t>工具调用</w:t>
      </w:r>
      <w:r>
        <w:rPr>
          <w:rFonts w:ascii="宋体" w:hAnsi="宋体" w:eastAsia="宋体"/>
          <w:b w:val="0"/>
          <w:color w:val="auto"/>
          <w:sz w:val="24"/>
        </w:rPr>
        <w:t>解析、</w:t>
      </w:r>
      <w:r>
        <w:rPr>
          <w:rFonts w:hint="eastAsia"/>
          <w:b w:val="0"/>
          <w:color w:val="auto"/>
          <w:sz w:val="24"/>
          <w:lang w:eastAsia="zh-CN"/>
        </w:rPr>
        <w:t>行为监督器</w:t>
      </w:r>
      <w:r>
        <w:rPr>
          <w:rFonts w:ascii="宋体" w:hAnsi="宋体" w:eastAsia="宋体"/>
          <w:b w:val="0"/>
          <w:color w:val="auto"/>
          <w:sz w:val="24"/>
        </w:rPr>
        <w:t>裁决、工具观察和日志记录</w:t>
      </w:r>
      <w:r>
        <w:rPr>
          <w:rFonts w:hint="eastAsia"/>
          <w:b w:val="0"/>
          <w:color w:val="auto"/>
          <w:sz w:val="24"/>
          <w:lang w:val="en-US" w:eastAsia="zh-CN"/>
        </w:rPr>
        <w:t>构成</w:t>
      </w:r>
      <w:r>
        <w:rPr>
          <w:rFonts w:ascii="宋体" w:hAnsi="宋体" w:eastAsia="宋体"/>
          <w:b w:val="0"/>
          <w:color w:val="auto"/>
          <w:sz w:val="24"/>
        </w:rPr>
        <w:t>。</w:t>
      </w:r>
    </w:p>
    <w:p w14:paraId="00D507B3">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 xml:space="preserve">2.4.1 </w:t>
      </w:r>
      <w:r>
        <w:rPr>
          <w:rFonts w:hint="eastAsia" w:ascii="黑体" w:hAnsi="黑体" w:eastAsia="黑体"/>
          <w:b/>
          <w:color w:val="auto"/>
          <w:sz w:val="24"/>
          <w:szCs w:val="24"/>
          <w:lang w:eastAsia="zh-CN"/>
        </w:rPr>
        <w:t>Agent运行器</w:t>
      </w:r>
      <w:r>
        <w:rPr>
          <w:rFonts w:ascii="黑体" w:hAnsi="黑体" w:eastAsia="黑体"/>
          <w:b/>
          <w:color w:val="auto"/>
          <w:sz w:val="24"/>
          <w:szCs w:val="24"/>
        </w:rPr>
        <w:t>输入构造</w:t>
      </w:r>
    </w:p>
    <w:p w14:paraId="480B3234">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hint="eastAsia"/>
          <w:b w:val="0"/>
          <w:color w:val="auto"/>
          <w:sz w:val="24"/>
          <w:lang w:eastAsia="zh-CN"/>
        </w:rPr>
        <w:t>Agent运行器</w:t>
      </w:r>
      <w:r>
        <w:rPr>
          <w:rFonts w:ascii="宋体" w:hAnsi="宋体" w:eastAsia="宋体"/>
          <w:b w:val="0"/>
          <w:color w:val="auto"/>
          <w:sz w:val="24"/>
        </w:rPr>
        <w:t>从</w:t>
      </w:r>
      <w:r>
        <w:rPr>
          <w:rFonts w:hint="eastAsia"/>
          <w:b w:val="0"/>
          <w:color w:val="auto"/>
          <w:sz w:val="24"/>
          <w:lang w:eastAsia="zh-CN"/>
        </w:rPr>
        <w:t>攻击样本</w:t>
      </w:r>
      <w:r>
        <w:rPr>
          <w:rFonts w:ascii="宋体" w:hAnsi="宋体" w:eastAsia="宋体"/>
          <w:b w:val="0"/>
          <w:color w:val="auto"/>
          <w:sz w:val="24"/>
        </w:rPr>
        <w:t>中读取user_task、document_content、carrier、language和必要元数据，并按照统一模板组织模型输入。模板明确告知模型当前任务是总结、翻译、分类或问答，同时把document_content标记为待处理数据。这样做的目的是模拟真实系统中常见的任务包装方式，观察模型是否仍会被不可信内容诱导执行工具。</w:t>
      </w:r>
    </w:p>
    <w:p w14:paraId="240CBE09">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对于demo smoke test，Runner使用最小样本和固定后端稳定展示攻击链；对于</w:t>
      </w:r>
      <w:r>
        <w:rPr>
          <w:rFonts w:hint="eastAsia"/>
          <w:b w:val="0"/>
          <w:color w:val="auto"/>
          <w:sz w:val="24"/>
          <w:lang w:eastAsia="zh-CN"/>
        </w:rPr>
        <w:t>桩模型</w:t>
      </w:r>
      <w:r>
        <w:rPr>
          <w:rFonts w:ascii="宋体" w:hAnsi="宋体" w:eastAsia="宋体"/>
          <w:b w:val="0"/>
          <w:color w:val="auto"/>
          <w:sz w:val="24"/>
        </w:rPr>
        <w:t>全量实验，</w:t>
      </w:r>
      <w:r>
        <w:rPr>
          <w:rFonts w:hint="eastAsia"/>
          <w:b w:val="0"/>
          <w:color w:val="auto"/>
          <w:sz w:val="24"/>
          <w:lang w:eastAsia="zh-CN"/>
        </w:rPr>
        <w:t>Agent</w:t>
      </w:r>
      <w:r>
        <w:rPr>
          <w:rFonts w:hint="eastAsia"/>
          <w:b w:val="0"/>
          <w:color w:val="auto"/>
          <w:sz w:val="24"/>
          <w:lang w:val="en-US" w:eastAsia="zh-CN"/>
        </w:rPr>
        <w:t>运行器</w:t>
      </w:r>
      <w:r>
        <w:rPr>
          <w:rFonts w:ascii="宋体" w:hAnsi="宋体" w:eastAsia="宋体"/>
          <w:b w:val="0"/>
          <w:color w:val="auto"/>
          <w:sz w:val="24"/>
        </w:rPr>
        <w:t>遍历69条样本和不同防护模式；对于Qwen2.5代表样本实验，</w:t>
      </w:r>
      <w:r>
        <w:rPr>
          <w:rFonts w:hint="eastAsia"/>
          <w:b w:val="0"/>
          <w:color w:val="auto"/>
          <w:sz w:val="24"/>
          <w:lang w:eastAsia="zh-CN"/>
        </w:rPr>
        <w:t>Agent</w:t>
      </w:r>
      <w:r>
        <w:rPr>
          <w:rFonts w:hint="eastAsia"/>
          <w:b w:val="0"/>
          <w:color w:val="auto"/>
          <w:sz w:val="24"/>
          <w:lang w:val="en-US" w:eastAsia="zh-CN"/>
        </w:rPr>
        <w:t>运行器</w:t>
      </w:r>
      <w:r>
        <w:rPr>
          <w:rFonts w:ascii="宋体" w:hAnsi="宋体" w:eastAsia="宋体"/>
          <w:b w:val="0"/>
          <w:color w:val="auto"/>
          <w:sz w:val="24"/>
        </w:rPr>
        <w:t>调用本地OpenAI-compatible</w:t>
      </w:r>
      <w:r>
        <w:rPr>
          <w:rFonts w:hint="eastAsia"/>
          <w:b w:val="0"/>
          <w:color w:val="auto"/>
          <w:sz w:val="24"/>
          <w:lang w:val="en-US" w:eastAsia="zh-CN"/>
        </w:rPr>
        <w:t>的API</w:t>
      </w:r>
      <w:r>
        <w:rPr>
          <w:rFonts w:ascii="宋体" w:hAnsi="宋体" w:eastAsia="宋体"/>
          <w:b w:val="0"/>
          <w:color w:val="auto"/>
          <w:sz w:val="24"/>
        </w:rPr>
        <w:t>，并保留模型原始输出以供审计。</w:t>
      </w:r>
    </w:p>
    <w:p w14:paraId="44109C30">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 xml:space="preserve">2.4.2 </w:t>
      </w:r>
      <w:r>
        <w:rPr>
          <w:rFonts w:hint="eastAsia" w:ascii="黑体" w:hAnsi="黑体" w:eastAsia="黑体"/>
          <w:b/>
          <w:color w:val="auto"/>
          <w:sz w:val="24"/>
          <w:szCs w:val="24"/>
          <w:lang w:eastAsia="zh-CN"/>
        </w:rPr>
        <w:t>工具调用</w:t>
      </w:r>
      <w:r>
        <w:rPr>
          <w:rFonts w:ascii="黑体" w:hAnsi="黑体" w:eastAsia="黑体"/>
          <w:b/>
          <w:color w:val="auto"/>
          <w:sz w:val="24"/>
          <w:szCs w:val="24"/>
        </w:rPr>
        <w:t>解析器</w:t>
      </w:r>
    </w:p>
    <w:p w14:paraId="123488B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模型输出可能是自然语言，也可能包含JSON形式的工具调用。</w:t>
      </w:r>
      <w:r>
        <w:rPr>
          <w:rFonts w:hint="eastAsia"/>
          <w:b w:val="0"/>
          <w:color w:val="auto"/>
          <w:sz w:val="24"/>
          <w:lang w:eastAsia="zh-CN"/>
        </w:rPr>
        <w:t>工具调用</w:t>
      </w:r>
      <w:r>
        <w:rPr>
          <w:rFonts w:ascii="宋体" w:hAnsi="宋体" w:eastAsia="宋体"/>
          <w:b w:val="0"/>
          <w:color w:val="auto"/>
          <w:sz w:val="24"/>
        </w:rPr>
        <w:t>解析器负责识别tool、arguments、path、endpoint、recipient、content等字段，并将其转换为统一parsed_tool_call。若模型输出中存在非标准JSON、控制字符或错误工具名，解析器不会直接丢弃信息，而是记录parse_error和raw_model_output。这样既避免误判，也便于第三章对日志稳定性进行分析。</w:t>
      </w:r>
    </w:p>
    <w:p w14:paraId="33056018">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2.4.3</w:t>
      </w:r>
      <w:r>
        <w:rPr>
          <w:rFonts w:hint="eastAsia" w:ascii="黑体" w:hAnsi="黑体" w:eastAsia="黑体"/>
          <w:b/>
          <w:color w:val="auto"/>
          <w:sz w:val="24"/>
          <w:szCs w:val="24"/>
          <w:lang w:val="en-US" w:eastAsia="zh-CN"/>
        </w:rPr>
        <w:t xml:space="preserve"> </w:t>
      </w:r>
      <w:r>
        <w:rPr>
          <w:rFonts w:ascii="黑体" w:hAnsi="黑体" w:eastAsia="黑体"/>
          <w:b/>
          <w:color w:val="auto"/>
          <w:sz w:val="24"/>
          <w:szCs w:val="24"/>
        </w:rPr>
        <w:t>模型后端设计</w:t>
      </w:r>
    </w:p>
    <w:p w14:paraId="7127DCCE">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eastAsia" w:ascii="宋体" w:hAnsi="宋体" w:eastAsia="宋体" w:cs="宋体"/>
          <w:color w:val="auto"/>
          <w:sz w:val="24"/>
          <w:szCs w:val="24"/>
        </w:rPr>
      </w:pPr>
      <w:r>
        <w:rPr>
          <w:rFonts w:hint="eastAsia" w:ascii="宋体" w:hAnsi="宋体" w:eastAsia="宋体" w:cs="宋体"/>
          <w:b w:val="0"/>
          <w:color w:val="auto"/>
          <w:sz w:val="24"/>
          <w:szCs w:val="24"/>
        </w:rPr>
        <w:t>系统支持</w:t>
      </w:r>
      <w:r>
        <w:rPr>
          <w:rFonts w:hint="eastAsia" w:ascii="宋体" w:hAnsi="宋体" w:eastAsia="宋体" w:cs="宋体"/>
          <w:b w:val="0"/>
          <w:color w:val="auto"/>
          <w:sz w:val="24"/>
          <w:szCs w:val="24"/>
          <w:lang w:eastAsia="zh-CN"/>
        </w:rPr>
        <w:t>桩模型</w:t>
      </w:r>
      <w:r>
        <w:rPr>
          <w:rFonts w:hint="eastAsia" w:ascii="宋体" w:hAnsi="宋体" w:eastAsia="宋体" w:cs="宋体"/>
          <w:b w:val="0"/>
          <w:color w:val="auto"/>
          <w:sz w:val="24"/>
          <w:szCs w:val="24"/>
        </w:rPr>
        <w:t>后端、本地Qwen2.5后端和demo-</w:t>
      </w:r>
      <w:r>
        <w:rPr>
          <w:rFonts w:hint="eastAsia" w:ascii="宋体" w:hAnsi="宋体" w:eastAsia="宋体" w:cs="宋体"/>
          <w:b w:val="0"/>
          <w:color w:val="auto"/>
          <w:sz w:val="24"/>
          <w:szCs w:val="24"/>
          <w:lang w:val="en-US" w:eastAsia="zh-CN"/>
        </w:rPr>
        <w:t>stub</w:t>
      </w:r>
      <w:r>
        <w:rPr>
          <w:rFonts w:hint="eastAsia" w:ascii="宋体" w:hAnsi="宋体" w:eastAsia="宋体" w:cs="宋体"/>
          <w:b w:val="0"/>
          <w:color w:val="auto"/>
          <w:sz w:val="24"/>
          <w:szCs w:val="24"/>
        </w:rPr>
        <w:t>后端。</w:t>
      </w:r>
      <w:r>
        <w:rPr>
          <w:rFonts w:hint="eastAsia" w:ascii="宋体" w:hAnsi="宋体" w:eastAsia="宋体" w:cs="宋体"/>
          <w:b w:val="0"/>
          <w:color w:val="auto"/>
          <w:sz w:val="24"/>
          <w:szCs w:val="24"/>
          <w:lang w:eastAsia="zh-CN"/>
        </w:rPr>
        <w:t>桩模型</w:t>
      </w:r>
      <w:r>
        <w:rPr>
          <w:rFonts w:hint="eastAsia" w:ascii="宋体" w:hAnsi="宋体" w:eastAsia="宋体" w:cs="宋体"/>
          <w:b w:val="0"/>
          <w:color w:val="auto"/>
          <w:sz w:val="24"/>
          <w:szCs w:val="24"/>
        </w:rPr>
        <w:t>后端根据样本中的unsafe_target_actions稳定生成候选</w:t>
      </w:r>
      <w:r>
        <w:rPr>
          <w:rFonts w:hint="eastAsia" w:ascii="宋体" w:hAnsi="宋体" w:eastAsia="宋体" w:cs="宋体"/>
          <w:b w:val="0"/>
          <w:color w:val="auto"/>
          <w:sz w:val="24"/>
          <w:szCs w:val="24"/>
          <w:lang w:eastAsia="zh-CN"/>
        </w:rPr>
        <w:t>工具调用</w:t>
      </w:r>
      <w:r>
        <w:rPr>
          <w:rFonts w:hint="eastAsia" w:ascii="宋体" w:hAnsi="宋体" w:eastAsia="宋体" w:cs="宋体"/>
          <w:b w:val="0"/>
          <w:color w:val="auto"/>
          <w:sz w:val="24"/>
          <w:szCs w:val="24"/>
        </w:rPr>
        <w:t>，用于验证</w:t>
      </w:r>
      <w:r>
        <w:rPr>
          <w:rFonts w:hint="eastAsia" w:ascii="宋体" w:hAnsi="宋体" w:eastAsia="宋体" w:cs="宋体"/>
          <w:b w:val="0"/>
          <w:color w:val="auto"/>
          <w:sz w:val="24"/>
          <w:szCs w:val="24"/>
          <w:lang w:eastAsia="zh-CN"/>
        </w:rPr>
        <w:t>行为监督器</w:t>
      </w:r>
      <w:r>
        <w:rPr>
          <w:rFonts w:hint="eastAsia" w:ascii="宋体" w:hAnsi="宋体" w:eastAsia="宋体" w:cs="宋体"/>
          <w:b w:val="0"/>
          <w:color w:val="auto"/>
          <w:sz w:val="24"/>
          <w:szCs w:val="24"/>
        </w:rPr>
        <w:t>对完整样本集的策略覆盖能力。Qwen2.5后端用于观察真实本地模型在提示注入样本下是否会产生工具调用、输出格式是否稳定以及</w:t>
      </w:r>
      <w:r>
        <w:rPr>
          <w:rFonts w:hint="eastAsia" w:ascii="宋体" w:hAnsi="宋体" w:eastAsia="宋体" w:cs="宋体"/>
          <w:b w:val="0"/>
          <w:color w:val="auto"/>
          <w:sz w:val="24"/>
          <w:szCs w:val="24"/>
          <w:lang w:eastAsia="zh-CN"/>
        </w:rPr>
        <w:t>行为监督器</w:t>
      </w:r>
      <w:r>
        <w:rPr>
          <w:rFonts w:hint="eastAsia" w:ascii="宋体" w:hAnsi="宋体" w:eastAsia="宋体" w:cs="宋体"/>
          <w:b w:val="0"/>
          <w:color w:val="auto"/>
          <w:sz w:val="24"/>
          <w:szCs w:val="24"/>
        </w:rPr>
        <w:t>能否在真实链路中提供安全边界。</w:t>
      </w:r>
      <w:r>
        <w:rPr>
          <w:rFonts w:hint="eastAsia" w:ascii="宋体" w:hAnsi="宋体" w:eastAsia="宋体" w:cs="宋体"/>
          <w:b w:val="0"/>
          <w:color w:val="auto"/>
          <w:sz w:val="24"/>
          <w:szCs w:val="24"/>
          <w:lang w:eastAsia="zh-CN"/>
        </w:rPr>
        <w:t>demo-stub</w:t>
      </w:r>
      <w:r>
        <w:rPr>
          <w:rFonts w:hint="eastAsia" w:ascii="宋体" w:hAnsi="宋体" w:eastAsia="宋体" w:cs="宋体"/>
          <w:b w:val="0"/>
          <w:color w:val="auto"/>
          <w:sz w:val="24"/>
          <w:szCs w:val="24"/>
        </w:rPr>
        <w:t>后端用于答辩现场复现最小攻击链。</w:t>
      </w:r>
    </w:p>
    <w:p w14:paraId="724AA9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color w:val="auto"/>
          <w:sz w:val="21"/>
          <w:szCs w:val="21"/>
        </w:rPr>
      </w:pPr>
      <w:r>
        <w:rPr>
          <w:rFonts w:hint="eastAsia" w:ascii="宋体" w:hAnsi="宋体" w:eastAsia="宋体" w:cs="宋体"/>
          <w:b w:val="0"/>
          <w:color w:val="auto"/>
          <w:sz w:val="21"/>
          <w:szCs w:val="21"/>
        </w:rPr>
        <w:t>表2-</w:t>
      </w:r>
      <w:r>
        <w:rPr>
          <w:rFonts w:hint="eastAsia" w:cs="宋体"/>
          <w:b w:val="0"/>
          <w:color w:val="auto"/>
          <w:sz w:val="21"/>
          <w:szCs w:val="21"/>
          <w:lang w:val="en-US" w:eastAsia="zh-CN"/>
        </w:rPr>
        <w:t>4</w:t>
      </w:r>
      <w:r>
        <w:rPr>
          <w:rFonts w:hint="eastAsia" w:ascii="宋体" w:hAnsi="宋体" w:eastAsia="宋体" w:cs="宋体"/>
          <w:b w:val="0"/>
          <w:color w:val="auto"/>
          <w:sz w:val="21"/>
          <w:szCs w:val="21"/>
        </w:rPr>
        <w:t xml:space="preserve"> 模型后端比较</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24"/>
        <w:gridCol w:w="1616"/>
        <w:gridCol w:w="3464"/>
        <w:gridCol w:w="2791"/>
      </w:tblGrid>
      <w:tr w14:paraId="4BE3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39DA239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rPr>
              <w:t>后端</w:t>
            </w:r>
          </w:p>
        </w:tc>
        <w:tc>
          <w:tcPr>
            <w:tcW w:w="0" w:type="auto"/>
            <w:shd w:val="clear" w:color="auto" w:fill="auto"/>
            <w:vAlign w:val="center"/>
          </w:tcPr>
          <w:p w14:paraId="0002BC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主要用途</w:t>
            </w:r>
          </w:p>
        </w:tc>
        <w:tc>
          <w:tcPr>
            <w:tcW w:w="0" w:type="auto"/>
            <w:shd w:val="clear" w:color="auto" w:fill="auto"/>
            <w:vAlign w:val="center"/>
          </w:tcPr>
          <w:p w14:paraId="371AB94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优势</w:t>
            </w:r>
          </w:p>
        </w:tc>
        <w:tc>
          <w:tcPr>
            <w:tcW w:w="0" w:type="auto"/>
            <w:shd w:val="clear" w:color="auto" w:fill="auto"/>
            <w:vAlign w:val="center"/>
          </w:tcPr>
          <w:p w14:paraId="016F8E6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局限</w:t>
            </w:r>
          </w:p>
        </w:tc>
      </w:tr>
      <w:tr w14:paraId="65D78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34FA3FF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lang w:eastAsia="zh-CN"/>
              </w:rPr>
              <w:t>桩模型</w:t>
            </w:r>
          </w:p>
        </w:tc>
        <w:tc>
          <w:tcPr>
            <w:tcW w:w="0" w:type="auto"/>
            <w:shd w:val="clear" w:color="auto" w:fill="auto"/>
            <w:vAlign w:val="center"/>
          </w:tcPr>
          <w:p w14:paraId="088D16C9">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全量样本消融实验</w:t>
            </w:r>
          </w:p>
        </w:tc>
        <w:tc>
          <w:tcPr>
            <w:tcW w:w="0" w:type="auto"/>
            <w:shd w:val="clear" w:color="auto" w:fill="auto"/>
            <w:vAlign w:val="center"/>
          </w:tcPr>
          <w:p w14:paraId="5853938B">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稳定、可复现、便于比较不同防护模式</w:t>
            </w:r>
          </w:p>
        </w:tc>
        <w:tc>
          <w:tcPr>
            <w:tcW w:w="0" w:type="auto"/>
            <w:shd w:val="clear" w:color="auto" w:fill="auto"/>
            <w:vAlign w:val="center"/>
          </w:tcPr>
          <w:p w14:paraId="797F9279">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不能代表真实模型输出分布</w:t>
            </w:r>
          </w:p>
        </w:tc>
      </w:tr>
      <w:tr w14:paraId="3A46B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6541F36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Qwen2.5本地后端</w:t>
            </w:r>
          </w:p>
        </w:tc>
        <w:tc>
          <w:tcPr>
            <w:tcW w:w="0" w:type="auto"/>
            <w:shd w:val="clear" w:color="auto" w:fill="auto"/>
            <w:vAlign w:val="center"/>
          </w:tcPr>
          <w:p w14:paraId="0665DD91">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真实模型代表性验证</w:t>
            </w:r>
          </w:p>
        </w:tc>
        <w:tc>
          <w:tcPr>
            <w:tcW w:w="0" w:type="auto"/>
            <w:shd w:val="clear" w:color="auto" w:fill="auto"/>
            <w:vAlign w:val="center"/>
          </w:tcPr>
          <w:p w14:paraId="2221309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能观察实际模型输出、解析异常和</w:t>
            </w:r>
            <w:r>
              <w:rPr>
                <w:rFonts w:hint="eastAsia" w:ascii="宋体" w:hAnsi="宋体" w:eastAsia="宋体" w:cs="宋体"/>
                <w:b w:val="0"/>
                <w:bCs/>
                <w:color w:val="auto"/>
                <w:sz w:val="21"/>
                <w:szCs w:val="21"/>
                <w:lang w:eastAsia="zh-CN"/>
              </w:rPr>
              <w:t>行为监督器</w:t>
            </w:r>
            <w:r>
              <w:rPr>
                <w:rFonts w:hint="eastAsia" w:ascii="宋体" w:hAnsi="宋体" w:eastAsia="宋体" w:cs="宋体"/>
                <w:b w:val="0"/>
                <w:bCs/>
                <w:color w:val="auto"/>
                <w:sz w:val="21"/>
                <w:szCs w:val="21"/>
              </w:rPr>
              <w:t>决策链</w:t>
            </w:r>
          </w:p>
        </w:tc>
        <w:tc>
          <w:tcPr>
            <w:tcW w:w="0" w:type="auto"/>
            <w:shd w:val="clear" w:color="auto" w:fill="auto"/>
            <w:vAlign w:val="center"/>
          </w:tcPr>
          <w:p w14:paraId="0200855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受显存和输出随机性限制，样本规模较小</w:t>
            </w:r>
          </w:p>
        </w:tc>
      </w:tr>
      <w:tr w14:paraId="0CC3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2482E99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lang w:eastAsia="zh-CN"/>
              </w:rPr>
              <w:t>demo-stub</w:t>
            </w:r>
          </w:p>
        </w:tc>
        <w:tc>
          <w:tcPr>
            <w:tcW w:w="0" w:type="auto"/>
            <w:shd w:val="clear" w:color="auto" w:fill="auto"/>
            <w:vAlign w:val="center"/>
          </w:tcPr>
          <w:p w14:paraId="797D50F9">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smoke</w:t>
            </w:r>
            <w:r>
              <w:rPr>
                <w:rFonts w:hint="eastAsia" w:ascii="宋体" w:hAnsi="宋体" w:eastAsia="宋体" w:cs="宋体"/>
                <w:b w:val="0"/>
                <w:bCs/>
                <w:color w:val="auto"/>
                <w:sz w:val="21"/>
                <w:szCs w:val="21"/>
                <w:lang w:val="en-US" w:eastAsia="zh-CN"/>
              </w:rPr>
              <w:t xml:space="preserve"> </w:t>
            </w:r>
            <w:r>
              <w:rPr>
                <w:rFonts w:hint="eastAsia" w:ascii="宋体" w:hAnsi="宋体" w:eastAsia="宋体" w:cs="宋体"/>
                <w:b w:val="0"/>
                <w:bCs/>
                <w:color w:val="auto"/>
                <w:sz w:val="21"/>
                <w:szCs w:val="21"/>
              </w:rPr>
              <w:t>test</w:t>
            </w:r>
          </w:p>
        </w:tc>
        <w:tc>
          <w:tcPr>
            <w:tcW w:w="0" w:type="auto"/>
            <w:shd w:val="clear" w:color="auto" w:fill="auto"/>
            <w:vAlign w:val="center"/>
          </w:tcPr>
          <w:p w14:paraId="2E24847B">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rPr>
              <w:t>最小闭环稳定，便于</w:t>
            </w:r>
            <w:r>
              <w:rPr>
                <w:rFonts w:hint="eastAsia" w:cs="宋体"/>
                <w:b w:val="0"/>
                <w:bCs/>
                <w:color w:val="auto"/>
                <w:sz w:val="21"/>
                <w:szCs w:val="21"/>
                <w:lang w:val="en-US" w:eastAsia="zh-CN"/>
              </w:rPr>
              <w:t>进行测试</w:t>
            </w:r>
          </w:p>
        </w:tc>
        <w:tc>
          <w:tcPr>
            <w:tcW w:w="0" w:type="auto"/>
            <w:shd w:val="clear" w:color="auto" w:fill="auto"/>
            <w:vAlign w:val="center"/>
          </w:tcPr>
          <w:p w14:paraId="5868DE2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样本数少，主要用于演示而非统计结论</w:t>
            </w:r>
          </w:p>
        </w:tc>
      </w:tr>
    </w:tbl>
    <w:p w14:paraId="0679DBC7">
      <w:pPr>
        <w:keepNext w:val="0"/>
        <w:keepLines w:val="0"/>
        <w:pageBreakBefore w:val="0"/>
        <w:widowControl/>
        <w:kinsoku/>
        <w:wordWrap/>
        <w:overflowPunct/>
        <w:topLinePunct w:val="0"/>
        <w:autoSpaceDE/>
        <w:autoSpaceDN/>
        <w:bidi w:val="0"/>
        <w:adjustRightInd/>
        <w:snapToGrid/>
        <w:spacing w:after="0" w:line="360" w:lineRule="auto"/>
        <w:textAlignment w:val="auto"/>
        <w:rPr>
          <w:color w:val="auto"/>
        </w:rPr>
      </w:pPr>
    </w:p>
    <w:p w14:paraId="5F9B6665">
      <w:pPr>
        <w:pStyle w:val="4"/>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8"/>
          <w:szCs w:val="28"/>
        </w:rPr>
      </w:pPr>
      <w:r>
        <w:rPr>
          <w:rFonts w:ascii="黑体" w:hAnsi="黑体" w:eastAsia="黑体"/>
          <w:b/>
          <w:color w:val="auto"/>
          <w:sz w:val="28"/>
          <w:szCs w:val="28"/>
        </w:rPr>
        <w:t>2.5 Sandbox</w:t>
      </w:r>
      <w:r>
        <w:rPr>
          <w:rFonts w:hint="eastAsia" w:ascii="黑体" w:hAnsi="黑体" w:eastAsia="黑体"/>
          <w:b/>
          <w:color w:val="auto"/>
          <w:sz w:val="28"/>
          <w:szCs w:val="28"/>
          <w:lang w:eastAsia="zh-CN"/>
        </w:rPr>
        <w:t>模拟</w:t>
      </w:r>
      <w:r>
        <w:rPr>
          <w:rFonts w:ascii="黑体" w:hAnsi="黑体" w:eastAsia="黑体"/>
          <w:b/>
          <w:color w:val="auto"/>
          <w:sz w:val="28"/>
          <w:szCs w:val="28"/>
        </w:rPr>
        <w:t>工具链设计与实现</w:t>
      </w:r>
    </w:p>
    <w:p w14:paraId="7629A80E">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sandbox</w:t>
      </w:r>
      <w:r>
        <w:rPr>
          <w:rFonts w:hint="eastAsia"/>
          <w:b w:val="0"/>
          <w:color w:val="auto"/>
          <w:sz w:val="24"/>
          <w:lang w:eastAsia="zh-CN"/>
        </w:rPr>
        <w:t>模拟</w:t>
      </w:r>
      <w:r>
        <w:rPr>
          <w:rFonts w:ascii="宋体" w:hAnsi="宋体" w:eastAsia="宋体"/>
          <w:b w:val="0"/>
          <w:color w:val="auto"/>
          <w:sz w:val="24"/>
        </w:rPr>
        <w:t>工具链是</w:t>
      </w:r>
      <w:r>
        <w:rPr>
          <w:rFonts w:hint="eastAsia"/>
          <w:b w:val="0"/>
          <w:color w:val="auto"/>
          <w:sz w:val="24"/>
          <w:lang w:eastAsia="zh-CN"/>
        </w:rPr>
        <w:t>我们的作品</w:t>
      </w:r>
      <w:r>
        <w:rPr>
          <w:rFonts w:ascii="宋体" w:hAnsi="宋体" w:eastAsia="宋体"/>
          <w:b w:val="0"/>
          <w:color w:val="auto"/>
          <w:sz w:val="24"/>
        </w:rPr>
        <w:t>安全可复现的关键。提示注入攻击往往试图诱导模型执行文件读取、邮件外发、API调用或代码执行等动作。如果完全删除这些工具，实验无法体现真实风险；如果连接真实工具，又可能造成现实危害。</w:t>
      </w:r>
      <w:r>
        <w:rPr>
          <w:rFonts w:hint="eastAsia"/>
          <w:b w:val="0"/>
          <w:color w:val="auto"/>
          <w:sz w:val="24"/>
          <w:lang w:eastAsia="zh-CN"/>
        </w:rPr>
        <w:t>我们的作品</w:t>
      </w:r>
      <w:r>
        <w:rPr>
          <w:rFonts w:ascii="宋体" w:hAnsi="宋体" w:eastAsia="宋体"/>
          <w:b w:val="0"/>
          <w:color w:val="auto"/>
          <w:sz w:val="24"/>
        </w:rPr>
        <w:t>采用</w:t>
      </w:r>
      <w:r>
        <w:rPr>
          <w:rFonts w:hint="eastAsia"/>
          <w:b w:val="0"/>
          <w:color w:val="auto"/>
          <w:sz w:val="24"/>
          <w:lang w:eastAsia="zh-CN"/>
        </w:rPr>
        <w:t>模拟</w:t>
      </w:r>
      <w:r>
        <w:rPr>
          <w:rFonts w:ascii="宋体" w:hAnsi="宋体" w:eastAsia="宋体"/>
          <w:b w:val="0"/>
          <w:color w:val="auto"/>
          <w:sz w:val="24"/>
        </w:rPr>
        <w:t>工具保留行为形态，并通过路径、端点和副作用限制建立安全边界。</w:t>
      </w:r>
    </w:p>
    <w:p w14:paraId="697DF3C1">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2.5.1 工具设计原则</w:t>
      </w:r>
    </w:p>
    <w:p w14:paraId="206A9815">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宋体" w:hAnsi="宋体" w:eastAsia="宋体"/>
          <w:b w:val="0"/>
          <w:color w:val="auto"/>
          <w:sz w:val="24"/>
        </w:rPr>
      </w:pPr>
      <w:r>
        <w:rPr>
          <w:rFonts w:ascii="宋体" w:hAnsi="宋体" w:eastAsia="宋体"/>
          <w:b w:val="0"/>
          <w:color w:val="auto"/>
          <w:sz w:val="24"/>
        </w:rPr>
        <w:t>风险形态保留。工具名称和参数设计对应真实</w:t>
      </w:r>
      <w:r>
        <w:rPr>
          <w:rFonts w:hint="eastAsia"/>
          <w:b w:val="0"/>
          <w:color w:val="auto"/>
          <w:sz w:val="24"/>
          <w:lang w:eastAsia="zh-CN"/>
        </w:rPr>
        <w:t>Agent</w:t>
      </w:r>
      <w:r>
        <w:rPr>
          <w:rFonts w:ascii="宋体" w:hAnsi="宋体" w:eastAsia="宋体"/>
          <w:b w:val="0"/>
          <w:color w:val="auto"/>
          <w:sz w:val="24"/>
        </w:rPr>
        <w:t>常见能力，如read_file、write_file、send_email、call_api和run_code，使攻击样本能够触发有代表性的工具链风险。</w:t>
      </w:r>
    </w:p>
    <w:p w14:paraId="1591B480">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宋体" w:hAnsi="宋体" w:eastAsia="宋体"/>
          <w:b w:val="0"/>
          <w:color w:val="auto"/>
          <w:sz w:val="24"/>
          <w:szCs w:val="24"/>
        </w:rPr>
      </w:pPr>
      <w:r>
        <w:rPr>
          <w:rFonts w:ascii="宋体" w:hAnsi="宋体" w:eastAsia="宋体"/>
          <w:b w:val="0"/>
          <w:color w:val="auto"/>
          <w:sz w:val="24"/>
        </w:rPr>
        <w:t>真实副作用隔离。send_email不真实发信，call_api不访问公网，run_code不执行模型生成代码</w:t>
      </w:r>
      <w:r>
        <w:rPr>
          <w:rFonts w:ascii="宋体" w:hAnsi="宋体" w:eastAsia="宋体"/>
          <w:b w:val="0"/>
          <w:color w:val="auto"/>
          <w:sz w:val="24"/>
          <w:szCs w:val="24"/>
        </w:rPr>
        <w:t>，文件读写</w:t>
      </w:r>
      <w:r>
        <w:rPr>
          <w:rFonts w:hint="eastAsia"/>
          <w:b w:val="0"/>
          <w:color w:val="auto"/>
          <w:sz w:val="24"/>
          <w:szCs w:val="24"/>
          <w:lang w:val="en-US" w:eastAsia="zh-CN"/>
        </w:rPr>
        <w:t>会</w:t>
      </w:r>
      <w:r>
        <w:rPr>
          <w:rFonts w:ascii="宋体" w:hAnsi="宋体" w:eastAsia="宋体"/>
          <w:b w:val="0"/>
          <w:color w:val="auto"/>
          <w:sz w:val="24"/>
          <w:szCs w:val="24"/>
        </w:rPr>
        <w:t>被限制在sandbox目录。</w:t>
      </w:r>
    </w:p>
    <w:p w14:paraId="6BBEBD3D">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sz w:val="24"/>
          <w:szCs w:val="24"/>
        </w:rPr>
      </w:pPr>
      <w:r>
        <w:rPr>
          <w:rFonts w:ascii="宋体" w:hAnsi="宋体" w:eastAsia="宋体"/>
          <w:b w:val="0"/>
          <w:color w:val="auto"/>
          <w:sz w:val="24"/>
          <w:szCs w:val="24"/>
        </w:rPr>
        <w:t>证据可回放。每次工具调用或阻断都会写入</w:t>
      </w:r>
      <w:r>
        <w:rPr>
          <w:rFonts w:hint="eastAsia"/>
          <w:b w:val="0"/>
          <w:color w:val="auto"/>
          <w:sz w:val="24"/>
          <w:szCs w:val="24"/>
          <w:lang w:eastAsia="zh-CN"/>
        </w:rPr>
        <w:t>运行日志</w:t>
      </w:r>
      <w:r>
        <w:rPr>
          <w:rFonts w:ascii="宋体" w:hAnsi="宋体" w:eastAsia="宋体"/>
          <w:b w:val="0"/>
          <w:color w:val="auto"/>
          <w:sz w:val="24"/>
          <w:szCs w:val="24"/>
        </w:rPr>
        <w:t>，</w:t>
      </w:r>
      <w:r>
        <w:rPr>
          <w:rFonts w:hint="eastAsia"/>
          <w:b w:val="0"/>
          <w:color w:val="auto"/>
          <w:sz w:val="24"/>
          <w:szCs w:val="24"/>
          <w:lang w:eastAsia="zh-CN"/>
        </w:rPr>
        <w:t>可视化面板</w:t>
      </w:r>
      <w:r>
        <w:rPr>
          <w:rFonts w:ascii="宋体" w:hAnsi="宋体" w:eastAsia="宋体"/>
          <w:b w:val="0"/>
          <w:color w:val="auto"/>
          <w:sz w:val="24"/>
          <w:szCs w:val="24"/>
        </w:rPr>
        <w:t>可以回放工具名、参数、风险分和原因码。</w:t>
      </w:r>
    </w:p>
    <w:p w14:paraId="2FC06BC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color w:val="auto"/>
        </w:rPr>
      </w:pPr>
      <w:r>
        <w:rPr>
          <w:rFonts w:ascii="宋体" w:hAnsi="宋体" w:eastAsia="宋体"/>
          <w:b w:val="0"/>
          <w:color w:val="auto"/>
          <w:sz w:val="21"/>
          <w:szCs w:val="21"/>
        </w:rPr>
        <w:t>表2-</w:t>
      </w:r>
      <w:r>
        <w:rPr>
          <w:rFonts w:hint="eastAsia"/>
          <w:b w:val="0"/>
          <w:color w:val="auto"/>
          <w:sz w:val="21"/>
          <w:szCs w:val="21"/>
          <w:lang w:val="en-US" w:eastAsia="zh-CN"/>
        </w:rPr>
        <w:t>5</w:t>
      </w:r>
      <w:r>
        <w:rPr>
          <w:rFonts w:ascii="宋体" w:hAnsi="宋体" w:eastAsia="宋体"/>
          <w:b w:val="0"/>
          <w:color w:val="auto"/>
          <w:sz w:val="21"/>
          <w:szCs w:val="21"/>
        </w:rPr>
        <w:t xml:space="preserve"> 模拟业务工具与安全边界</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66"/>
        <w:gridCol w:w="1924"/>
        <w:gridCol w:w="2233"/>
        <w:gridCol w:w="3972"/>
      </w:tblGrid>
      <w:tr w14:paraId="6EFC7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266" w:type="dxa"/>
            <w:shd w:val="clear" w:color="auto" w:fill="auto"/>
            <w:vAlign w:val="center"/>
          </w:tcPr>
          <w:p w14:paraId="61D0F4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工具</w:t>
            </w:r>
          </w:p>
        </w:tc>
        <w:tc>
          <w:tcPr>
            <w:tcW w:w="1924" w:type="dxa"/>
            <w:shd w:val="clear" w:color="auto" w:fill="auto"/>
            <w:vAlign w:val="center"/>
          </w:tcPr>
          <w:p w14:paraId="1F6F882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模拟能力</w:t>
            </w:r>
          </w:p>
        </w:tc>
        <w:tc>
          <w:tcPr>
            <w:tcW w:w="2233" w:type="dxa"/>
            <w:shd w:val="clear" w:color="auto" w:fill="auto"/>
            <w:vAlign w:val="center"/>
          </w:tcPr>
          <w:p w14:paraId="169B555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主要风险</w:t>
            </w:r>
          </w:p>
        </w:tc>
        <w:tc>
          <w:tcPr>
            <w:tcW w:w="3972" w:type="dxa"/>
            <w:shd w:val="clear" w:color="auto" w:fill="auto"/>
            <w:vAlign w:val="center"/>
          </w:tcPr>
          <w:p w14:paraId="696563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安全实现</w:t>
            </w:r>
          </w:p>
        </w:tc>
      </w:tr>
      <w:tr w14:paraId="040B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shd w:val="clear" w:color="auto" w:fill="auto"/>
            <w:vAlign w:val="center"/>
          </w:tcPr>
          <w:p w14:paraId="35E2AB2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read_file</w:t>
            </w:r>
          </w:p>
        </w:tc>
        <w:tc>
          <w:tcPr>
            <w:tcW w:w="0" w:type="auto"/>
            <w:shd w:val="clear" w:color="auto" w:fill="auto"/>
            <w:vAlign w:val="center"/>
          </w:tcPr>
          <w:p w14:paraId="7CF8C6F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读取本地文件</w:t>
            </w:r>
          </w:p>
        </w:tc>
        <w:tc>
          <w:tcPr>
            <w:tcW w:w="0" w:type="auto"/>
            <w:shd w:val="clear" w:color="auto" w:fill="auto"/>
            <w:vAlign w:val="center"/>
          </w:tcPr>
          <w:p w14:paraId="0532BDB2">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敏感文件读取、secret泄露</w:t>
            </w:r>
          </w:p>
        </w:tc>
        <w:tc>
          <w:tcPr>
            <w:tcW w:w="0" w:type="auto"/>
            <w:shd w:val="clear" w:color="auto" w:fill="auto"/>
            <w:vAlign w:val="center"/>
          </w:tcPr>
          <w:p w14:paraId="248E215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限制在sandbox路径；secret路径触发高风险规则</w:t>
            </w:r>
          </w:p>
        </w:tc>
      </w:tr>
      <w:tr w14:paraId="63DC9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0D393A0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write_file</w:t>
            </w:r>
          </w:p>
        </w:tc>
        <w:tc>
          <w:tcPr>
            <w:tcW w:w="0" w:type="auto"/>
            <w:shd w:val="clear" w:color="auto" w:fill="auto"/>
            <w:vAlign w:val="center"/>
          </w:tcPr>
          <w:p w14:paraId="02980F44">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写入本地笔记或结果文件</w:t>
            </w:r>
          </w:p>
        </w:tc>
        <w:tc>
          <w:tcPr>
            <w:tcW w:w="0" w:type="auto"/>
            <w:shd w:val="clear" w:color="auto" w:fill="auto"/>
            <w:vAlign w:val="center"/>
          </w:tcPr>
          <w:p w14:paraId="53E40D78">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越权写入、数据污染</w:t>
            </w:r>
          </w:p>
        </w:tc>
        <w:tc>
          <w:tcPr>
            <w:tcW w:w="0" w:type="auto"/>
            <w:shd w:val="clear" w:color="auto" w:fill="auto"/>
            <w:vAlign w:val="center"/>
          </w:tcPr>
          <w:p w14:paraId="1D395BC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仅允许sandbox/public等白名单路径</w:t>
            </w:r>
          </w:p>
        </w:tc>
      </w:tr>
      <w:tr w14:paraId="29FA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shd w:val="clear" w:color="auto" w:fill="auto"/>
            <w:vAlign w:val="center"/>
          </w:tcPr>
          <w:p w14:paraId="49DB2BB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send_email</w:t>
            </w:r>
          </w:p>
        </w:tc>
        <w:tc>
          <w:tcPr>
            <w:tcW w:w="0" w:type="auto"/>
            <w:shd w:val="clear" w:color="auto" w:fill="auto"/>
            <w:vAlign w:val="center"/>
          </w:tcPr>
          <w:p w14:paraId="26E9F70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模拟邮件发送</w:t>
            </w:r>
          </w:p>
        </w:tc>
        <w:tc>
          <w:tcPr>
            <w:tcW w:w="0" w:type="auto"/>
            <w:shd w:val="clear" w:color="auto" w:fill="auto"/>
            <w:vAlign w:val="center"/>
          </w:tcPr>
          <w:p w14:paraId="4072C8EE">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敏感数据外发、非预期通知</w:t>
            </w:r>
          </w:p>
        </w:tc>
        <w:tc>
          <w:tcPr>
            <w:tcW w:w="0" w:type="auto"/>
            <w:shd w:val="clear" w:color="auto" w:fill="auto"/>
            <w:vAlign w:val="center"/>
          </w:tcPr>
          <w:p w14:paraId="63C5C226">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只写outbox.jsonl，不连接真实SMTP</w:t>
            </w:r>
          </w:p>
        </w:tc>
      </w:tr>
      <w:tr w14:paraId="2D34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270EBAF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call_api</w:t>
            </w:r>
          </w:p>
        </w:tc>
        <w:tc>
          <w:tcPr>
            <w:tcW w:w="0" w:type="auto"/>
            <w:shd w:val="clear" w:color="auto" w:fill="auto"/>
            <w:vAlign w:val="center"/>
          </w:tcPr>
          <w:p w14:paraId="2C70F134">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模拟外部接口调用</w:t>
            </w:r>
          </w:p>
        </w:tc>
        <w:tc>
          <w:tcPr>
            <w:tcW w:w="0" w:type="auto"/>
            <w:shd w:val="clear" w:color="auto" w:fill="auto"/>
            <w:vAlign w:val="center"/>
          </w:tcPr>
          <w:p w14:paraId="6108B965">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非授权API调用、数据出站</w:t>
            </w:r>
          </w:p>
        </w:tc>
        <w:tc>
          <w:tcPr>
            <w:tcW w:w="0" w:type="auto"/>
            <w:shd w:val="clear" w:color="auto" w:fill="auto"/>
            <w:vAlign w:val="center"/>
          </w:tcPr>
          <w:p w14:paraId="379E791E">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仅允许/</w:t>
            </w:r>
            <w:r>
              <w:rPr>
                <w:rFonts w:hint="eastAsia" w:ascii="宋体" w:hAnsi="宋体" w:eastAsia="宋体" w:cs="宋体"/>
                <w:b w:val="0"/>
                <w:bCs/>
                <w:color w:val="auto"/>
                <w:sz w:val="21"/>
                <w:szCs w:val="21"/>
                <w:lang w:eastAsia="zh-CN"/>
              </w:rPr>
              <w:t>模拟</w:t>
            </w:r>
            <w:r>
              <w:rPr>
                <w:rFonts w:hint="eastAsia" w:ascii="宋体" w:hAnsi="宋体" w:eastAsia="宋体" w:cs="宋体"/>
                <w:b w:val="0"/>
                <w:bCs/>
                <w:color w:val="auto"/>
                <w:sz w:val="21"/>
                <w:szCs w:val="21"/>
              </w:rPr>
              <w:t>endpoint，其他端点拒绝</w:t>
            </w:r>
          </w:p>
        </w:tc>
      </w:tr>
      <w:tr w14:paraId="1C9E7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7FB754B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run_code</w:t>
            </w:r>
          </w:p>
        </w:tc>
        <w:tc>
          <w:tcPr>
            <w:tcW w:w="0" w:type="auto"/>
            <w:shd w:val="clear" w:color="auto" w:fill="auto"/>
            <w:vAlign w:val="center"/>
          </w:tcPr>
          <w:p w14:paraId="0DBF2D7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模拟代码执行请求</w:t>
            </w:r>
          </w:p>
        </w:tc>
        <w:tc>
          <w:tcPr>
            <w:tcW w:w="0" w:type="auto"/>
            <w:shd w:val="clear" w:color="auto" w:fill="auto"/>
            <w:vAlign w:val="center"/>
          </w:tcPr>
          <w:p w14:paraId="6B96B5EB">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任意代码执行、系统破坏</w:t>
            </w:r>
          </w:p>
        </w:tc>
        <w:tc>
          <w:tcPr>
            <w:tcW w:w="0" w:type="auto"/>
            <w:shd w:val="clear" w:color="auto" w:fill="auto"/>
            <w:vAlign w:val="center"/>
          </w:tcPr>
          <w:p w14:paraId="2B85D15F">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默认禁用，不执行模型生成代码</w:t>
            </w:r>
          </w:p>
        </w:tc>
      </w:tr>
    </w:tbl>
    <w:p w14:paraId="46030EB4">
      <w:pPr>
        <w:keepNext w:val="0"/>
        <w:keepLines w:val="0"/>
        <w:pageBreakBefore w:val="0"/>
        <w:widowControl/>
        <w:kinsoku/>
        <w:wordWrap/>
        <w:overflowPunct/>
        <w:topLinePunct w:val="0"/>
        <w:autoSpaceDE/>
        <w:autoSpaceDN/>
        <w:bidi w:val="0"/>
        <w:adjustRightInd/>
        <w:snapToGrid/>
        <w:spacing w:after="0" w:line="360" w:lineRule="auto"/>
        <w:textAlignment w:val="auto"/>
        <w:rPr>
          <w:color w:val="auto"/>
        </w:rPr>
      </w:pPr>
    </w:p>
    <w:p w14:paraId="33E05DDC">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2.5.2</w:t>
      </w:r>
      <w:r>
        <w:rPr>
          <w:rFonts w:hint="eastAsia" w:ascii="黑体" w:hAnsi="黑体" w:eastAsia="黑体"/>
          <w:b/>
          <w:color w:val="auto"/>
          <w:sz w:val="24"/>
          <w:szCs w:val="24"/>
          <w:lang w:val="en-US" w:eastAsia="zh-CN"/>
        </w:rPr>
        <w:t xml:space="preserve"> </w:t>
      </w:r>
      <w:r>
        <w:rPr>
          <w:rFonts w:hint="eastAsia" w:ascii="黑体" w:hAnsi="黑体" w:eastAsia="黑体"/>
          <w:b/>
          <w:color w:val="auto"/>
          <w:sz w:val="24"/>
          <w:szCs w:val="24"/>
          <w:lang w:eastAsia="zh-CN"/>
        </w:rPr>
        <w:t>模拟</w:t>
      </w:r>
      <w:r>
        <w:rPr>
          <w:rFonts w:ascii="黑体" w:hAnsi="黑体" w:eastAsia="黑体"/>
          <w:b/>
          <w:color w:val="auto"/>
          <w:sz w:val="24"/>
          <w:szCs w:val="24"/>
        </w:rPr>
        <w:t>工具观察结果</w:t>
      </w:r>
    </w:p>
    <w:p w14:paraId="61C32596">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hint="eastAsia"/>
          <w:b w:val="0"/>
          <w:color w:val="auto"/>
          <w:sz w:val="24"/>
          <w:lang w:eastAsia="zh-CN"/>
        </w:rPr>
        <w:t>模拟</w:t>
      </w:r>
      <w:r>
        <w:rPr>
          <w:rFonts w:ascii="宋体" w:hAnsi="宋体" w:eastAsia="宋体"/>
          <w:b w:val="0"/>
          <w:color w:val="auto"/>
          <w:sz w:val="24"/>
        </w:rPr>
        <w:t>工具执行后返回observation。对于允许的公开文件读取，observation返回文件摘要或模拟内容</w:t>
      </w:r>
      <w:r>
        <w:rPr>
          <w:rFonts w:hint="eastAsia"/>
          <w:b w:val="0"/>
          <w:color w:val="auto"/>
          <w:sz w:val="24"/>
          <w:lang w:eastAsia="zh-CN"/>
        </w:rPr>
        <w:t>。</w:t>
      </w:r>
      <w:r>
        <w:rPr>
          <w:rFonts w:ascii="宋体" w:hAnsi="宋体" w:eastAsia="宋体"/>
          <w:b w:val="0"/>
          <w:color w:val="auto"/>
          <w:sz w:val="24"/>
        </w:rPr>
        <w:t>对于邮件发送，observation记录outbox写入路径和收件人</w:t>
      </w:r>
      <w:r>
        <w:rPr>
          <w:rFonts w:hint="eastAsia"/>
          <w:b w:val="0"/>
          <w:color w:val="auto"/>
          <w:sz w:val="24"/>
          <w:lang w:eastAsia="zh-CN"/>
        </w:rPr>
        <w:t>。</w:t>
      </w:r>
      <w:r>
        <w:rPr>
          <w:rFonts w:ascii="宋体" w:hAnsi="宋体" w:eastAsia="宋体"/>
          <w:b w:val="0"/>
          <w:color w:val="auto"/>
          <w:sz w:val="24"/>
        </w:rPr>
        <w:t>对于API调用，observation返回预置</w:t>
      </w:r>
      <w:r>
        <w:rPr>
          <w:rFonts w:hint="eastAsia"/>
          <w:b w:val="0"/>
          <w:color w:val="auto"/>
          <w:sz w:val="24"/>
          <w:lang w:eastAsia="zh-CN"/>
        </w:rPr>
        <w:t>模拟</w:t>
      </w:r>
      <w:r>
        <w:rPr>
          <w:rFonts w:ascii="宋体" w:hAnsi="宋体" w:eastAsia="宋体"/>
          <w:b w:val="0"/>
          <w:color w:val="auto"/>
          <w:sz w:val="24"/>
        </w:rPr>
        <w:t>JSON</w:t>
      </w:r>
      <w:r>
        <w:rPr>
          <w:rFonts w:hint="eastAsia"/>
          <w:b w:val="0"/>
          <w:color w:val="auto"/>
          <w:sz w:val="24"/>
          <w:lang w:eastAsia="zh-CN"/>
        </w:rPr>
        <w:t>。</w:t>
      </w:r>
      <w:r>
        <w:rPr>
          <w:rFonts w:ascii="宋体" w:hAnsi="宋体" w:eastAsia="宋体"/>
          <w:b w:val="0"/>
          <w:color w:val="auto"/>
          <w:sz w:val="24"/>
        </w:rPr>
        <w:t>对于被策略拒绝的动作，observation为空或记录blocked状态</w:t>
      </w:r>
      <w:r>
        <w:rPr>
          <w:rFonts w:hint="eastAsia"/>
          <w:b w:val="0"/>
          <w:color w:val="auto"/>
          <w:sz w:val="24"/>
          <w:lang w:eastAsia="zh-CN"/>
        </w:rPr>
        <w:t>，</w:t>
      </w:r>
      <w:r>
        <w:rPr>
          <w:rFonts w:ascii="宋体" w:hAnsi="宋体" w:eastAsia="宋体"/>
          <w:b w:val="0"/>
          <w:color w:val="auto"/>
          <w:sz w:val="24"/>
        </w:rPr>
        <w:t>该字段与guard_decision、risk_score和reasons一起构成单案例复盘的核心证据。</w:t>
      </w:r>
    </w:p>
    <w:p w14:paraId="66FBE120">
      <w:pPr>
        <w:pStyle w:val="4"/>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8"/>
          <w:szCs w:val="28"/>
        </w:rPr>
      </w:pPr>
      <w:r>
        <w:rPr>
          <w:rFonts w:ascii="黑体" w:hAnsi="黑体" w:eastAsia="黑体"/>
          <w:b/>
          <w:color w:val="auto"/>
          <w:sz w:val="28"/>
          <w:szCs w:val="28"/>
        </w:rPr>
        <w:t xml:space="preserve">2.6 </w:t>
      </w:r>
      <w:r>
        <w:rPr>
          <w:rFonts w:hint="eastAsia" w:ascii="黑体" w:hAnsi="黑体" w:eastAsia="黑体"/>
          <w:b/>
          <w:color w:val="auto"/>
          <w:sz w:val="28"/>
          <w:szCs w:val="28"/>
          <w:lang w:eastAsia="zh-CN"/>
        </w:rPr>
        <w:t>行为监督器</w:t>
      </w:r>
      <w:r>
        <w:rPr>
          <w:rFonts w:ascii="黑体" w:hAnsi="黑体" w:eastAsia="黑体"/>
          <w:b/>
          <w:color w:val="auto"/>
          <w:sz w:val="28"/>
          <w:szCs w:val="28"/>
        </w:rPr>
        <w:t>核心设计</w:t>
      </w:r>
    </w:p>
    <w:p w14:paraId="4542D7D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hint="eastAsia"/>
          <w:b w:val="0"/>
          <w:color w:val="auto"/>
          <w:sz w:val="24"/>
          <w:lang w:eastAsia="zh-CN"/>
        </w:rPr>
        <w:t>行为监督器</w:t>
      </w:r>
      <w:r>
        <w:rPr>
          <w:rFonts w:ascii="宋体" w:hAnsi="宋体" w:eastAsia="宋体"/>
          <w:b w:val="0"/>
          <w:color w:val="auto"/>
          <w:sz w:val="24"/>
        </w:rPr>
        <w:t>是M³-PI</w:t>
      </w:r>
      <w:r>
        <w:rPr>
          <w:rFonts w:hint="eastAsia"/>
          <w:b w:val="0"/>
          <w:color w:val="auto"/>
          <w:sz w:val="24"/>
          <w:lang w:eastAsia="zh-CN"/>
        </w:rPr>
        <w:t>行为监督器</w:t>
      </w:r>
      <w:r>
        <w:rPr>
          <w:rFonts w:ascii="宋体" w:hAnsi="宋体" w:eastAsia="宋体"/>
          <w:b w:val="0"/>
          <w:color w:val="auto"/>
          <w:sz w:val="24"/>
        </w:rPr>
        <w:t>的核心模块。其接口可表示为G(context, tool_call, mode) -&gt; (decision, risk_score, reasons)。其中context是模型看到的用户任务和上下文材料，tool_call是模型产生的候选工具调用，mode是防护模式，decision属于allow、ask、deny，risk_score为0到1之间的风险分，reasons为可解释原因列表。</w:t>
      </w:r>
    </w:p>
    <w:p w14:paraId="14B33A3D">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 xml:space="preserve">2.6.1 </w:t>
      </w:r>
      <w:r>
        <w:rPr>
          <w:rFonts w:hint="eastAsia" w:ascii="黑体" w:hAnsi="黑体" w:eastAsia="黑体"/>
          <w:b/>
          <w:color w:val="auto"/>
          <w:sz w:val="24"/>
          <w:szCs w:val="24"/>
          <w:lang w:eastAsia="zh-CN"/>
        </w:rPr>
        <w:t>行为监督器</w:t>
      </w:r>
      <w:r>
        <w:rPr>
          <w:rFonts w:ascii="黑体" w:hAnsi="黑体" w:eastAsia="黑体"/>
          <w:b/>
          <w:color w:val="auto"/>
          <w:sz w:val="24"/>
          <w:szCs w:val="24"/>
        </w:rPr>
        <w:t>组件划分</w:t>
      </w:r>
    </w:p>
    <w:p w14:paraId="35A4EEC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eastAsia="zh-CN"/>
        </w:rPr>
        <w:t>行为监督器</w:t>
      </w:r>
      <w:r>
        <w:rPr>
          <w:rFonts w:hint="eastAsia" w:ascii="宋体" w:hAnsi="宋体" w:eastAsia="宋体" w:cs="宋体"/>
          <w:b w:val="0"/>
          <w:bCs w:val="0"/>
          <w:color w:val="auto"/>
          <w:sz w:val="24"/>
          <w:szCs w:val="24"/>
        </w:rPr>
        <w:t>由normalizer、detector、dataflow、policy_engine、intent_checker和guard_engine六个部分组成。normalizer负责把不同字符表示统一到可检测形式</w:t>
      </w:r>
      <w:r>
        <w:rPr>
          <w:rFonts w:hint="eastAsia" w:cs="宋体"/>
          <w:b w:val="0"/>
          <w:bCs w:val="0"/>
          <w:color w:val="auto"/>
          <w:sz w:val="24"/>
          <w:szCs w:val="24"/>
          <w:lang w:eastAsia="zh-CN"/>
        </w:rPr>
        <w:t>，</w:t>
      </w:r>
      <w:r>
        <w:rPr>
          <w:rFonts w:hint="eastAsia" w:ascii="宋体" w:hAnsi="宋体" w:eastAsia="宋体" w:cs="宋体"/>
          <w:b w:val="0"/>
          <w:bCs w:val="0"/>
          <w:color w:val="auto"/>
          <w:sz w:val="24"/>
          <w:szCs w:val="24"/>
        </w:rPr>
        <w:t>detector负责识别上下文中的注入信号</w:t>
      </w:r>
      <w:r>
        <w:rPr>
          <w:rFonts w:hint="eastAsia" w:cs="宋体"/>
          <w:b w:val="0"/>
          <w:bCs w:val="0"/>
          <w:color w:val="auto"/>
          <w:sz w:val="24"/>
          <w:szCs w:val="24"/>
          <w:lang w:eastAsia="zh-CN"/>
        </w:rPr>
        <w:t>，</w:t>
      </w:r>
      <w:r>
        <w:rPr>
          <w:rFonts w:hint="eastAsia" w:ascii="宋体" w:hAnsi="宋体" w:eastAsia="宋体" w:cs="宋体"/>
          <w:b w:val="0"/>
          <w:bCs w:val="0"/>
          <w:color w:val="auto"/>
          <w:sz w:val="24"/>
          <w:szCs w:val="24"/>
        </w:rPr>
        <w:t>dataflow负责追踪敏感标记是否进入工具参数；policy_engine负责检查工具名、路径、端点和副作用</w:t>
      </w:r>
      <w:r>
        <w:rPr>
          <w:rFonts w:hint="eastAsia" w:cs="宋体"/>
          <w:b w:val="0"/>
          <w:bCs w:val="0"/>
          <w:color w:val="auto"/>
          <w:sz w:val="24"/>
          <w:szCs w:val="24"/>
          <w:lang w:eastAsia="zh-CN"/>
        </w:rPr>
        <w:t>，</w:t>
      </w:r>
      <w:r>
        <w:rPr>
          <w:rFonts w:hint="eastAsia" w:ascii="宋体" w:hAnsi="宋体" w:eastAsia="宋体" w:cs="宋体"/>
          <w:b w:val="0"/>
          <w:bCs w:val="0"/>
          <w:color w:val="auto"/>
          <w:sz w:val="24"/>
          <w:szCs w:val="24"/>
        </w:rPr>
        <w:t>intent_checker负责判断工具动作是否与用户任务一致</w:t>
      </w:r>
      <w:r>
        <w:rPr>
          <w:rFonts w:hint="eastAsia" w:cs="宋体"/>
          <w:b w:val="0"/>
          <w:bCs w:val="0"/>
          <w:color w:val="auto"/>
          <w:sz w:val="24"/>
          <w:szCs w:val="24"/>
          <w:lang w:eastAsia="zh-CN"/>
        </w:rPr>
        <w:t>，</w:t>
      </w:r>
      <w:r>
        <w:rPr>
          <w:rFonts w:hint="eastAsia" w:ascii="宋体" w:hAnsi="宋体" w:eastAsia="宋体" w:cs="宋体"/>
          <w:b w:val="0"/>
          <w:bCs w:val="0"/>
          <w:color w:val="auto"/>
          <w:sz w:val="24"/>
          <w:szCs w:val="24"/>
        </w:rPr>
        <w:t>guard_engine负责聚合各类信号并输出最终裁决。</w:t>
      </w:r>
    </w:p>
    <w:p w14:paraId="6D95A9F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color w:val="auto"/>
          <w:sz w:val="21"/>
          <w:szCs w:val="21"/>
        </w:rPr>
      </w:pPr>
      <w:r>
        <w:rPr>
          <w:rFonts w:hint="eastAsia" w:ascii="宋体" w:hAnsi="宋体" w:eastAsia="宋体" w:cs="宋体"/>
          <w:b w:val="0"/>
          <w:bCs w:val="0"/>
          <w:color w:val="auto"/>
          <w:sz w:val="21"/>
          <w:szCs w:val="21"/>
        </w:rPr>
        <w:t>表2-</w:t>
      </w:r>
      <w:r>
        <w:rPr>
          <w:rFonts w:hint="eastAsia" w:cs="宋体"/>
          <w:b w:val="0"/>
          <w:bCs w:val="0"/>
          <w:color w:val="auto"/>
          <w:sz w:val="21"/>
          <w:szCs w:val="21"/>
          <w:lang w:val="en-US" w:eastAsia="zh-CN"/>
        </w:rPr>
        <w:t>6</w:t>
      </w:r>
      <w:r>
        <w:rPr>
          <w:rFonts w:hint="eastAsia" w:ascii="宋体" w:hAnsi="宋体" w:eastAsia="宋体" w:cs="宋体"/>
          <w:b w:val="0"/>
          <w:bCs w:val="0"/>
          <w:color w:val="auto"/>
          <w:sz w:val="21"/>
          <w:szCs w:val="21"/>
        </w:rPr>
        <w:t xml:space="preserve"> </w:t>
      </w:r>
      <w:r>
        <w:rPr>
          <w:rFonts w:hint="eastAsia" w:ascii="宋体" w:hAnsi="宋体" w:eastAsia="宋体" w:cs="宋体"/>
          <w:b w:val="0"/>
          <w:bCs w:val="0"/>
          <w:color w:val="auto"/>
          <w:sz w:val="21"/>
          <w:szCs w:val="21"/>
          <w:lang w:eastAsia="zh-CN"/>
        </w:rPr>
        <w:t>行为监督器</w:t>
      </w:r>
      <w:r>
        <w:rPr>
          <w:rFonts w:hint="eastAsia" w:ascii="宋体" w:hAnsi="宋体" w:eastAsia="宋体" w:cs="宋体"/>
          <w:b w:val="0"/>
          <w:bCs w:val="0"/>
          <w:color w:val="auto"/>
          <w:sz w:val="21"/>
          <w:szCs w:val="21"/>
        </w:rPr>
        <w:t>组件说明</w:t>
      </w:r>
    </w:p>
    <w:tbl>
      <w:tblPr>
        <w:tblStyle w:val="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686"/>
        <w:gridCol w:w="1939"/>
        <w:gridCol w:w="2839"/>
        <w:gridCol w:w="2927"/>
      </w:tblGrid>
      <w:tr w14:paraId="1CDC5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897" w:type="pct"/>
            <w:shd w:val="clear" w:color="auto" w:fill="auto"/>
            <w:vAlign w:val="center"/>
          </w:tcPr>
          <w:p w14:paraId="12245A5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组件</w:t>
            </w:r>
          </w:p>
        </w:tc>
        <w:tc>
          <w:tcPr>
            <w:tcW w:w="1032" w:type="pct"/>
            <w:shd w:val="clear" w:color="auto" w:fill="auto"/>
            <w:vAlign w:val="center"/>
          </w:tcPr>
          <w:p w14:paraId="1121F59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输入</w:t>
            </w:r>
          </w:p>
        </w:tc>
        <w:tc>
          <w:tcPr>
            <w:tcW w:w="1511" w:type="pct"/>
            <w:shd w:val="clear" w:color="auto" w:fill="auto"/>
            <w:vAlign w:val="center"/>
          </w:tcPr>
          <w:p w14:paraId="0E90955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处理逻辑</w:t>
            </w:r>
          </w:p>
        </w:tc>
        <w:tc>
          <w:tcPr>
            <w:tcW w:w="1558" w:type="pct"/>
            <w:shd w:val="clear" w:color="auto" w:fill="auto"/>
            <w:vAlign w:val="center"/>
          </w:tcPr>
          <w:p w14:paraId="75F687E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输出信号</w:t>
            </w:r>
          </w:p>
        </w:tc>
      </w:tr>
      <w:tr w14:paraId="46AC3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897" w:type="pct"/>
            <w:shd w:val="clear" w:color="auto" w:fill="auto"/>
            <w:vAlign w:val="center"/>
          </w:tcPr>
          <w:p w14:paraId="608F74A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normalizer</w:t>
            </w:r>
          </w:p>
        </w:tc>
        <w:tc>
          <w:tcPr>
            <w:tcW w:w="1032" w:type="pct"/>
            <w:shd w:val="clear" w:color="auto" w:fill="auto"/>
            <w:vAlign w:val="center"/>
          </w:tcPr>
          <w:p w14:paraId="225E0EFF">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上下文文本、工具参数</w:t>
            </w:r>
          </w:p>
        </w:tc>
        <w:tc>
          <w:tcPr>
            <w:tcW w:w="1511" w:type="pct"/>
            <w:shd w:val="clear" w:color="auto" w:fill="auto"/>
            <w:vAlign w:val="center"/>
          </w:tcPr>
          <w:p w14:paraId="0972479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Unicode NFKC归一化、删除零宽字符、识别混合脚本</w:t>
            </w:r>
          </w:p>
        </w:tc>
        <w:tc>
          <w:tcPr>
            <w:tcW w:w="1558" w:type="pct"/>
            <w:shd w:val="clear" w:color="auto" w:fill="auto"/>
            <w:vAlign w:val="center"/>
          </w:tcPr>
          <w:p w14:paraId="0C9F9496">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normalized_text、unicode_obfuscation</w:t>
            </w:r>
          </w:p>
        </w:tc>
      </w:tr>
      <w:tr w14:paraId="2021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897" w:type="pct"/>
            <w:shd w:val="clear" w:color="auto" w:fill="auto"/>
            <w:vAlign w:val="center"/>
          </w:tcPr>
          <w:p w14:paraId="5E5182D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color w:val="auto"/>
                <w:sz w:val="21"/>
                <w:szCs w:val="21"/>
              </w:rPr>
            </w:pPr>
            <w:r>
              <w:rPr>
                <w:rFonts w:ascii="宋体" w:hAnsi="宋体" w:eastAsia="宋体"/>
                <w:color w:val="auto"/>
                <w:sz w:val="21"/>
                <w:szCs w:val="21"/>
              </w:rPr>
              <w:t>detector</w:t>
            </w:r>
          </w:p>
        </w:tc>
        <w:tc>
          <w:tcPr>
            <w:tcW w:w="1032" w:type="pct"/>
            <w:shd w:val="clear" w:color="auto" w:fill="auto"/>
            <w:vAlign w:val="center"/>
          </w:tcPr>
          <w:p w14:paraId="2A31E401">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归一化上下文</w:t>
            </w:r>
          </w:p>
        </w:tc>
        <w:tc>
          <w:tcPr>
            <w:tcW w:w="1511" w:type="pct"/>
            <w:shd w:val="clear" w:color="auto" w:fill="auto"/>
            <w:vAlign w:val="center"/>
          </w:tcPr>
          <w:p w14:paraId="6AAF646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检测忽略规则、系统提示伪装、工具诱导、多语言注入和结构化字段</w:t>
            </w:r>
          </w:p>
        </w:tc>
        <w:tc>
          <w:tcPr>
            <w:tcW w:w="1558" w:type="pct"/>
            <w:shd w:val="clear" w:color="auto" w:fill="auto"/>
            <w:vAlign w:val="center"/>
          </w:tcPr>
          <w:p w14:paraId="7DB88E36">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instruction_override、tool_lure、structured_injection</w:t>
            </w:r>
          </w:p>
        </w:tc>
      </w:tr>
      <w:tr w14:paraId="1C31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897" w:type="pct"/>
            <w:shd w:val="clear" w:color="auto" w:fill="auto"/>
            <w:vAlign w:val="center"/>
          </w:tcPr>
          <w:p w14:paraId="71958B8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color w:val="auto"/>
                <w:sz w:val="21"/>
                <w:szCs w:val="21"/>
              </w:rPr>
            </w:pPr>
            <w:r>
              <w:rPr>
                <w:rFonts w:ascii="宋体" w:hAnsi="宋体" w:eastAsia="宋体"/>
                <w:color w:val="auto"/>
                <w:sz w:val="21"/>
                <w:szCs w:val="21"/>
              </w:rPr>
              <w:t>dataflow</w:t>
            </w:r>
          </w:p>
        </w:tc>
        <w:tc>
          <w:tcPr>
            <w:tcW w:w="1032" w:type="pct"/>
            <w:shd w:val="clear" w:color="auto" w:fill="auto"/>
            <w:vAlign w:val="center"/>
          </w:tcPr>
          <w:p w14:paraId="6681301F">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上下文、工具参数</w:t>
            </w:r>
          </w:p>
        </w:tc>
        <w:tc>
          <w:tcPr>
            <w:tcW w:w="1511" w:type="pct"/>
            <w:shd w:val="clear" w:color="auto" w:fill="auto"/>
            <w:vAlign w:val="center"/>
          </w:tcPr>
          <w:p w14:paraId="65DF97A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标记canary、token、api_key、password等敏感数据流向</w:t>
            </w:r>
          </w:p>
        </w:tc>
        <w:tc>
          <w:tcPr>
            <w:tcW w:w="1558" w:type="pct"/>
            <w:shd w:val="clear" w:color="auto" w:fill="auto"/>
            <w:vAlign w:val="center"/>
          </w:tcPr>
          <w:p w14:paraId="38EBE824">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sensitive_data_detected、data_exfil_risk</w:t>
            </w:r>
          </w:p>
        </w:tc>
      </w:tr>
      <w:tr w14:paraId="62AF0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897" w:type="pct"/>
            <w:shd w:val="clear" w:color="auto" w:fill="auto"/>
            <w:vAlign w:val="center"/>
          </w:tcPr>
          <w:p w14:paraId="47671A4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color w:val="auto"/>
                <w:sz w:val="21"/>
                <w:szCs w:val="21"/>
              </w:rPr>
            </w:pPr>
            <w:r>
              <w:rPr>
                <w:rFonts w:ascii="宋体" w:hAnsi="宋体" w:eastAsia="宋体"/>
                <w:color w:val="auto"/>
                <w:sz w:val="21"/>
                <w:szCs w:val="21"/>
              </w:rPr>
              <w:t>policy_engine</w:t>
            </w:r>
          </w:p>
        </w:tc>
        <w:tc>
          <w:tcPr>
            <w:tcW w:w="1032" w:type="pct"/>
            <w:shd w:val="clear" w:color="auto" w:fill="auto"/>
            <w:vAlign w:val="center"/>
          </w:tcPr>
          <w:p w14:paraId="58B8D8D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工具名和参数</w:t>
            </w:r>
          </w:p>
        </w:tc>
        <w:tc>
          <w:tcPr>
            <w:tcW w:w="1511" w:type="pct"/>
            <w:shd w:val="clear" w:color="auto" w:fill="auto"/>
            <w:vAlign w:val="center"/>
          </w:tcPr>
          <w:p w14:paraId="64ED595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检查工具白名单、sandbox路径、/</w:t>
            </w:r>
            <w:r>
              <w:rPr>
                <w:rFonts w:hint="eastAsia"/>
                <w:color w:val="auto"/>
                <w:sz w:val="21"/>
                <w:szCs w:val="21"/>
                <w:lang w:eastAsia="zh-CN"/>
              </w:rPr>
              <w:t>模拟</w:t>
            </w:r>
            <w:r>
              <w:rPr>
                <w:rFonts w:ascii="宋体" w:hAnsi="宋体" w:eastAsia="宋体"/>
                <w:color w:val="auto"/>
                <w:sz w:val="21"/>
                <w:szCs w:val="21"/>
              </w:rPr>
              <w:t>端点和run_code禁用规则</w:t>
            </w:r>
          </w:p>
        </w:tc>
        <w:tc>
          <w:tcPr>
            <w:tcW w:w="1558" w:type="pct"/>
            <w:shd w:val="clear" w:color="auto" w:fill="auto"/>
            <w:vAlign w:val="center"/>
          </w:tcPr>
          <w:p w14:paraId="1FA39C6E">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non_sandbox_path、non_</w:t>
            </w:r>
            <w:r>
              <w:rPr>
                <w:rFonts w:hint="eastAsia"/>
                <w:color w:val="auto"/>
                <w:sz w:val="21"/>
                <w:szCs w:val="21"/>
                <w:lang w:eastAsia="zh-CN"/>
              </w:rPr>
              <w:t>模拟</w:t>
            </w:r>
            <w:r>
              <w:rPr>
                <w:rFonts w:ascii="宋体" w:hAnsi="宋体" w:eastAsia="宋体"/>
                <w:color w:val="auto"/>
                <w:sz w:val="21"/>
                <w:szCs w:val="21"/>
              </w:rPr>
              <w:t>_endpoint、high_risk_tool</w:t>
            </w:r>
          </w:p>
        </w:tc>
      </w:tr>
      <w:tr w14:paraId="7E20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897" w:type="pct"/>
            <w:shd w:val="clear" w:color="auto" w:fill="auto"/>
            <w:vAlign w:val="center"/>
          </w:tcPr>
          <w:p w14:paraId="571A9D0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color w:val="auto"/>
                <w:sz w:val="21"/>
                <w:szCs w:val="21"/>
              </w:rPr>
            </w:pPr>
            <w:r>
              <w:rPr>
                <w:rFonts w:ascii="宋体" w:hAnsi="宋体" w:eastAsia="宋体"/>
                <w:color w:val="auto"/>
                <w:sz w:val="21"/>
                <w:szCs w:val="21"/>
              </w:rPr>
              <w:t>intent_checker</w:t>
            </w:r>
          </w:p>
        </w:tc>
        <w:tc>
          <w:tcPr>
            <w:tcW w:w="1032" w:type="pct"/>
            <w:shd w:val="clear" w:color="auto" w:fill="auto"/>
            <w:vAlign w:val="center"/>
          </w:tcPr>
          <w:p w14:paraId="25A26BDB">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用户任务、候选工具调用</w:t>
            </w:r>
          </w:p>
        </w:tc>
        <w:tc>
          <w:tcPr>
            <w:tcW w:w="1511" w:type="pct"/>
            <w:shd w:val="clear" w:color="auto" w:fill="auto"/>
            <w:vAlign w:val="center"/>
          </w:tcPr>
          <w:p w14:paraId="45C87366">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判断总结、翻译、分类等任务是否需要当前工具动作</w:t>
            </w:r>
          </w:p>
        </w:tc>
        <w:tc>
          <w:tcPr>
            <w:tcW w:w="1558" w:type="pct"/>
            <w:shd w:val="clear" w:color="auto" w:fill="auto"/>
            <w:vAlign w:val="center"/>
          </w:tcPr>
          <w:p w14:paraId="5A904A6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intent_action_mismatch</w:t>
            </w:r>
          </w:p>
        </w:tc>
      </w:tr>
      <w:tr w14:paraId="22324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897" w:type="pct"/>
            <w:shd w:val="clear" w:color="auto" w:fill="auto"/>
            <w:vAlign w:val="center"/>
          </w:tcPr>
          <w:p w14:paraId="0995795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color w:val="auto"/>
                <w:sz w:val="21"/>
                <w:szCs w:val="21"/>
              </w:rPr>
            </w:pPr>
            <w:r>
              <w:rPr>
                <w:rFonts w:ascii="宋体" w:hAnsi="宋体" w:eastAsia="宋体"/>
                <w:color w:val="auto"/>
                <w:sz w:val="21"/>
                <w:szCs w:val="21"/>
              </w:rPr>
              <w:t>guard_engine</w:t>
            </w:r>
          </w:p>
        </w:tc>
        <w:tc>
          <w:tcPr>
            <w:tcW w:w="1032" w:type="pct"/>
            <w:shd w:val="clear" w:color="auto" w:fill="auto"/>
            <w:vAlign w:val="center"/>
          </w:tcPr>
          <w:p w14:paraId="702ABA8F">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所有风险信号</w:t>
            </w:r>
          </w:p>
        </w:tc>
        <w:tc>
          <w:tcPr>
            <w:tcW w:w="1511" w:type="pct"/>
            <w:shd w:val="clear" w:color="auto" w:fill="auto"/>
            <w:vAlign w:val="center"/>
          </w:tcPr>
          <w:p w14:paraId="2146CFD5">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聚合风险分，执行阈值裁决和强规则拒绝</w:t>
            </w:r>
          </w:p>
        </w:tc>
        <w:tc>
          <w:tcPr>
            <w:tcW w:w="1558" w:type="pct"/>
            <w:shd w:val="clear" w:color="auto" w:fill="auto"/>
            <w:vAlign w:val="center"/>
          </w:tcPr>
          <w:p w14:paraId="51C0ED94">
            <w:pPr>
              <w:keepNext w:val="0"/>
              <w:keepLines w:val="0"/>
              <w:pageBreakBefore w:val="0"/>
              <w:widowControl/>
              <w:kinsoku/>
              <w:wordWrap/>
              <w:overflowPunct/>
              <w:topLinePunct w:val="0"/>
              <w:autoSpaceDE/>
              <w:autoSpaceDN/>
              <w:bidi w:val="0"/>
              <w:adjustRightInd/>
              <w:snapToGrid/>
              <w:spacing w:after="0" w:line="360" w:lineRule="auto"/>
              <w:jc w:val="left"/>
              <w:textAlignment w:val="auto"/>
              <w:rPr>
                <w:color w:val="auto"/>
                <w:sz w:val="21"/>
                <w:szCs w:val="21"/>
              </w:rPr>
            </w:pPr>
            <w:r>
              <w:rPr>
                <w:rFonts w:ascii="宋体" w:hAnsi="宋体" w:eastAsia="宋体"/>
                <w:color w:val="auto"/>
                <w:sz w:val="21"/>
                <w:szCs w:val="21"/>
              </w:rPr>
              <w:t>decision、risk_score、reasons</w:t>
            </w:r>
          </w:p>
        </w:tc>
      </w:tr>
    </w:tbl>
    <w:p w14:paraId="389A2472">
      <w:pPr>
        <w:keepNext w:val="0"/>
        <w:keepLines w:val="0"/>
        <w:pageBreakBefore w:val="0"/>
        <w:widowControl/>
        <w:kinsoku/>
        <w:wordWrap/>
        <w:overflowPunct/>
        <w:topLinePunct w:val="0"/>
        <w:autoSpaceDE/>
        <w:autoSpaceDN/>
        <w:bidi w:val="0"/>
        <w:adjustRightInd/>
        <w:snapToGrid/>
        <w:spacing w:after="0" w:line="360" w:lineRule="auto"/>
        <w:textAlignment w:val="auto"/>
        <w:rPr>
          <w:color w:val="auto"/>
        </w:rPr>
      </w:pPr>
    </w:p>
    <w:p w14:paraId="4ABCCB09">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2.6.2 文本归一化与注入检测</w:t>
      </w:r>
    </w:p>
    <w:p w14:paraId="00F79848">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文本归一化解决的是同一攻击意图可以通过不同字符形式出现的问题。多语言/T2L样本中可能出现零宽字符、繁简混写、全角半角混写、中英混合、拼音和谐音。normalizer先对上下文和工具参数进行Unicode NFKC归一化，再清理零宽字符和不可见控制字符，并记录是否存在异常混合脚本。</w:t>
      </w:r>
    </w:p>
    <w:p w14:paraId="6E100C28">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eastAsia" w:eastAsia="宋体"/>
          <w:color w:val="auto"/>
          <w:lang w:eastAsia="zh-CN"/>
        </w:rPr>
      </w:pPr>
      <w:r>
        <w:rPr>
          <w:rFonts w:ascii="宋体" w:hAnsi="宋体" w:eastAsia="宋体"/>
          <w:b w:val="0"/>
          <w:color w:val="auto"/>
          <w:sz w:val="24"/>
        </w:rPr>
        <w:t>detector在归一化结果上识别四类信号：指令覆盖类信号</w:t>
      </w:r>
      <w:r>
        <w:rPr>
          <w:rFonts w:hint="eastAsia"/>
          <w:b w:val="0"/>
          <w:color w:val="auto"/>
          <w:sz w:val="24"/>
          <w:lang w:eastAsia="zh-CN"/>
        </w:rPr>
        <w:t>、</w:t>
      </w:r>
      <w:r>
        <w:rPr>
          <w:rFonts w:ascii="宋体" w:hAnsi="宋体" w:eastAsia="宋体"/>
          <w:b w:val="0"/>
          <w:color w:val="auto"/>
          <w:sz w:val="24"/>
        </w:rPr>
        <w:t>工具诱导类信号</w:t>
      </w:r>
      <w:r>
        <w:rPr>
          <w:rFonts w:hint="eastAsia"/>
          <w:b w:val="0"/>
          <w:color w:val="auto"/>
          <w:sz w:val="24"/>
          <w:lang w:eastAsia="zh-CN"/>
        </w:rPr>
        <w:t>（</w:t>
      </w:r>
      <w:r>
        <w:rPr>
          <w:rFonts w:ascii="宋体" w:hAnsi="宋体" w:eastAsia="宋体"/>
          <w:b w:val="0"/>
          <w:color w:val="auto"/>
          <w:sz w:val="24"/>
        </w:rPr>
        <w:t>如读取文件、发送邮件、调用接口、执行代码</w:t>
      </w:r>
      <w:r>
        <w:rPr>
          <w:rFonts w:hint="eastAsia"/>
          <w:b w:val="0"/>
          <w:color w:val="auto"/>
          <w:sz w:val="24"/>
          <w:lang w:eastAsia="zh-CN"/>
        </w:rPr>
        <w:t>）、</w:t>
      </w:r>
      <w:r>
        <w:rPr>
          <w:rFonts w:ascii="宋体" w:hAnsi="宋体" w:eastAsia="宋体"/>
          <w:b w:val="0"/>
          <w:color w:val="auto"/>
          <w:sz w:val="24"/>
        </w:rPr>
        <w:t>结构化字段类信号</w:t>
      </w:r>
      <w:r>
        <w:rPr>
          <w:rFonts w:hint="eastAsia"/>
          <w:b w:val="0"/>
          <w:color w:val="auto"/>
          <w:sz w:val="24"/>
          <w:lang w:eastAsia="zh-CN"/>
        </w:rPr>
        <w:t>、</w:t>
      </w:r>
      <w:r>
        <w:rPr>
          <w:rFonts w:ascii="宋体" w:hAnsi="宋体" w:eastAsia="宋体"/>
          <w:b w:val="0"/>
          <w:color w:val="auto"/>
          <w:sz w:val="24"/>
        </w:rPr>
        <w:t>多语言混淆类信号</w:t>
      </w:r>
      <w:r>
        <w:rPr>
          <w:rFonts w:hint="eastAsia"/>
          <w:b w:val="0"/>
          <w:color w:val="auto"/>
          <w:sz w:val="24"/>
          <w:lang w:eastAsia="zh-CN"/>
        </w:rPr>
        <w:t>。</w:t>
      </w:r>
    </w:p>
    <w:p w14:paraId="4D30A627">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2.6.3 工具策略与数据流追踪</w:t>
      </w:r>
    </w:p>
    <w:p w14:paraId="3A3BA25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工具策略是</w:t>
      </w:r>
      <w:r>
        <w:rPr>
          <w:rFonts w:hint="eastAsia"/>
          <w:b w:val="0"/>
          <w:color w:val="auto"/>
          <w:sz w:val="24"/>
          <w:lang w:eastAsia="zh-CN"/>
        </w:rPr>
        <w:t>行为监督器</w:t>
      </w:r>
      <w:r>
        <w:rPr>
          <w:rFonts w:ascii="宋体" w:hAnsi="宋体" w:eastAsia="宋体"/>
          <w:b w:val="0"/>
          <w:color w:val="auto"/>
          <w:sz w:val="24"/>
        </w:rPr>
        <w:t>的硬边界。policy_engine对工具名称和参数进行检查</w:t>
      </w:r>
      <w:r>
        <w:rPr>
          <w:rFonts w:hint="eastAsia"/>
          <w:b w:val="0"/>
          <w:color w:val="auto"/>
          <w:sz w:val="24"/>
          <w:lang w:eastAsia="zh-CN"/>
        </w:rPr>
        <w:t>。</w:t>
      </w:r>
      <w:r>
        <w:rPr>
          <w:rFonts w:ascii="宋体" w:hAnsi="宋体" w:eastAsia="宋体"/>
          <w:b w:val="0"/>
          <w:color w:val="auto"/>
          <w:sz w:val="24"/>
        </w:rPr>
        <w:t>read_file不允许越出sandbox；write_file只允许写入public白名单；send_email只允许写入本地outbox；call_api只允许访问/</w:t>
      </w:r>
      <w:r>
        <w:rPr>
          <w:rFonts w:hint="eastAsia"/>
          <w:b w:val="0"/>
          <w:color w:val="auto"/>
          <w:sz w:val="24"/>
          <w:lang w:eastAsia="zh-CN"/>
        </w:rPr>
        <w:t>模拟</w:t>
      </w:r>
      <w:r>
        <w:rPr>
          <w:rFonts w:ascii="宋体" w:hAnsi="宋体" w:eastAsia="宋体"/>
          <w:b w:val="0"/>
          <w:color w:val="auto"/>
          <w:sz w:val="24"/>
        </w:rPr>
        <w:t>endpoint；run_code默认禁用。涉及secret路径读取、非sandbox路径、非</w:t>
      </w:r>
      <w:r>
        <w:rPr>
          <w:rFonts w:hint="eastAsia"/>
          <w:b w:val="0"/>
          <w:color w:val="auto"/>
          <w:sz w:val="24"/>
          <w:lang w:eastAsia="zh-CN"/>
        </w:rPr>
        <w:t>模拟</w:t>
      </w:r>
      <w:r>
        <w:rPr>
          <w:rFonts w:ascii="宋体" w:hAnsi="宋体" w:eastAsia="宋体"/>
          <w:b w:val="0"/>
          <w:color w:val="auto"/>
          <w:sz w:val="24"/>
        </w:rPr>
        <w:t>endpoint或代码执行请求时，即使上下文检测信号较弱，也触发强规则拒绝。</w:t>
      </w:r>
    </w:p>
    <w:p w14:paraId="6790E015">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dataflow关注敏感标记是否从上下文或本地文件流入外发工具参数。系统把canary、api_key、token、password、secret等标记作为敏感数据流起点。若这些标记进入send_email的正文、call_api的请求参数或write_file的公共输出路径，则提高风险分并记录tool_arguments_contain_sensitive_data、data_exfil_risk等原因。</w:t>
      </w:r>
    </w:p>
    <w:p w14:paraId="48366352">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2.6.4 意图-动作一致性检查</w:t>
      </w:r>
    </w:p>
    <w:p w14:paraId="75D1FBF8">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提示注入常见特征是候选工具调用与用户正常任务不一致。用户要求总结报告，模型却尝试读取</w:t>
      </w:r>
      <w:r>
        <w:rPr>
          <w:rFonts w:hint="eastAsia"/>
          <w:b w:val="0"/>
          <w:color w:val="auto"/>
          <w:sz w:val="24"/>
          <w:lang w:val="en-US" w:eastAsia="zh-CN"/>
        </w:rPr>
        <w:t>敏感</w:t>
      </w:r>
      <w:r>
        <w:rPr>
          <w:rFonts w:ascii="宋体" w:hAnsi="宋体" w:eastAsia="宋体"/>
          <w:b w:val="0"/>
          <w:color w:val="auto"/>
          <w:sz w:val="24"/>
        </w:rPr>
        <w:t>文件；用户要求翻译JSON，模型却把JSON中的next_step当作待执行动作；用户要求分类邮件，模型却尝试向外部端点发送token。intent_checker通过user_task、carrier和工具类型判断当前动作是否是完成任务所必需。如果不是，则生成intent_action_mismatch信号。</w:t>
      </w:r>
    </w:p>
    <w:p w14:paraId="592AE9B7">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2.6.5 三态裁决算法</w:t>
      </w:r>
    </w:p>
    <w:p w14:paraId="3D9B6E7D">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 xml:space="preserve">guard_engine汇总normalizer、detector、dataflow、policy_engine和intent_checker的信号，得到风险分和原因列表。系统采用三态裁决：risk_score </w:t>
      </w:r>
      <w:r>
        <w:rPr>
          <w:rFonts w:hint="eastAsia"/>
          <w:b w:val="0"/>
          <w:color w:val="auto"/>
          <w:sz w:val="24"/>
          <w:lang w:val="en-US" w:eastAsia="zh-CN"/>
        </w:rPr>
        <w:t xml:space="preserve">&lt;= </w:t>
      </w:r>
      <w:r>
        <w:rPr>
          <w:rFonts w:ascii="宋体" w:hAnsi="宋体" w:eastAsia="宋体"/>
          <w:b w:val="0"/>
          <w:color w:val="auto"/>
          <w:sz w:val="24"/>
        </w:rPr>
        <w:t>0.35时allow；0.35</w:t>
      </w:r>
      <w:r>
        <w:rPr>
          <w:rFonts w:hint="eastAsia"/>
          <w:b w:val="0"/>
          <w:color w:val="auto"/>
          <w:sz w:val="24"/>
          <w:lang w:val="en-US" w:eastAsia="zh-CN"/>
        </w:rPr>
        <w:t xml:space="preserve"> &lt; </w:t>
      </w:r>
      <w:r>
        <w:rPr>
          <w:rFonts w:ascii="宋体" w:hAnsi="宋体" w:eastAsia="宋体"/>
          <w:b w:val="0"/>
          <w:color w:val="auto"/>
          <w:sz w:val="24"/>
        </w:rPr>
        <w:t>risk_score</w:t>
      </w:r>
      <w:r>
        <w:rPr>
          <w:rFonts w:hint="eastAsia"/>
          <w:b w:val="0"/>
          <w:color w:val="auto"/>
          <w:sz w:val="24"/>
          <w:lang w:val="en-US" w:eastAsia="zh-CN"/>
        </w:rPr>
        <w:t xml:space="preserve"> &lt; </w:t>
      </w:r>
      <w:r>
        <w:rPr>
          <w:rFonts w:ascii="宋体" w:hAnsi="宋体" w:eastAsia="宋体"/>
          <w:b w:val="0"/>
          <w:color w:val="auto"/>
          <w:sz w:val="24"/>
        </w:rPr>
        <w:t xml:space="preserve">0.65时ask；risk_score </w:t>
      </w:r>
      <w:r>
        <w:rPr>
          <w:rFonts w:hint="eastAsia"/>
          <w:b w:val="0"/>
          <w:color w:val="auto"/>
          <w:sz w:val="24"/>
          <w:lang w:val="en-US" w:eastAsia="zh-CN"/>
        </w:rPr>
        <w:t>&gt;=</w:t>
      </w:r>
      <w:r>
        <w:rPr>
          <w:rFonts w:ascii="宋体" w:hAnsi="宋体" w:eastAsia="宋体"/>
          <w:b w:val="0"/>
          <w:color w:val="auto"/>
          <w:sz w:val="24"/>
        </w:rPr>
        <w:t xml:space="preserve"> 0.65时deny。对于run_code、secret路径读取、非sandbox路径、非</w:t>
      </w:r>
      <w:r>
        <w:rPr>
          <w:rFonts w:hint="eastAsia"/>
          <w:b w:val="0"/>
          <w:color w:val="auto"/>
          <w:sz w:val="24"/>
          <w:lang w:eastAsia="zh-CN"/>
        </w:rPr>
        <w:t>模拟</w:t>
      </w:r>
      <w:r>
        <w:rPr>
          <w:rFonts w:ascii="宋体" w:hAnsi="宋体" w:eastAsia="宋体"/>
          <w:b w:val="0"/>
          <w:color w:val="auto"/>
          <w:sz w:val="24"/>
        </w:rPr>
        <w:t>endpoint和敏感数据外发等强规则</w:t>
      </w:r>
      <w:r>
        <w:rPr>
          <w:rFonts w:hint="eastAsia"/>
          <w:b w:val="0"/>
          <w:color w:val="auto"/>
          <w:sz w:val="24"/>
          <w:lang w:val="en-US" w:eastAsia="zh-CN"/>
        </w:rPr>
        <w:t>,就进行</w:t>
      </w:r>
      <w:r>
        <w:rPr>
          <w:rFonts w:ascii="宋体" w:hAnsi="宋体" w:eastAsia="宋体"/>
          <w:b w:val="0"/>
          <w:color w:val="auto"/>
          <w:sz w:val="24"/>
        </w:rPr>
        <w:t>deny</w:t>
      </w:r>
      <w:r>
        <w:rPr>
          <w:rFonts w:hint="eastAsia"/>
          <w:b w:val="0"/>
          <w:color w:val="auto"/>
          <w:sz w:val="24"/>
          <w:lang w:val="en-US" w:eastAsia="zh-CN"/>
        </w:rPr>
        <w:t>操作</w:t>
      </w:r>
      <w:r>
        <w:rPr>
          <w:rFonts w:ascii="宋体" w:hAnsi="宋体" w:eastAsia="宋体"/>
          <w:b w:val="0"/>
          <w:color w:val="auto"/>
          <w:sz w:val="24"/>
        </w:rPr>
        <w:t>。</w:t>
      </w:r>
    </w:p>
    <w:p w14:paraId="6C361A2C">
      <w:pPr>
        <w:keepNext w:val="0"/>
        <w:keepLines w:val="0"/>
        <w:pageBreakBefore w:val="0"/>
        <w:widowControl/>
        <w:kinsoku/>
        <w:wordWrap/>
        <w:overflowPunct/>
        <w:topLinePunct w:val="0"/>
        <w:autoSpaceDE/>
        <w:autoSpaceDN/>
        <w:bidi w:val="0"/>
        <w:adjustRightInd/>
        <w:snapToGrid/>
        <w:spacing w:after="0" w:line="360" w:lineRule="auto"/>
        <w:textAlignment w:val="auto"/>
        <w:rPr>
          <w:color w:val="auto"/>
        </w:rPr>
      </w:pPr>
    </w:p>
    <w:p w14:paraId="316B1C0E">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4"/>
          <w:szCs w:val="24"/>
        </w:rPr>
      </w:pPr>
      <w:r>
        <w:rPr>
          <w:rFonts w:ascii="黑体" w:hAnsi="黑体" w:eastAsia="黑体"/>
          <w:b/>
          <w:color w:val="auto"/>
          <w:sz w:val="24"/>
          <w:szCs w:val="24"/>
        </w:rPr>
        <w:t>2.6.6 防护模式设计</w:t>
      </w:r>
    </w:p>
    <w:p w14:paraId="606E33E9">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eastAsia" w:ascii="宋体" w:hAnsi="宋体" w:eastAsia="宋体" w:cs="宋体"/>
          <w:color w:val="auto"/>
          <w:sz w:val="24"/>
          <w:szCs w:val="24"/>
        </w:rPr>
      </w:pPr>
      <w:r>
        <w:rPr>
          <w:rFonts w:hint="eastAsia" w:ascii="宋体" w:hAnsi="宋体" w:eastAsia="宋体" w:cs="宋体"/>
          <w:b w:val="0"/>
          <w:color w:val="auto"/>
          <w:sz w:val="24"/>
          <w:szCs w:val="24"/>
        </w:rPr>
        <w:t>为了支撑第三章消融实验，系统实现baseline、keyword_only、policy_only和full_guard四种模式。baseline不启用</w:t>
      </w:r>
      <w:r>
        <w:rPr>
          <w:rFonts w:hint="eastAsia" w:ascii="宋体" w:hAnsi="宋体" w:eastAsia="宋体" w:cs="宋体"/>
          <w:b w:val="0"/>
          <w:color w:val="auto"/>
          <w:sz w:val="24"/>
          <w:szCs w:val="24"/>
          <w:lang w:eastAsia="zh-CN"/>
        </w:rPr>
        <w:t>行为监督器</w:t>
      </w:r>
      <w:r>
        <w:rPr>
          <w:rFonts w:hint="eastAsia" w:ascii="宋体" w:hAnsi="宋体" w:eastAsia="宋体" w:cs="宋体"/>
          <w:b w:val="0"/>
          <w:color w:val="auto"/>
          <w:sz w:val="24"/>
          <w:szCs w:val="24"/>
        </w:rPr>
        <w:t>，用于观察无防护Agent的自然风险；keyword_only只启用文本和结构化关键词检测，用于评估传统过滤能力；policy_only只启用工具策略，用于验证路径、端点和代码执行边界；full_guard启用全部检测、策略、数据流和意图一致性检查，是作品最终防护方案。</w:t>
      </w:r>
    </w:p>
    <w:p w14:paraId="2FB1D88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sz w:val="21"/>
          <w:szCs w:val="21"/>
        </w:rPr>
      </w:pPr>
      <w:r>
        <w:rPr>
          <w:rFonts w:hint="eastAsia" w:ascii="宋体" w:hAnsi="宋体" w:eastAsia="宋体" w:cs="宋体"/>
          <w:b w:val="0"/>
          <w:color w:val="auto"/>
          <w:sz w:val="21"/>
          <w:szCs w:val="21"/>
        </w:rPr>
        <w:t>表2-</w:t>
      </w:r>
      <w:r>
        <w:rPr>
          <w:rFonts w:hint="eastAsia" w:cs="宋体"/>
          <w:b w:val="0"/>
          <w:color w:val="auto"/>
          <w:sz w:val="21"/>
          <w:szCs w:val="21"/>
          <w:lang w:val="en-US" w:eastAsia="zh-CN"/>
        </w:rPr>
        <w:t>7</w:t>
      </w:r>
      <w:r>
        <w:rPr>
          <w:rFonts w:hint="eastAsia" w:ascii="宋体" w:hAnsi="宋体" w:eastAsia="宋体" w:cs="宋体"/>
          <w:b w:val="0"/>
          <w:color w:val="auto"/>
          <w:sz w:val="21"/>
          <w:szCs w:val="21"/>
        </w:rPr>
        <w:t xml:space="preserve"> 防护模式及作用范围</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76"/>
        <w:gridCol w:w="4010"/>
        <w:gridCol w:w="1849"/>
        <w:gridCol w:w="2060"/>
      </w:tblGrid>
      <w:tr w14:paraId="2BA4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0" w:type="auto"/>
            <w:shd w:val="clear" w:color="auto" w:fill="auto"/>
            <w:vAlign w:val="center"/>
          </w:tcPr>
          <w:p w14:paraId="2F5FE8B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sz w:val="21"/>
                <w:szCs w:val="21"/>
              </w:rPr>
              <w:t>模式</w:t>
            </w:r>
          </w:p>
        </w:tc>
        <w:tc>
          <w:tcPr>
            <w:tcW w:w="0" w:type="auto"/>
            <w:shd w:val="clear" w:color="auto" w:fill="auto"/>
            <w:vAlign w:val="center"/>
          </w:tcPr>
          <w:p w14:paraId="5DD48CB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sz w:val="21"/>
                <w:szCs w:val="21"/>
              </w:rPr>
              <w:t>启用组件</w:t>
            </w:r>
          </w:p>
        </w:tc>
        <w:tc>
          <w:tcPr>
            <w:tcW w:w="0" w:type="auto"/>
            <w:shd w:val="clear" w:color="auto" w:fill="auto"/>
            <w:vAlign w:val="center"/>
          </w:tcPr>
          <w:p w14:paraId="6D895A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sz w:val="21"/>
                <w:szCs w:val="21"/>
              </w:rPr>
              <w:t>主要作用</w:t>
            </w:r>
          </w:p>
        </w:tc>
        <w:tc>
          <w:tcPr>
            <w:tcW w:w="0" w:type="auto"/>
            <w:shd w:val="clear" w:color="auto" w:fill="auto"/>
            <w:vAlign w:val="center"/>
          </w:tcPr>
          <w:p w14:paraId="0FA07D4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sz w:val="21"/>
                <w:szCs w:val="21"/>
              </w:rPr>
              <w:t>实验意义</w:t>
            </w:r>
          </w:p>
        </w:tc>
      </w:tr>
      <w:tr w14:paraId="625E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0" w:type="auto"/>
            <w:shd w:val="clear" w:color="auto" w:fill="auto"/>
            <w:vAlign w:val="center"/>
          </w:tcPr>
          <w:p w14:paraId="5B2F1D5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baseline</w:t>
            </w:r>
          </w:p>
        </w:tc>
        <w:tc>
          <w:tcPr>
            <w:tcW w:w="0" w:type="auto"/>
            <w:shd w:val="clear" w:color="auto" w:fill="auto"/>
            <w:vAlign w:val="center"/>
          </w:tcPr>
          <w:p w14:paraId="7C697294">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无</w:t>
            </w:r>
            <w:r>
              <w:rPr>
                <w:rFonts w:hint="eastAsia" w:ascii="宋体" w:hAnsi="宋体" w:eastAsia="宋体" w:cs="宋体"/>
                <w:b w:val="0"/>
                <w:bCs/>
                <w:color w:val="auto"/>
                <w:sz w:val="21"/>
                <w:szCs w:val="21"/>
                <w:lang w:eastAsia="zh-CN"/>
              </w:rPr>
              <w:t>行为监督器</w:t>
            </w:r>
            <w:r>
              <w:rPr>
                <w:rFonts w:hint="eastAsia" w:ascii="宋体" w:hAnsi="宋体" w:eastAsia="宋体" w:cs="宋体"/>
                <w:b w:val="0"/>
                <w:bCs/>
                <w:color w:val="auto"/>
                <w:sz w:val="21"/>
                <w:szCs w:val="21"/>
              </w:rPr>
              <w:t>拦截</w:t>
            </w:r>
          </w:p>
        </w:tc>
        <w:tc>
          <w:tcPr>
            <w:tcW w:w="0" w:type="auto"/>
            <w:shd w:val="clear" w:color="auto" w:fill="auto"/>
            <w:vAlign w:val="center"/>
          </w:tcPr>
          <w:p w14:paraId="7972F63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观察无防护Agent的自然风险</w:t>
            </w:r>
          </w:p>
        </w:tc>
        <w:tc>
          <w:tcPr>
            <w:tcW w:w="0" w:type="auto"/>
            <w:shd w:val="clear" w:color="auto" w:fill="auto"/>
            <w:vAlign w:val="center"/>
          </w:tcPr>
          <w:p w14:paraId="4F936674">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作为ASR、UTR、DSR的对照组</w:t>
            </w:r>
          </w:p>
        </w:tc>
      </w:tr>
      <w:tr w14:paraId="672F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0" w:type="auto"/>
            <w:shd w:val="clear" w:color="auto" w:fill="auto"/>
            <w:vAlign w:val="center"/>
          </w:tcPr>
          <w:p w14:paraId="32633E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keyword_only</w:t>
            </w:r>
          </w:p>
        </w:tc>
        <w:tc>
          <w:tcPr>
            <w:tcW w:w="0" w:type="auto"/>
            <w:shd w:val="clear" w:color="auto" w:fill="auto"/>
            <w:vAlign w:val="center"/>
          </w:tcPr>
          <w:p w14:paraId="0F5B2B46">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指令型文本、工具诱导、结构化关键词检测</w:t>
            </w:r>
          </w:p>
        </w:tc>
        <w:tc>
          <w:tcPr>
            <w:tcW w:w="0" w:type="auto"/>
            <w:shd w:val="clear" w:color="auto" w:fill="auto"/>
            <w:vAlign w:val="center"/>
          </w:tcPr>
          <w:p w14:paraId="734347D3">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评估传统文本过滤能力</w:t>
            </w:r>
          </w:p>
        </w:tc>
        <w:tc>
          <w:tcPr>
            <w:tcW w:w="0" w:type="auto"/>
            <w:shd w:val="clear" w:color="auto" w:fill="auto"/>
            <w:vAlign w:val="center"/>
          </w:tcPr>
          <w:p w14:paraId="77EA3911">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观察关键词检测能降低多少风险</w:t>
            </w:r>
          </w:p>
        </w:tc>
      </w:tr>
      <w:tr w14:paraId="252EE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shd w:val="clear" w:color="auto" w:fill="auto"/>
            <w:vAlign w:val="center"/>
          </w:tcPr>
          <w:p w14:paraId="0A43FBB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b w:val="0"/>
                <w:bCs/>
                <w:color w:val="auto"/>
                <w:sz w:val="21"/>
                <w:szCs w:val="21"/>
              </w:rPr>
            </w:pPr>
            <w:r>
              <w:rPr>
                <w:rFonts w:ascii="宋体" w:hAnsi="宋体" w:eastAsia="宋体"/>
                <w:b w:val="0"/>
                <w:bCs/>
                <w:color w:val="auto"/>
                <w:sz w:val="21"/>
                <w:szCs w:val="21"/>
              </w:rPr>
              <w:t>policy_only</w:t>
            </w:r>
          </w:p>
        </w:tc>
        <w:tc>
          <w:tcPr>
            <w:tcW w:w="0" w:type="auto"/>
            <w:shd w:val="clear" w:color="auto" w:fill="auto"/>
            <w:vAlign w:val="center"/>
          </w:tcPr>
          <w:p w14:paraId="7B4E16F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b w:val="0"/>
                <w:bCs/>
                <w:color w:val="auto"/>
                <w:sz w:val="21"/>
                <w:szCs w:val="21"/>
              </w:rPr>
            </w:pPr>
            <w:r>
              <w:rPr>
                <w:rFonts w:ascii="宋体" w:hAnsi="宋体" w:eastAsia="宋体"/>
                <w:b w:val="0"/>
                <w:bCs/>
                <w:color w:val="auto"/>
                <w:sz w:val="21"/>
                <w:szCs w:val="21"/>
              </w:rPr>
              <w:t>工具白名单、路径限制、</w:t>
            </w:r>
            <w:r>
              <w:rPr>
                <w:rFonts w:hint="eastAsia"/>
                <w:b w:val="0"/>
                <w:bCs/>
                <w:color w:val="auto"/>
                <w:sz w:val="21"/>
                <w:szCs w:val="21"/>
                <w:lang w:eastAsia="zh-CN"/>
              </w:rPr>
              <w:t>模拟</w:t>
            </w:r>
            <w:r>
              <w:rPr>
                <w:rFonts w:ascii="宋体" w:hAnsi="宋体" w:eastAsia="宋体"/>
                <w:b w:val="0"/>
                <w:bCs/>
                <w:color w:val="auto"/>
                <w:sz w:val="21"/>
                <w:szCs w:val="21"/>
              </w:rPr>
              <w:t>endpoint、run_code禁用</w:t>
            </w:r>
          </w:p>
        </w:tc>
        <w:tc>
          <w:tcPr>
            <w:tcW w:w="0" w:type="auto"/>
            <w:shd w:val="clear" w:color="auto" w:fill="auto"/>
            <w:vAlign w:val="center"/>
          </w:tcPr>
          <w:p w14:paraId="6CD93C26">
            <w:pPr>
              <w:keepNext w:val="0"/>
              <w:keepLines w:val="0"/>
              <w:pageBreakBefore w:val="0"/>
              <w:widowControl/>
              <w:kinsoku/>
              <w:wordWrap/>
              <w:overflowPunct/>
              <w:topLinePunct w:val="0"/>
              <w:autoSpaceDE/>
              <w:autoSpaceDN/>
              <w:bidi w:val="0"/>
              <w:adjustRightInd/>
              <w:snapToGrid/>
              <w:spacing w:after="0" w:line="360" w:lineRule="auto"/>
              <w:jc w:val="left"/>
              <w:textAlignment w:val="auto"/>
              <w:rPr>
                <w:b w:val="0"/>
                <w:bCs/>
                <w:color w:val="auto"/>
                <w:sz w:val="21"/>
                <w:szCs w:val="21"/>
              </w:rPr>
            </w:pPr>
            <w:r>
              <w:rPr>
                <w:rFonts w:ascii="宋体" w:hAnsi="宋体" w:eastAsia="宋体"/>
                <w:b w:val="0"/>
                <w:bCs/>
                <w:color w:val="auto"/>
                <w:sz w:val="21"/>
                <w:szCs w:val="21"/>
              </w:rPr>
              <w:t>评估行为策略约束能力</w:t>
            </w:r>
          </w:p>
        </w:tc>
        <w:tc>
          <w:tcPr>
            <w:tcW w:w="0" w:type="auto"/>
            <w:shd w:val="clear" w:color="auto" w:fill="auto"/>
            <w:vAlign w:val="center"/>
          </w:tcPr>
          <w:p w14:paraId="6F17BEA5">
            <w:pPr>
              <w:keepNext w:val="0"/>
              <w:keepLines w:val="0"/>
              <w:pageBreakBefore w:val="0"/>
              <w:widowControl/>
              <w:kinsoku/>
              <w:wordWrap/>
              <w:overflowPunct/>
              <w:topLinePunct w:val="0"/>
              <w:autoSpaceDE/>
              <w:autoSpaceDN/>
              <w:bidi w:val="0"/>
              <w:adjustRightInd/>
              <w:snapToGrid/>
              <w:spacing w:after="0" w:line="360" w:lineRule="auto"/>
              <w:jc w:val="left"/>
              <w:textAlignment w:val="auto"/>
              <w:rPr>
                <w:b w:val="0"/>
                <w:bCs/>
                <w:color w:val="auto"/>
                <w:sz w:val="21"/>
                <w:szCs w:val="21"/>
              </w:rPr>
            </w:pPr>
            <w:r>
              <w:rPr>
                <w:rFonts w:ascii="宋体" w:hAnsi="宋体" w:eastAsia="宋体"/>
                <w:b w:val="0"/>
                <w:bCs/>
                <w:color w:val="auto"/>
                <w:sz w:val="21"/>
                <w:szCs w:val="21"/>
              </w:rPr>
              <w:t>验证硬边界对风险动作的阻断效果</w:t>
            </w:r>
          </w:p>
        </w:tc>
      </w:tr>
      <w:tr w14:paraId="45F7E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0" w:type="auto"/>
            <w:shd w:val="clear" w:color="auto" w:fill="auto"/>
            <w:vAlign w:val="center"/>
          </w:tcPr>
          <w:p w14:paraId="4465F51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b w:val="0"/>
                <w:bCs/>
                <w:color w:val="auto"/>
                <w:sz w:val="21"/>
                <w:szCs w:val="21"/>
              </w:rPr>
            </w:pPr>
            <w:r>
              <w:rPr>
                <w:rFonts w:ascii="宋体" w:hAnsi="宋体" w:eastAsia="宋体"/>
                <w:b w:val="0"/>
                <w:bCs/>
                <w:color w:val="auto"/>
                <w:sz w:val="21"/>
                <w:szCs w:val="21"/>
              </w:rPr>
              <w:t>full_guard</w:t>
            </w:r>
          </w:p>
        </w:tc>
        <w:tc>
          <w:tcPr>
            <w:tcW w:w="0" w:type="auto"/>
            <w:shd w:val="clear" w:color="auto" w:fill="auto"/>
            <w:vAlign w:val="center"/>
          </w:tcPr>
          <w:p w14:paraId="78CE69B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b w:val="0"/>
                <w:bCs/>
                <w:color w:val="auto"/>
                <w:sz w:val="21"/>
                <w:szCs w:val="21"/>
              </w:rPr>
            </w:pPr>
            <w:r>
              <w:rPr>
                <w:rFonts w:ascii="宋体" w:hAnsi="宋体" w:eastAsia="宋体"/>
                <w:b w:val="0"/>
                <w:bCs/>
                <w:color w:val="auto"/>
                <w:sz w:val="21"/>
                <w:szCs w:val="21"/>
              </w:rPr>
              <w:t>文本检测、结构化检测、多语言信号、工具策略、数据流、意图一致性</w:t>
            </w:r>
          </w:p>
        </w:tc>
        <w:tc>
          <w:tcPr>
            <w:tcW w:w="0" w:type="auto"/>
            <w:shd w:val="clear" w:color="auto" w:fill="auto"/>
            <w:vAlign w:val="center"/>
          </w:tcPr>
          <w:p w14:paraId="4CCE0C4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b w:val="0"/>
                <w:bCs/>
                <w:color w:val="auto"/>
                <w:sz w:val="21"/>
                <w:szCs w:val="21"/>
              </w:rPr>
            </w:pPr>
            <w:r>
              <w:rPr>
                <w:rFonts w:ascii="宋体" w:hAnsi="宋体" w:eastAsia="宋体"/>
                <w:b w:val="0"/>
                <w:bCs/>
                <w:color w:val="auto"/>
                <w:sz w:val="21"/>
                <w:szCs w:val="21"/>
              </w:rPr>
              <w:t>完整</w:t>
            </w:r>
            <w:r>
              <w:rPr>
                <w:rFonts w:hint="eastAsia"/>
                <w:b w:val="0"/>
                <w:bCs/>
                <w:color w:val="auto"/>
                <w:sz w:val="21"/>
                <w:szCs w:val="21"/>
                <w:lang w:eastAsia="zh-CN"/>
              </w:rPr>
              <w:t>行为监督器</w:t>
            </w:r>
            <w:r>
              <w:rPr>
                <w:rFonts w:ascii="宋体" w:hAnsi="宋体" w:eastAsia="宋体"/>
                <w:b w:val="0"/>
                <w:bCs/>
                <w:color w:val="auto"/>
                <w:sz w:val="21"/>
                <w:szCs w:val="21"/>
              </w:rPr>
              <w:t>与可解释阻断</w:t>
            </w:r>
          </w:p>
        </w:tc>
        <w:tc>
          <w:tcPr>
            <w:tcW w:w="0" w:type="auto"/>
            <w:shd w:val="clear" w:color="auto" w:fill="auto"/>
            <w:vAlign w:val="center"/>
          </w:tcPr>
          <w:p w14:paraId="541BF3EE">
            <w:pPr>
              <w:keepNext w:val="0"/>
              <w:keepLines w:val="0"/>
              <w:pageBreakBefore w:val="0"/>
              <w:widowControl/>
              <w:kinsoku/>
              <w:wordWrap/>
              <w:overflowPunct/>
              <w:topLinePunct w:val="0"/>
              <w:autoSpaceDE/>
              <w:autoSpaceDN/>
              <w:bidi w:val="0"/>
              <w:adjustRightInd/>
              <w:snapToGrid/>
              <w:spacing w:after="0" w:line="360" w:lineRule="auto"/>
              <w:jc w:val="left"/>
              <w:textAlignment w:val="auto"/>
              <w:rPr>
                <w:b w:val="0"/>
                <w:bCs/>
                <w:color w:val="auto"/>
                <w:sz w:val="21"/>
                <w:szCs w:val="21"/>
              </w:rPr>
            </w:pPr>
            <w:r>
              <w:rPr>
                <w:rFonts w:ascii="宋体" w:hAnsi="宋体" w:eastAsia="宋体"/>
                <w:b w:val="0"/>
                <w:bCs/>
                <w:color w:val="auto"/>
                <w:sz w:val="21"/>
                <w:szCs w:val="21"/>
              </w:rPr>
              <w:t>作为最终方案与其他模式比较</w:t>
            </w:r>
          </w:p>
        </w:tc>
      </w:tr>
    </w:tbl>
    <w:p w14:paraId="338DBD50">
      <w:pPr>
        <w:keepNext w:val="0"/>
        <w:keepLines w:val="0"/>
        <w:pageBreakBefore w:val="0"/>
        <w:widowControl/>
        <w:kinsoku/>
        <w:wordWrap/>
        <w:overflowPunct/>
        <w:topLinePunct w:val="0"/>
        <w:autoSpaceDE/>
        <w:autoSpaceDN/>
        <w:bidi w:val="0"/>
        <w:adjustRightInd/>
        <w:snapToGrid/>
        <w:spacing w:after="0" w:line="360" w:lineRule="auto"/>
        <w:textAlignment w:val="auto"/>
        <w:rPr>
          <w:color w:val="auto"/>
        </w:rPr>
      </w:pPr>
    </w:p>
    <w:p w14:paraId="474D4F35">
      <w:pPr>
        <w:pStyle w:val="4"/>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hint="eastAsia" w:ascii="黑体" w:hAnsi="黑体" w:eastAsia="黑体"/>
          <w:b/>
          <w:color w:val="auto"/>
          <w:sz w:val="28"/>
          <w:szCs w:val="28"/>
          <w:lang w:eastAsia="zh-CN"/>
        </w:rPr>
      </w:pPr>
      <w:r>
        <w:rPr>
          <w:rFonts w:ascii="黑体" w:hAnsi="黑体" w:eastAsia="黑体"/>
          <w:b/>
          <w:color w:val="auto"/>
          <w:sz w:val="28"/>
          <w:szCs w:val="28"/>
        </w:rPr>
        <w:t>2.7 日志审计与</w:t>
      </w:r>
      <w:r>
        <w:rPr>
          <w:rFonts w:hint="eastAsia" w:ascii="黑体" w:hAnsi="黑体" w:eastAsia="黑体"/>
          <w:b/>
          <w:color w:val="auto"/>
          <w:sz w:val="28"/>
          <w:szCs w:val="28"/>
          <w:lang w:eastAsia="zh-CN"/>
        </w:rPr>
        <w:t>可视化面板</w:t>
      </w:r>
    </w:p>
    <w:p w14:paraId="21169EDD">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日志审计是</w:t>
      </w:r>
      <w:r>
        <w:rPr>
          <w:rFonts w:hint="eastAsia"/>
          <w:b w:val="0"/>
          <w:color w:val="auto"/>
          <w:sz w:val="24"/>
          <w:lang w:eastAsia="zh-CN"/>
        </w:rPr>
        <w:t>我们的作品</w:t>
      </w:r>
      <w:r>
        <w:rPr>
          <w:rFonts w:ascii="宋体" w:hAnsi="宋体" w:eastAsia="宋体"/>
          <w:b w:val="0"/>
          <w:color w:val="auto"/>
          <w:sz w:val="24"/>
        </w:rPr>
        <w:t>可复现和可解释的基础。每一次模型运行都会写入JSONL日志，记录样本、模型后端、防护模式、原始输出、解析结果、</w:t>
      </w:r>
      <w:r>
        <w:rPr>
          <w:rFonts w:hint="eastAsia"/>
          <w:b w:val="0"/>
          <w:color w:val="auto"/>
          <w:sz w:val="24"/>
          <w:lang w:eastAsia="zh-CN"/>
        </w:rPr>
        <w:t>行为监督器</w:t>
      </w:r>
      <w:r>
        <w:rPr>
          <w:rFonts w:ascii="宋体" w:hAnsi="宋体" w:eastAsia="宋体"/>
          <w:b w:val="0"/>
          <w:color w:val="auto"/>
          <w:sz w:val="24"/>
        </w:rPr>
        <w:t>决策、</w:t>
      </w:r>
      <w:r>
        <w:rPr>
          <w:rFonts w:hint="eastAsia"/>
          <w:b w:val="0"/>
          <w:color w:val="auto"/>
          <w:sz w:val="24"/>
          <w:lang w:eastAsia="zh-CN"/>
        </w:rPr>
        <w:t>模拟</w:t>
      </w:r>
      <w:r>
        <w:rPr>
          <w:rFonts w:ascii="宋体" w:hAnsi="宋体" w:eastAsia="宋体"/>
          <w:b w:val="0"/>
          <w:color w:val="auto"/>
          <w:sz w:val="24"/>
        </w:rPr>
        <w:t>观察和最终状态。ASR、UTR、DSR、BSR、FPR、AvgRisk和WRS都由这些日志计算得到。</w:t>
      </w:r>
    </w:p>
    <w:p w14:paraId="7ECFAB51">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color w:val="auto"/>
        </w:rPr>
      </w:pPr>
      <w:r>
        <w:rPr>
          <w:rFonts w:ascii="黑体" w:hAnsi="黑体" w:eastAsia="黑体"/>
          <w:b/>
          <w:color w:val="auto"/>
          <w:sz w:val="25"/>
        </w:rPr>
        <w:t xml:space="preserve">2.7.1 </w:t>
      </w:r>
      <w:r>
        <w:rPr>
          <w:rFonts w:hint="eastAsia" w:ascii="黑体" w:hAnsi="黑体" w:eastAsia="黑体"/>
          <w:b/>
          <w:color w:val="auto"/>
          <w:sz w:val="25"/>
          <w:lang w:eastAsia="zh-CN"/>
        </w:rPr>
        <w:t>运行日志</w:t>
      </w:r>
      <w:r>
        <w:rPr>
          <w:rFonts w:ascii="黑体" w:hAnsi="黑体" w:eastAsia="黑体"/>
          <w:b/>
          <w:color w:val="auto"/>
          <w:sz w:val="25"/>
        </w:rPr>
        <w:t xml:space="preserve"> 字段设计</w:t>
      </w:r>
    </w:p>
    <w:p w14:paraId="5A6592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color w:val="auto"/>
          <w:sz w:val="21"/>
          <w:szCs w:val="21"/>
        </w:rPr>
      </w:pPr>
      <w:r>
        <w:rPr>
          <w:rFonts w:ascii="宋体" w:hAnsi="宋体" w:eastAsia="宋体"/>
          <w:b w:val="0"/>
          <w:color w:val="auto"/>
          <w:sz w:val="21"/>
          <w:szCs w:val="21"/>
        </w:rPr>
        <w:t>表2-</w:t>
      </w:r>
      <w:r>
        <w:rPr>
          <w:rFonts w:hint="eastAsia"/>
          <w:b w:val="0"/>
          <w:color w:val="auto"/>
          <w:sz w:val="21"/>
          <w:szCs w:val="21"/>
          <w:lang w:val="en-US" w:eastAsia="zh-CN"/>
        </w:rPr>
        <w:t>8</w:t>
      </w:r>
      <w:r>
        <w:rPr>
          <w:rFonts w:ascii="宋体" w:hAnsi="宋体" w:eastAsia="宋体"/>
          <w:b w:val="0"/>
          <w:color w:val="auto"/>
          <w:sz w:val="21"/>
          <w:szCs w:val="21"/>
        </w:rPr>
        <w:t xml:space="preserve"> </w:t>
      </w:r>
      <w:r>
        <w:rPr>
          <w:rFonts w:hint="eastAsia"/>
          <w:b w:val="0"/>
          <w:color w:val="auto"/>
          <w:sz w:val="21"/>
          <w:szCs w:val="21"/>
          <w:lang w:eastAsia="zh-CN"/>
        </w:rPr>
        <w:t>运行日志</w:t>
      </w:r>
      <w:r>
        <w:rPr>
          <w:rFonts w:ascii="宋体" w:hAnsi="宋体" w:eastAsia="宋体"/>
          <w:b w:val="0"/>
          <w:color w:val="auto"/>
          <w:sz w:val="21"/>
          <w:szCs w:val="21"/>
        </w:rPr>
        <w:t xml:space="preserve"> 关键字段说明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450"/>
        <w:gridCol w:w="4809"/>
      </w:tblGrid>
      <w:tr w14:paraId="5E99F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36" w:type="dxa"/>
            <w:shd w:val="clear" w:color="auto" w:fill="auto"/>
            <w:vAlign w:val="center"/>
          </w:tcPr>
          <w:p w14:paraId="34A7B85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字段</w:t>
            </w:r>
          </w:p>
        </w:tc>
        <w:tc>
          <w:tcPr>
            <w:tcW w:w="2450" w:type="dxa"/>
            <w:shd w:val="clear" w:color="auto" w:fill="auto"/>
            <w:vAlign w:val="center"/>
          </w:tcPr>
          <w:p w14:paraId="7943CB0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含义</w:t>
            </w:r>
          </w:p>
        </w:tc>
        <w:tc>
          <w:tcPr>
            <w:tcW w:w="4809" w:type="dxa"/>
            <w:shd w:val="clear" w:color="auto" w:fill="auto"/>
            <w:vAlign w:val="center"/>
          </w:tcPr>
          <w:p w14:paraId="7AE3DC2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审计价值</w:t>
            </w:r>
          </w:p>
        </w:tc>
      </w:tr>
      <w:tr w14:paraId="18B1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03FA7AA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run_id</w:t>
            </w:r>
          </w:p>
        </w:tc>
        <w:tc>
          <w:tcPr>
            <w:tcW w:w="0" w:type="auto"/>
            <w:shd w:val="clear" w:color="auto" w:fill="auto"/>
            <w:vAlign w:val="center"/>
          </w:tcPr>
          <w:p w14:paraId="31C171BF">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一次运行的唯一标识</w:t>
            </w:r>
          </w:p>
        </w:tc>
        <w:tc>
          <w:tcPr>
            <w:tcW w:w="0" w:type="auto"/>
            <w:shd w:val="clear" w:color="auto" w:fill="auto"/>
            <w:vAlign w:val="center"/>
          </w:tcPr>
          <w:p w14:paraId="0954F4AE">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区分不同批次和防护模式</w:t>
            </w:r>
          </w:p>
        </w:tc>
      </w:tr>
      <w:tr w14:paraId="76B8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72BC22C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case_id</w:t>
            </w:r>
          </w:p>
        </w:tc>
        <w:tc>
          <w:tcPr>
            <w:tcW w:w="0" w:type="auto"/>
            <w:shd w:val="clear" w:color="auto" w:fill="auto"/>
            <w:vAlign w:val="center"/>
          </w:tcPr>
          <w:p w14:paraId="5AB5393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样本唯一标识</w:t>
            </w:r>
          </w:p>
        </w:tc>
        <w:tc>
          <w:tcPr>
            <w:tcW w:w="0" w:type="auto"/>
            <w:shd w:val="clear" w:color="auto" w:fill="auto"/>
            <w:vAlign w:val="center"/>
          </w:tcPr>
          <w:p w14:paraId="6E05575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 xml:space="preserve">关联 </w:t>
            </w:r>
            <w:r>
              <w:rPr>
                <w:rFonts w:hint="eastAsia" w:ascii="宋体" w:hAnsi="宋体" w:eastAsia="宋体" w:cs="宋体"/>
                <w:b w:val="0"/>
                <w:bCs/>
                <w:color w:val="auto"/>
                <w:sz w:val="21"/>
                <w:szCs w:val="21"/>
                <w:lang w:eastAsia="zh-CN"/>
              </w:rPr>
              <w:t>攻击样本</w:t>
            </w:r>
            <w:r>
              <w:rPr>
                <w:rFonts w:hint="eastAsia" w:ascii="宋体" w:hAnsi="宋体" w:eastAsia="宋体" w:cs="宋体"/>
                <w:b w:val="0"/>
                <w:bCs/>
                <w:color w:val="auto"/>
                <w:sz w:val="21"/>
                <w:szCs w:val="21"/>
              </w:rPr>
              <w:t xml:space="preserve"> 和单案例回放</w:t>
            </w:r>
          </w:p>
        </w:tc>
      </w:tr>
      <w:tr w14:paraId="2AF81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18FCFE1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backend / model</w:t>
            </w:r>
          </w:p>
        </w:tc>
        <w:tc>
          <w:tcPr>
            <w:tcW w:w="0" w:type="auto"/>
            <w:shd w:val="clear" w:color="auto" w:fill="auto"/>
            <w:vAlign w:val="center"/>
          </w:tcPr>
          <w:p w14:paraId="03E06EEE">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模型后端和模型名称</w:t>
            </w:r>
          </w:p>
        </w:tc>
        <w:tc>
          <w:tcPr>
            <w:tcW w:w="0" w:type="auto"/>
            <w:shd w:val="clear" w:color="auto" w:fill="auto"/>
            <w:vAlign w:val="center"/>
          </w:tcPr>
          <w:p w14:paraId="2F561B28">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 xml:space="preserve">区分 </w:t>
            </w:r>
            <w:r>
              <w:rPr>
                <w:rFonts w:hint="eastAsia" w:ascii="宋体" w:hAnsi="宋体" w:eastAsia="宋体" w:cs="宋体"/>
                <w:b w:val="0"/>
                <w:bCs/>
                <w:color w:val="auto"/>
                <w:sz w:val="21"/>
                <w:szCs w:val="21"/>
                <w:lang w:eastAsia="zh-CN"/>
              </w:rPr>
              <w:t>桩模型</w:t>
            </w:r>
            <w:r>
              <w:rPr>
                <w:rFonts w:hint="eastAsia" w:ascii="宋体" w:hAnsi="宋体" w:eastAsia="宋体" w:cs="宋体"/>
                <w:b w:val="0"/>
                <w:bCs/>
                <w:color w:val="auto"/>
                <w:sz w:val="21"/>
                <w:szCs w:val="21"/>
              </w:rPr>
              <w:t xml:space="preserve">、Qwen2.5 和 </w:t>
            </w:r>
            <w:r>
              <w:rPr>
                <w:rFonts w:hint="eastAsia" w:ascii="宋体" w:hAnsi="宋体" w:eastAsia="宋体" w:cs="宋体"/>
                <w:b w:val="0"/>
                <w:bCs/>
                <w:color w:val="auto"/>
                <w:sz w:val="21"/>
                <w:szCs w:val="21"/>
                <w:lang w:eastAsia="zh-CN"/>
              </w:rPr>
              <w:t>demo-stub</w:t>
            </w:r>
            <w:r>
              <w:rPr>
                <w:rFonts w:hint="eastAsia" w:ascii="宋体" w:hAnsi="宋体" w:eastAsia="宋体" w:cs="宋体"/>
                <w:b w:val="0"/>
                <w:bCs/>
                <w:color w:val="auto"/>
                <w:sz w:val="21"/>
                <w:szCs w:val="21"/>
              </w:rPr>
              <w:t xml:space="preserve"> 结果</w:t>
            </w:r>
          </w:p>
        </w:tc>
      </w:tr>
      <w:tr w14:paraId="60D0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2DDFFF4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defense_mode</w:t>
            </w:r>
          </w:p>
        </w:tc>
        <w:tc>
          <w:tcPr>
            <w:tcW w:w="0" w:type="auto"/>
            <w:shd w:val="clear" w:color="auto" w:fill="auto"/>
            <w:vAlign w:val="center"/>
          </w:tcPr>
          <w:p w14:paraId="06EEBD2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防护模式</w:t>
            </w:r>
          </w:p>
        </w:tc>
        <w:tc>
          <w:tcPr>
            <w:tcW w:w="0" w:type="auto"/>
            <w:shd w:val="clear" w:color="auto" w:fill="auto"/>
            <w:vAlign w:val="center"/>
          </w:tcPr>
          <w:p w14:paraId="45A38003">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支持消融实验对比</w:t>
            </w:r>
          </w:p>
        </w:tc>
      </w:tr>
      <w:tr w14:paraId="3C0B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224C8C4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raw_model_output</w:t>
            </w:r>
          </w:p>
        </w:tc>
        <w:tc>
          <w:tcPr>
            <w:tcW w:w="0" w:type="auto"/>
            <w:shd w:val="clear" w:color="auto" w:fill="auto"/>
            <w:vAlign w:val="center"/>
          </w:tcPr>
          <w:p w14:paraId="79ED4A8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模型原始输出</w:t>
            </w:r>
          </w:p>
        </w:tc>
        <w:tc>
          <w:tcPr>
            <w:tcW w:w="0" w:type="auto"/>
            <w:shd w:val="clear" w:color="auto" w:fill="auto"/>
            <w:vAlign w:val="center"/>
          </w:tcPr>
          <w:p w14:paraId="6CB9FA73">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保留解析失败、非标准 JSON 和异常工具名证据</w:t>
            </w:r>
          </w:p>
        </w:tc>
      </w:tr>
      <w:tr w14:paraId="113B1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4329CE9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parsed_tool_call</w:t>
            </w:r>
          </w:p>
        </w:tc>
        <w:tc>
          <w:tcPr>
            <w:tcW w:w="0" w:type="auto"/>
            <w:shd w:val="clear" w:color="auto" w:fill="auto"/>
            <w:vAlign w:val="center"/>
          </w:tcPr>
          <w:p w14:paraId="6D1E5376">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解析后的候选工具调用</w:t>
            </w:r>
          </w:p>
        </w:tc>
        <w:tc>
          <w:tcPr>
            <w:tcW w:w="0" w:type="auto"/>
            <w:shd w:val="clear" w:color="auto" w:fill="auto"/>
            <w:vAlign w:val="center"/>
          </w:tcPr>
          <w:p w14:paraId="6E4A92BE">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用于判断 UTR、ASR 和工具策略命中情况</w:t>
            </w:r>
          </w:p>
        </w:tc>
      </w:tr>
      <w:tr w14:paraId="7F686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08981A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guard_decision</w:t>
            </w:r>
          </w:p>
        </w:tc>
        <w:tc>
          <w:tcPr>
            <w:tcW w:w="0" w:type="auto"/>
            <w:shd w:val="clear" w:color="auto" w:fill="auto"/>
            <w:vAlign w:val="center"/>
          </w:tcPr>
          <w:p w14:paraId="288C1248">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allow、ask或deny</w:t>
            </w:r>
          </w:p>
        </w:tc>
        <w:tc>
          <w:tcPr>
            <w:tcW w:w="0" w:type="auto"/>
            <w:shd w:val="clear" w:color="auto" w:fill="auto"/>
            <w:vAlign w:val="center"/>
          </w:tcPr>
          <w:p w14:paraId="3FC1360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用于计算BSR和FPR</w:t>
            </w:r>
          </w:p>
        </w:tc>
      </w:tr>
      <w:tr w14:paraId="7657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25869F6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risk_score</w:t>
            </w:r>
          </w:p>
        </w:tc>
        <w:tc>
          <w:tcPr>
            <w:tcW w:w="0" w:type="auto"/>
            <w:shd w:val="clear" w:color="auto" w:fill="auto"/>
            <w:vAlign w:val="center"/>
          </w:tcPr>
          <w:p w14:paraId="61B7E7E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eastAsia="zh-CN"/>
              </w:rPr>
              <w:t>行为监督器</w:t>
            </w:r>
            <w:r>
              <w:rPr>
                <w:rFonts w:hint="eastAsia" w:ascii="宋体" w:hAnsi="宋体" w:eastAsia="宋体" w:cs="宋体"/>
                <w:b w:val="0"/>
                <w:bCs/>
                <w:color w:val="auto"/>
                <w:sz w:val="21"/>
                <w:szCs w:val="21"/>
              </w:rPr>
              <w:t>风险分</w:t>
            </w:r>
          </w:p>
        </w:tc>
        <w:tc>
          <w:tcPr>
            <w:tcW w:w="0" w:type="auto"/>
            <w:shd w:val="clear" w:color="auto" w:fill="auto"/>
            <w:vAlign w:val="center"/>
          </w:tcPr>
          <w:p w14:paraId="5E3AC178">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用于AvgRisk和案例排序</w:t>
            </w:r>
          </w:p>
        </w:tc>
      </w:tr>
      <w:tr w14:paraId="59DEF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663E88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reasons</w:t>
            </w:r>
          </w:p>
        </w:tc>
        <w:tc>
          <w:tcPr>
            <w:tcW w:w="0" w:type="auto"/>
            <w:shd w:val="clear" w:color="auto" w:fill="auto"/>
            <w:vAlign w:val="center"/>
          </w:tcPr>
          <w:p w14:paraId="777C10C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可解释原因列表</w:t>
            </w:r>
          </w:p>
        </w:tc>
        <w:tc>
          <w:tcPr>
            <w:tcW w:w="0" w:type="auto"/>
            <w:shd w:val="clear" w:color="auto" w:fill="auto"/>
            <w:vAlign w:val="center"/>
          </w:tcPr>
          <w:p w14:paraId="1505B384">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用于阻断原因统计和人工复核</w:t>
            </w:r>
          </w:p>
        </w:tc>
      </w:tr>
      <w:tr w14:paraId="32115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3E11E47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observation</w:t>
            </w:r>
          </w:p>
        </w:tc>
        <w:tc>
          <w:tcPr>
            <w:tcW w:w="0" w:type="auto"/>
            <w:shd w:val="clear" w:color="auto" w:fill="auto"/>
            <w:vAlign w:val="center"/>
          </w:tcPr>
          <w:p w14:paraId="62BEDAD3">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eastAsia="zh-CN"/>
              </w:rPr>
              <w:t>模拟</w:t>
            </w:r>
            <w:r>
              <w:rPr>
                <w:rFonts w:hint="eastAsia" w:ascii="宋体" w:hAnsi="宋体" w:eastAsia="宋体" w:cs="宋体"/>
                <w:b w:val="0"/>
                <w:bCs/>
                <w:color w:val="auto"/>
                <w:sz w:val="21"/>
                <w:szCs w:val="21"/>
              </w:rPr>
              <w:t>工具观察结果</w:t>
            </w:r>
          </w:p>
        </w:tc>
        <w:tc>
          <w:tcPr>
            <w:tcW w:w="0" w:type="auto"/>
            <w:shd w:val="clear" w:color="auto" w:fill="auto"/>
            <w:vAlign w:val="center"/>
          </w:tcPr>
          <w:p w14:paraId="0EA469D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说明工具是否被执行以及返回了什么</w:t>
            </w:r>
          </w:p>
        </w:tc>
      </w:tr>
      <w:tr w14:paraId="7CC9E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4EEBE1B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final_status</w:t>
            </w:r>
          </w:p>
        </w:tc>
        <w:tc>
          <w:tcPr>
            <w:tcW w:w="0" w:type="auto"/>
            <w:shd w:val="clear" w:color="auto" w:fill="auto"/>
            <w:vAlign w:val="center"/>
          </w:tcPr>
          <w:p w14:paraId="2C8140C8">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最终状态</w:t>
            </w:r>
          </w:p>
        </w:tc>
        <w:tc>
          <w:tcPr>
            <w:tcW w:w="0" w:type="auto"/>
            <w:shd w:val="clear" w:color="auto" w:fill="auto"/>
            <w:vAlign w:val="center"/>
          </w:tcPr>
          <w:p w14:paraId="2D53C318">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用于判断成功、阻断、解析异常或其他状态</w:t>
            </w:r>
          </w:p>
        </w:tc>
      </w:tr>
    </w:tbl>
    <w:p w14:paraId="7C09EBFC">
      <w:pPr>
        <w:keepNext w:val="0"/>
        <w:keepLines w:val="0"/>
        <w:pageBreakBefore w:val="0"/>
        <w:widowControl/>
        <w:kinsoku/>
        <w:wordWrap/>
        <w:overflowPunct/>
        <w:topLinePunct w:val="0"/>
        <w:autoSpaceDE/>
        <w:autoSpaceDN/>
        <w:bidi w:val="0"/>
        <w:adjustRightInd/>
        <w:snapToGrid/>
        <w:spacing w:after="0" w:line="360" w:lineRule="auto"/>
        <w:textAlignment w:val="auto"/>
        <w:rPr>
          <w:color w:val="auto"/>
        </w:rPr>
      </w:pPr>
    </w:p>
    <w:p w14:paraId="1048754B">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color w:val="auto"/>
        </w:rPr>
      </w:pPr>
      <w:r>
        <w:rPr>
          <w:rFonts w:ascii="黑体" w:hAnsi="黑体" w:eastAsia="黑体"/>
          <w:b/>
          <w:color w:val="auto"/>
          <w:sz w:val="25"/>
        </w:rPr>
        <w:t xml:space="preserve">2.7.2 </w:t>
      </w:r>
      <w:r>
        <w:rPr>
          <w:rFonts w:hint="eastAsia" w:ascii="黑体" w:hAnsi="黑体" w:eastAsia="黑体"/>
          <w:b/>
          <w:color w:val="auto"/>
          <w:sz w:val="25"/>
          <w:lang w:eastAsia="zh-CN"/>
        </w:rPr>
        <w:t>可视化面板</w:t>
      </w:r>
      <w:r>
        <w:rPr>
          <w:rFonts w:ascii="黑体" w:hAnsi="黑体" w:eastAsia="黑体"/>
          <w:b/>
          <w:color w:val="auto"/>
          <w:sz w:val="25"/>
        </w:rPr>
        <w:t>功能设计</w:t>
      </w:r>
    </w:p>
    <w:p w14:paraId="33363D5C">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hint="eastAsia"/>
          <w:b w:val="0"/>
          <w:color w:val="auto"/>
          <w:sz w:val="24"/>
          <w:lang w:eastAsia="zh-CN"/>
        </w:rPr>
        <w:t>可视化面板</w:t>
      </w:r>
      <w:r>
        <w:rPr>
          <w:rFonts w:ascii="宋体" w:hAnsi="宋体" w:eastAsia="宋体"/>
          <w:b w:val="0"/>
          <w:color w:val="auto"/>
          <w:sz w:val="24"/>
        </w:rPr>
        <w:t>提供六类视图。总览视图展示不同后端和防护模式下的ASR、UTR、DSR、BSR、FPR、AvgRisk和WRS</w:t>
      </w:r>
      <w:r>
        <w:rPr>
          <w:rFonts w:hint="eastAsia"/>
          <w:b w:val="0"/>
          <w:color w:val="auto"/>
          <w:sz w:val="24"/>
          <w:lang w:eastAsia="zh-CN"/>
        </w:rPr>
        <w:t>。</w:t>
      </w:r>
      <w:r>
        <w:rPr>
          <w:rFonts w:ascii="宋体" w:hAnsi="宋体" w:eastAsia="宋体"/>
          <w:b w:val="0"/>
          <w:color w:val="auto"/>
          <w:sz w:val="24"/>
        </w:rPr>
        <w:t>防护模式对比视图展示baseline、keyword_only、policy_only和full_guard的差异</w:t>
      </w:r>
      <w:r>
        <w:rPr>
          <w:rFonts w:hint="eastAsia"/>
          <w:b w:val="0"/>
          <w:color w:val="auto"/>
          <w:sz w:val="24"/>
          <w:lang w:eastAsia="zh-CN"/>
        </w:rPr>
        <w:t>。</w:t>
      </w:r>
      <w:r>
        <w:rPr>
          <w:rFonts w:ascii="宋体" w:hAnsi="宋体" w:eastAsia="宋体"/>
          <w:b w:val="0"/>
          <w:color w:val="auto"/>
          <w:sz w:val="24"/>
        </w:rPr>
        <w:t>攻击族分组视图展示不同attack_family的风险变化。阻断记录视图展示被ask或deny的样本、风险分和原因码。单案例回放视图按时间顺序展示用户任务、注入载体、模型输出、候选</w:t>
      </w:r>
      <w:r>
        <w:rPr>
          <w:rFonts w:hint="eastAsia"/>
          <w:b w:val="0"/>
          <w:color w:val="auto"/>
          <w:sz w:val="24"/>
          <w:lang w:eastAsia="zh-CN"/>
        </w:rPr>
        <w:t>工具调用</w:t>
      </w:r>
      <w:r>
        <w:rPr>
          <w:rFonts w:ascii="宋体" w:hAnsi="宋体" w:eastAsia="宋体"/>
          <w:b w:val="0"/>
          <w:color w:val="auto"/>
          <w:sz w:val="24"/>
        </w:rPr>
        <w:t>、</w:t>
      </w:r>
      <w:r>
        <w:rPr>
          <w:rFonts w:hint="eastAsia"/>
          <w:b w:val="0"/>
          <w:color w:val="auto"/>
          <w:sz w:val="24"/>
          <w:lang w:eastAsia="zh-CN"/>
        </w:rPr>
        <w:t>行为监督器</w:t>
      </w:r>
      <w:r>
        <w:rPr>
          <w:rFonts w:ascii="宋体" w:hAnsi="宋体" w:eastAsia="宋体"/>
          <w:b w:val="0"/>
          <w:color w:val="auto"/>
          <w:sz w:val="24"/>
        </w:rPr>
        <w:t>决策和</w:t>
      </w:r>
      <w:r>
        <w:rPr>
          <w:rFonts w:hint="eastAsia"/>
          <w:b w:val="0"/>
          <w:color w:val="auto"/>
          <w:sz w:val="24"/>
          <w:lang w:eastAsia="zh-CN"/>
        </w:rPr>
        <w:t>模拟</w:t>
      </w:r>
      <w:r>
        <w:rPr>
          <w:rFonts w:ascii="宋体" w:hAnsi="宋体" w:eastAsia="宋体"/>
          <w:b w:val="0"/>
          <w:color w:val="auto"/>
          <w:sz w:val="24"/>
        </w:rPr>
        <w:t>观察。原始日志视图便于人工复核parse_error、异常工具名和模型输出格式问题。</w:t>
      </w:r>
    </w:p>
    <w:p w14:paraId="56ACBE83">
      <w:pPr>
        <w:pStyle w:val="4"/>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8"/>
          <w:szCs w:val="28"/>
        </w:rPr>
      </w:pPr>
      <w:bookmarkStart w:id="0" w:name="_GoBack"/>
      <w:r>
        <w:rPr>
          <w:rFonts w:ascii="黑体" w:hAnsi="黑体" w:eastAsia="黑体"/>
          <w:b/>
          <w:color w:val="auto"/>
          <w:sz w:val="28"/>
          <w:szCs w:val="28"/>
        </w:rPr>
        <w:t>2.8 软件模块实现与运行流程</w:t>
      </w:r>
    </w:p>
    <w:bookmarkEnd w:id="0"/>
    <w:p w14:paraId="217EC300">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M³-PI</w:t>
      </w:r>
      <w:r>
        <w:rPr>
          <w:rFonts w:hint="eastAsia"/>
          <w:b w:val="0"/>
          <w:color w:val="auto"/>
          <w:sz w:val="24"/>
          <w:lang w:eastAsia="zh-CN"/>
        </w:rPr>
        <w:t>行为监督器</w:t>
      </w:r>
      <w:r>
        <w:rPr>
          <w:rFonts w:ascii="宋体" w:hAnsi="宋体" w:eastAsia="宋体"/>
          <w:b w:val="0"/>
          <w:color w:val="auto"/>
          <w:sz w:val="24"/>
        </w:rPr>
        <w:t>采用模块化实现，便于样本扩展、防护策略替换和实验复现。代码结构围绕m3_core、m3_attacks、m3_guard、m3_eval、fixtures和outputs六个目录展开。各模块之间通过</w:t>
      </w:r>
      <w:r>
        <w:rPr>
          <w:rFonts w:hint="eastAsia"/>
          <w:b w:val="0"/>
          <w:color w:val="auto"/>
          <w:sz w:val="24"/>
          <w:lang w:eastAsia="zh-CN"/>
        </w:rPr>
        <w:t>攻击样本</w:t>
      </w:r>
      <w:r>
        <w:rPr>
          <w:rFonts w:ascii="宋体" w:hAnsi="宋体" w:eastAsia="宋体"/>
          <w:b w:val="0"/>
          <w:color w:val="auto"/>
          <w:sz w:val="24"/>
        </w:rPr>
        <w:t>JSONL、</w:t>
      </w:r>
      <w:r>
        <w:rPr>
          <w:rFonts w:hint="eastAsia"/>
          <w:b w:val="0"/>
          <w:color w:val="auto"/>
          <w:sz w:val="24"/>
          <w:lang w:eastAsia="zh-CN"/>
        </w:rPr>
        <w:t>运行日志</w:t>
      </w:r>
      <w:r>
        <w:rPr>
          <w:rFonts w:ascii="宋体" w:hAnsi="宋体" w:eastAsia="宋体"/>
          <w:b w:val="0"/>
          <w:color w:val="auto"/>
          <w:sz w:val="24"/>
        </w:rPr>
        <w:t>JSONL和</w:t>
      </w:r>
      <w:r>
        <w:rPr>
          <w:rFonts w:hint="eastAsia"/>
          <w:b w:val="0"/>
          <w:color w:val="auto"/>
          <w:sz w:val="24"/>
          <w:lang w:eastAsia="zh-CN"/>
        </w:rPr>
        <w:t>评测指标</w:t>
      </w:r>
      <w:r>
        <w:rPr>
          <w:rFonts w:hint="eastAsia"/>
          <w:b w:val="0"/>
          <w:color w:val="auto"/>
          <w:sz w:val="24"/>
          <w:lang w:val="en-US" w:eastAsia="zh-CN"/>
        </w:rPr>
        <w:t xml:space="preserve"> </w:t>
      </w:r>
      <w:r>
        <w:rPr>
          <w:rFonts w:ascii="宋体" w:hAnsi="宋体" w:eastAsia="宋体"/>
          <w:b w:val="0"/>
          <w:color w:val="auto"/>
          <w:sz w:val="24"/>
        </w:rPr>
        <w:t>CSV/JSON交换数据。</w:t>
      </w:r>
    </w:p>
    <w:p w14:paraId="4DB8314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color w:val="auto"/>
          <w:sz w:val="21"/>
          <w:szCs w:val="21"/>
        </w:rPr>
      </w:pPr>
      <w:r>
        <w:rPr>
          <w:rFonts w:hint="eastAsia" w:ascii="宋体" w:hAnsi="宋体" w:eastAsia="宋体" w:cs="宋体"/>
          <w:b w:val="0"/>
          <w:color w:val="auto"/>
          <w:sz w:val="21"/>
          <w:szCs w:val="21"/>
        </w:rPr>
        <w:t>表2-</w:t>
      </w:r>
      <w:r>
        <w:rPr>
          <w:rFonts w:hint="eastAsia" w:cs="宋体"/>
          <w:b w:val="0"/>
          <w:color w:val="auto"/>
          <w:sz w:val="21"/>
          <w:szCs w:val="21"/>
          <w:lang w:val="en-US" w:eastAsia="zh-CN"/>
        </w:rPr>
        <w:t>9</w:t>
      </w:r>
      <w:r>
        <w:rPr>
          <w:rFonts w:hint="eastAsia" w:ascii="宋体" w:hAnsi="宋体" w:eastAsia="宋体" w:cs="宋体"/>
          <w:b w:val="0"/>
          <w:color w:val="auto"/>
          <w:sz w:val="21"/>
          <w:szCs w:val="21"/>
        </w:rPr>
        <w:t xml:space="preserve"> 软件模块实现说明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66"/>
        <w:gridCol w:w="3360"/>
        <w:gridCol w:w="2298"/>
        <w:gridCol w:w="2471"/>
      </w:tblGrid>
      <w:tr w14:paraId="6AF2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0A108EA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模块</w:t>
            </w:r>
          </w:p>
        </w:tc>
        <w:tc>
          <w:tcPr>
            <w:tcW w:w="0" w:type="auto"/>
            <w:shd w:val="clear" w:color="auto" w:fill="auto"/>
            <w:vAlign w:val="center"/>
          </w:tcPr>
          <w:p w14:paraId="560926F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rPr>
              <w:t>主要功能</w:t>
            </w:r>
          </w:p>
        </w:tc>
        <w:tc>
          <w:tcPr>
            <w:tcW w:w="0" w:type="auto"/>
            <w:shd w:val="clear" w:color="auto" w:fill="auto"/>
            <w:vAlign w:val="center"/>
          </w:tcPr>
          <w:p w14:paraId="35D365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rPr>
              <w:t>输入</w:t>
            </w:r>
          </w:p>
        </w:tc>
        <w:tc>
          <w:tcPr>
            <w:tcW w:w="0" w:type="auto"/>
            <w:shd w:val="clear" w:color="auto" w:fill="auto"/>
            <w:vAlign w:val="center"/>
          </w:tcPr>
          <w:p w14:paraId="6EA1FB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输出</w:t>
            </w:r>
          </w:p>
        </w:tc>
      </w:tr>
      <w:tr w14:paraId="62DB1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341ABA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m3_core</w:t>
            </w:r>
          </w:p>
        </w:tc>
        <w:tc>
          <w:tcPr>
            <w:tcW w:w="0" w:type="auto"/>
            <w:shd w:val="clear" w:color="auto" w:fill="auto"/>
            <w:vAlign w:val="center"/>
          </w:tcPr>
          <w:p w14:paraId="00902ED2">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eastAsia="zh-CN"/>
              </w:rPr>
              <w:t>Agent运行器</w:t>
            </w:r>
            <w:r>
              <w:rPr>
                <w:rFonts w:hint="eastAsia" w:ascii="宋体" w:hAnsi="宋体" w:eastAsia="宋体" w:cs="宋体"/>
                <w:b w:val="0"/>
                <w:bCs/>
                <w:color w:val="auto"/>
                <w:sz w:val="21"/>
                <w:szCs w:val="21"/>
              </w:rPr>
              <w:t>、模型后端、工具沙箱、run_batch、run_matrix</w:t>
            </w:r>
          </w:p>
        </w:tc>
        <w:tc>
          <w:tcPr>
            <w:tcW w:w="0" w:type="auto"/>
            <w:shd w:val="clear" w:color="auto" w:fill="auto"/>
            <w:vAlign w:val="center"/>
          </w:tcPr>
          <w:p w14:paraId="412E2CDB">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eastAsia="zh-CN"/>
              </w:rPr>
              <w:t>攻击样本</w:t>
            </w:r>
            <w:r>
              <w:rPr>
                <w:rFonts w:hint="eastAsia" w:ascii="宋体" w:hAnsi="宋体" w:eastAsia="宋体" w:cs="宋体"/>
                <w:b w:val="0"/>
                <w:bCs/>
                <w:color w:val="auto"/>
                <w:sz w:val="21"/>
                <w:szCs w:val="21"/>
              </w:rPr>
              <w:t>、backend、defense_mode</w:t>
            </w:r>
          </w:p>
        </w:tc>
        <w:tc>
          <w:tcPr>
            <w:tcW w:w="0" w:type="auto"/>
            <w:shd w:val="clear" w:color="auto" w:fill="auto"/>
            <w:vAlign w:val="center"/>
          </w:tcPr>
          <w:p w14:paraId="07FCEC34">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运行日志、</w:t>
            </w:r>
            <w:r>
              <w:rPr>
                <w:rFonts w:hint="eastAsia" w:ascii="宋体" w:hAnsi="宋体" w:eastAsia="宋体" w:cs="宋体"/>
                <w:b w:val="0"/>
                <w:bCs/>
                <w:color w:val="auto"/>
                <w:sz w:val="21"/>
                <w:szCs w:val="21"/>
                <w:lang w:eastAsia="zh-CN"/>
              </w:rPr>
              <w:t>模拟</w:t>
            </w:r>
            <w:r>
              <w:rPr>
                <w:rFonts w:hint="eastAsia" w:ascii="宋体" w:hAnsi="宋体" w:eastAsia="宋体" w:cs="宋体"/>
                <w:b w:val="0"/>
                <w:bCs/>
                <w:color w:val="auto"/>
                <w:sz w:val="21"/>
                <w:szCs w:val="21"/>
              </w:rPr>
              <w:t xml:space="preserve"> 观察结果</w:t>
            </w:r>
          </w:p>
        </w:tc>
      </w:tr>
      <w:tr w14:paraId="58D2D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0A129E3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m3_attacks</w:t>
            </w:r>
          </w:p>
        </w:tc>
        <w:tc>
          <w:tcPr>
            <w:tcW w:w="0" w:type="auto"/>
            <w:shd w:val="clear" w:color="auto" w:fill="auto"/>
            <w:vAlign w:val="center"/>
          </w:tcPr>
          <w:p w14:paraId="3AD30B2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样本维护、样本统计、质量审计</w:t>
            </w:r>
          </w:p>
        </w:tc>
        <w:tc>
          <w:tcPr>
            <w:tcW w:w="0" w:type="auto"/>
            <w:shd w:val="clear" w:color="auto" w:fill="auto"/>
            <w:vAlign w:val="center"/>
          </w:tcPr>
          <w:p w14:paraId="41ADC279">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eastAsia="zh-CN"/>
              </w:rPr>
              <w:t>攻击样本</w:t>
            </w:r>
            <w:r>
              <w:rPr>
                <w:rFonts w:hint="eastAsia" w:ascii="宋体" w:hAnsi="宋体" w:eastAsia="宋体" w:cs="宋体"/>
                <w:b w:val="0"/>
                <w:bCs/>
                <w:color w:val="auto"/>
                <w:sz w:val="21"/>
                <w:szCs w:val="21"/>
              </w:rPr>
              <w:t xml:space="preserve"> 草稿</w:t>
            </w:r>
          </w:p>
        </w:tc>
        <w:tc>
          <w:tcPr>
            <w:tcW w:w="0" w:type="auto"/>
            <w:shd w:val="clear" w:color="auto" w:fill="auto"/>
            <w:vAlign w:val="center"/>
          </w:tcPr>
          <w:p w14:paraId="023F54ED">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通过审计的样本库、审计报告</w:t>
            </w:r>
          </w:p>
        </w:tc>
      </w:tr>
      <w:tr w14:paraId="5BA90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6729C48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m3_guard</w:t>
            </w:r>
          </w:p>
        </w:tc>
        <w:tc>
          <w:tcPr>
            <w:tcW w:w="0" w:type="auto"/>
            <w:shd w:val="clear" w:color="auto" w:fill="auto"/>
            <w:vAlign w:val="center"/>
          </w:tcPr>
          <w:p w14:paraId="0F57A8E2">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文本归一化、检测器、工具策略、数据流追踪、</w:t>
            </w:r>
            <w:r>
              <w:rPr>
                <w:rFonts w:hint="eastAsia" w:ascii="宋体" w:hAnsi="宋体" w:eastAsia="宋体" w:cs="宋体"/>
                <w:b w:val="0"/>
                <w:bCs/>
                <w:color w:val="auto"/>
                <w:sz w:val="21"/>
                <w:szCs w:val="21"/>
                <w:lang w:eastAsia="zh-CN"/>
              </w:rPr>
              <w:t>行为监督器</w:t>
            </w:r>
            <w:r>
              <w:rPr>
                <w:rFonts w:hint="eastAsia" w:ascii="宋体" w:hAnsi="宋体" w:eastAsia="宋体" w:cs="宋体"/>
                <w:b w:val="0"/>
                <w:bCs/>
                <w:color w:val="auto"/>
                <w:sz w:val="21"/>
                <w:szCs w:val="21"/>
              </w:rPr>
              <w:t xml:space="preserve"> 决策</w:t>
            </w:r>
          </w:p>
        </w:tc>
        <w:tc>
          <w:tcPr>
            <w:tcW w:w="0" w:type="auto"/>
            <w:shd w:val="clear" w:color="auto" w:fill="auto"/>
            <w:vAlign w:val="center"/>
          </w:tcPr>
          <w:p w14:paraId="609DC134">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context、tool_call、mode</w:t>
            </w:r>
          </w:p>
        </w:tc>
        <w:tc>
          <w:tcPr>
            <w:tcW w:w="0" w:type="auto"/>
            <w:shd w:val="clear" w:color="auto" w:fill="auto"/>
            <w:vAlign w:val="center"/>
          </w:tcPr>
          <w:p w14:paraId="5FF6407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decision、risk_score、reasons</w:t>
            </w:r>
          </w:p>
        </w:tc>
      </w:tr>
      <w:tr w14:paraId="769C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shd w:val="clear" w:color="auto" w:fill="auto"/>
            <w:vAlign w:val="center"/>
          </w:tcPr>
          <w:p w14:paraId="709E82A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m3_eval</w:t>
            </w:r>
          </w:p>
        </w:tc>
        <w:tc>
          <w:tcPr>
            <w:tcW w:w="0" w:type="auto"/>
            <w:shd w:val="clear" w:color="auto" w:fill="auto"/>
            <w:vAlign w:val="center"/>
          </w:tcPr>
          <w:p w14:paraId="16C65F48">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rPr>
              <w:t>读取</w:t>
            </w:r>
            <w:r>
              <w:rPr>
                <w:rFonts w:hint="eastAsia" w:ascii="宋体" w:hAnsi="宋体" w:eastAsia="宋体" w:cs="宋体"/>
                <w:b w:val="0"/>
                <w:bCs/>
                <w:color w:val="auto"/>
                <w:sz w:val="21"/>
                <w:szCs w:val="21"/>
                <w:lang w:eastAsia="zh-CN"/>
              </w:rPr>
              <w:t>运行日志</w:t>
            </w:r>
            <w:r>
              <w:rPr>
                <w:rFonts w:hint="eastAsia" w:ascii="宋体" w:hAnsi="宋体" w:eastAsia="宋体" w:cs="宋体"/>
                <w:b w:val="0"/>
                <w:bCs/>
                <w:color w:val="auto"/>
                <w:sz w:val="21"/>
                <w:szCs w:val="21"/>
              </w:rPr>
              <w:t>、计算指标、生成图表和</w:t>
            </w:r>
            <w:r>
              <w:rPr>
                <w:rFonts w:hint="eastAsia" w:ascii="宋体" w:hAnsi="宋体" w:eastAsia="宋体" w:cs="宋体"/>
                <w:b w:val="0"/>
                <w:bCs/>
                <w:color w:val="auto"/>
                <w:sz w:val="21"/>
                <w:szCs w:val="21"/>
                <w:lang w:eastAsia="zh-CN"/>
              </w:rPr>
              <w:t>可视化面板</w:t>
            </w:r>
          </w:p>
        </w:tc>
        <w:tc>
          <w:tcPr>
            <w:tcW w:w="0" w:type="auto"/>
            <w:shd w:val="clear" w:color="auto" w:fill="auto"/>
            <w:vAlign w:val="center"/>
          </w:tcPr>
          <w:p w14:paraId="0ADE54F1">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JSONL日志、样本元数据</w:t>
            </w:r>
          </w:p>
        </w:tc>
        <w:tc>
          <w:tcPr>
            <w:tcW w:w="0" w:type="auto"/>
            <w:shd w:val="clear" w:color="auto" w:fill="auto"/>
            <w:vAlign w:val="center"/>
          </w:tcPr>
          <w:p w14:paraId="5308155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rPr>
              <w:t>指标CSV/JSON、图表、HTML</w:t>
            </w:r>
            <w:r>
              <w:rPr>
                <w:rFonts w:hint="eastAsia" w:ascii="宋体" w:hAnsi="宋体" w:eastAsia="宋体" w:cs="宋体"/>
                <w:b w:val="0"/>
                <w:bCs/>
                <w:color w:val="auto"/>
                <w:sz w:val="21"/>
                <w:szCs w:val="21"/>
                <w:lang w:eastAsia="zh-CN"/>
              </w:rPr>
              <w:t>可视化面板</w:t>
            </w:r>
          </w:p>
        </w:tc>
      </w:tr>
      <w:tr w14:paraId="7515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shd w:val="clear" w:color="auto" w:fill="auto"/>
            <w:vAlign w:val="center"/>
          </w:tcPr>
          <w:p w14:paraId="1A64879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fixtures</w:t>
            </w:r>
          </w:p>
        </w:tc>
        <w:tc>
          <w:tcPr>
            <w:tcW w:w="0" w:type="auto"/>
            <w:shd w:val="clear" w:color="auto" w:fill="auto"/>
            <w:vAlign w:val="center"/>
          </w:tcPr>
          <w:p w14:paraId="3CC5847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demo</w:t>
            </w:r>
            <w:r>
              <w:rPr>
                <w:rFonts w:hint="eastAsia" w:ascii="宋体" w:hAnsi="宋体" w:eastAsia="宋体" w:cs="宋体"/>
                <w:b w:val="0"/>
                <w:bCs/>
                <w:color w:val="auto"/>
                <w:sz w:val="21"/>
                <w:szCs w:val="21"/>
                <w:lang w:val="en-US" w:eastAsia="zh-CN"/>
              </w:rPr>
              <w:t xml:space="preserve"> </w:t>
            </w:r>
            <w:r>
              <w:rPr>
                <w:rFonts w:hint="eastAsia" w:ascii="宋体" w:hAnsi="宋体" w:eastAsia="宋体" w:cs="宋体"/>
                <w:b w:val="0"/>
                <w:bCs/>
                <w:color w:val="auto"/>
                <w:sz w:val="21"/>
                <w:szCs w:val="21"/>
              </w:rPr>
              <w:t>cases和代表性样本</w:t>
            </w:r>
          </w:p>
        </w:tc>
        <w:tc>
          <w:tcPr>
            <w:tcW w:w="0" w:type="auto"/>
            <w:shd w:val="clear" w:color="auto" w:fill="auto"/>
            <w:vAlign w:val="center"/>
          </w:tcPr>
          <w:p w14:paraId="45023244">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最小演示样本、Qwen代表样本</w:t>
            </w:r>
          </w:p>
        </w:tc>
        <w:tc>
          <w:tcPr>
            <w:tcW w:w="0" w:type="auto"/>
            <w:shd w:val="clear" w:color="auto" w:fill="auto"/>
            <w:vAlign w:val="center"/>
          </w:tcPr>
          <w:p w14:paraId="29015B7F">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smoke</w:t>
            </w:r>
            <w:r>
              <w:rPr>
                <w:rFonts w:hint="eastAsia" w:ascii="宋体" w:hAnsi="宋体" w:eastAsia="宋体" w:cs="宋体"/>
                <w:b w:val="0"/>
                <w:bCs/>
                <w:color w:val="auto"/>
                <w:sz w:val="21"/>
                <w:szCs w:val="21"/>
                <w:lang w:val="en-US" w:eastAsia="zh-CN"/>
              </w:rPr>
              <w:t xml:space="preserve"> </w:t>
            </w:r>
            <w:r>
              <w:rPr>
                <w:rFonts w:hint="eastAsia" w:ascii="宋体" w:hAnsi="宋体" w:eastAsia="宋体" w:cs="宋体"/>
                <w:b w:val="0"/>
                <w:bCs/>
                <w:color w:val="auto"/>
                <w:sz w:val="21"/>
                <w:szCs w:val="21"/>
              </w:rPr>
              <w:t>test输入</w:t>
            </w:r>
          </w:p>
        </w:tc>
      </w:tr>
      <w:tr w14:paraId="0CC90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0" w:type="auto"/>
            <w:shd w:val="clear" w:color="auto" w:fill="auto"/>
            <w:vAlign w:val="center"/>
          </w:tcPr>
          <w:p w14:paraId="54E673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outputs</w:t>
            </w:r>
          </w:p>
        </w:tc>
        <w:tc>
          <w:tcPr>
            <w:tcW w:w="0" w:type="auto"/>
            <w:shd w:val="clear" w:color="auto" w:fill="auto"/>
            <w:vAlign w:val="center"/>
          </w:tcPr>
          <w:p w14:paraId="469BD52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实验输出目录</w:t>
            </w:r>
          </w:p>
        </w:tc>
        <w:tc>
          <w:tcPr>
            <w:tcW w:w="0" w:type="auto"/>
            <w:shd w:val="clear" w:color="auto" w:fill="auto"/>
            <w:vAlign w:val="center"/>
          </w:tcPr>
          <w:p w14:paraId="5E7A1031">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运行过程产生的文件</w:t>
            </w:r>
          </w:p>
        </w:tc>
        <w:tc>
          <w:tcPr>
            <w:tcW w:w="0" w:type="auto"/>
            <w:shd w:val="clear" w:color="auto" w:fill="auto"/>
            <w:vAlign w:val="center"/>
          </w:tcPr>
          <w:p w14:paraId="41E57FC6">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日志、指标、图表、质量审计结果</w:t>
            </w:r>
          </w:p>
        </w:tc>
      </w:tr>
    </w:tbl>
    <w:p w14:paraId="565148F0">
      <w:pPr>
        <w:keepNext w:val="0"/>
        <w:keepLines w:val="0"/>
        <w:pageBreakBefore w:val="0"/>
        <w:widowControl/>
        <w:kinsoku/>
        <w:wordWrap/>
        <w:overflowPunct/>
        <w:topLinePunct w:val="0"/>
        <w:autoSpaceDE/>
        <w:autoSpaceDN/>
        <w:bidi w:val="0"/>
        <w:adjustRightInd/>
        <w:snapToGrid/>
        <w:spacing w:after="0" w:line="360" w:lineRule="auto"/>
        <w:textAlignment w:val="auto"/>
        <w:rPr>
          <w:color w:val="auto"/>
        </w:rPr>
      </w:pPr>
    </w:p>
    <w:p w14:paraId="7B2D59A8">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color w:val="auto"/>
        </w:rPr>
      </w:pPr>
      <w:r>
        <w:rPr>
          <w:rFonts w:ascii="黑体" w:hAnsi="黑体" w:eastAsia="黑体"/>
          <w:b/>
          <w:color w:val="auto"/>
          <w:sz w:val="25"/>
        </w:rPr>
        <w:t>2.8.1 批量运行流程</w:t>
      </w:r>
    </w:p>
    <w:p w14:paraId="75E40F44">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批量实验由run_matrix驱动。系统首先加载样本库并执行质量审计，然后按照后端和防护模式组合生成运行矩阵。每条样本进入</w:t>
      </w:r>
      <w:r>
        <w:rPr>
          <w:rFonts w:hint="eastAsia"/>
          <w:b w:val="0"/>
          <w:color w:val="auto"/>
          <w:sz w:val="24"/>
          <w:lang w:eastAsia="zh-CN"/>
        </w:rPr>
        <w:t>Agent运行器</w:t>
      </w:r>
      <w:r>
        <w:rPr>
          <w:rFonts w:ascii="宋体" w:hAnsi="宋体" w:eastAsia="宋体"/>
          <w:b w:val="0"/>
          <w:color w:val="auto"/>
          <w:sz w:val="24"/>
        </w:rPr>
        <w:t>后产生候选输出，再由</w:t>
      </w:r>
      <w:r>
        <w:rPr>
          <w:rFonts w:hint="eastAsia"/>
          <w:b w:val="0"/>
          <w:color w:val="auto"/>
          <w:sz w:val="24"/>
          <w:lang w:eastAsia="zh-CN"/>
        </w:rPr>
        <w:t>工具调用</w:t>
      </w:r>
      <w:r>
        <w:rPr>
          <w:rFonts w:ascii="宋体" w:hAnsi="宋体" w:eastAsia="宋体"/>
          <w:b w:val="0"/>
          <w:color w:val="auto"/>
          <w:sz w:val="24"/>
        </w:rPr>
        <w:t>解析器和</w:t>
      </w:r>
      <w:r>
        <w:rPr>
          <w:rFonts w:hint="eastAsia"/>
          <w:b w:val="0"/>
          <w:color w:val="auto"/>
          <w:sz w:val="24"/>
          <w:lang w:eastAsia="zh-CN"/>
        </w:rPr>
        <w:t>行为监督器</w:t>
      </w:r>
      <w:r>
        <w:rPr>
          <w:rFonts w:ascii="宋体" w:hAnsi="宋体" w:eastAsia="宋体"/>
          <w:b w:val="0"/>
          <w:color w:val="auto"/>
          <w:sz w:val="24"/>
        </w:rPr>
        <w:t>处理。若进入</w:t>
      </w:r>
      <w:r>
        <w:rPr>
          <w:rFonts w:hint="eastAsia"/>
          <w:b w:val="0"/>
          <w:color w:val="auto"/>
          <w:sz w:val="24"/>
          <w:lang w:eastAsia="zh-CN"/>
        </w:rPr>
        <w:t>模拟</w:t>
      </w:r>
      <w:r>
        <w:rPr>
          <w:rFonts w:ascii="宋体" w:hAnsi="宋体" w:eastAsia="宋体"/>
          <w:b w:val="0"/>
          <w:color w:val="auto"/>
          <w:sz w:val="24"/>
        </w:rPr>
        <w:t>工具，工具观察结果写入日志；若被ask或deny，日志记录阻断原因。全部样本运行结束后，m3_eval读取日志计算指标并生成图表。</w:t>
      </w:r>
    </w:p>
    <w:p w14:paraId="7237DAD7">
      <w:pPr>
        <w:pStyle w:val="5"/>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color w:val="auto"/>
        </w:rPr>
      </w:pPr>
      <w:r>
        <w:rPr>
          <w:rFonts w:ascii="黑体" w:hAnsi="黑体" w:eastAsia="黑体"/>
          <w:b/>
          <w:color w:val="auto"/>
          <w:sz w:val="25"/>
        </w:rPr>
        <w:t>2.8.2 异常处理与可复现设计</w:t>
      </w:r>
    </w:p>
    <w:p w14:paraId="0A7C6BF2">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真实本地模型输出存在格式不稳定问题，例如工具名不符合白名单、JSON中包含控制字符、自然语言和JSON混杂等。系统对这类情况采用“保留证据而非静默丢弃”的策略：raw_model_output始终写入日志，parse_error单独记录，parsed_tool_call为空或部分解析结果。这样可以在第三章中解释模型输出不稳定对实验结果的影响。</w:t>
      </w:r>
    </w:p>
    <w:p w14:paraId="03F6EE62">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为保证复现性，</w:t>
      </w:r>
      <w:r>
        <w:rPr>
          <w:rFonts w:hint="eastAsia"/>
          <w:b w:val="0"/>
          <w:color w:val="auto"/>
          <w:sz w:val="24"/>
          <w:lang w:eastAsia="zh-CN"/>
        </w:rPr>
        <w:t>桩模型</w:t>
      </w:r>
      <w:r>
        <w:rPr>
          <w:rFonts w:ascii="宋体" w:hAnsi="宋体" w:eastAsia="宋体"/>
          <w:b w:val="0"/>
          <w:color w:val="auto"/>
          <w:sz w:val="24"/>
        </w:rPr>
        <w:t>后端使用确定性逻辑生成候选工具调用，demo</w:t>
      </w:r>
      <w:r>
        <w:rPr>
          <w:rFonts w:hint="eastAsia"/>
          <w:b w:val="0"/>
          <w:color w:val="auto"/>
          <w:sz w:val="24"/>
          <w:lang w:val="en-US" w:eastAsia="zh-CN"/>
        </w:rPr>
        <w:t xml:space="preserve"> </w:t>
      </w:r>
      <w:r>
        <w:rPr>
          <w:rFonts w:ascii="宋体" w:hAnsi="宋体" w:eastAsia="宋体"/>
          <w:b w:val="0"/>
          <w:color w:val="auto"/>
          <w:sz w:val="24"/>
        </w:rPr>
        <w:t>smoke test使用固定样本和固定后端，Qwen2.5实验记录模型名称、后端、样本ID和原始输出。所有输出文件统一存放在outputs目录下，便于重复运行和结果对比。</w:t>
      </w:r>
    </w:p>
    <w:p w14:paraId="0268FF0D">
      <w:pPr>
        <w:pStyle w:val="4"/>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rPr>
          <w:rFonts w:ascii="黑体" w:hAnsi="黑体" w:eastAsia="黑体"/>
          <w:b/>
          <w:color w:val="auto"/>
          <w:sz w:val="28"/>
          <w:szCs w:val="28"/>
        </w:rPr>
      </w:pPr>
      <w:r>
        <w:rPr>
          <w:rFonts w:ascii="黑体" w:hAnsi="黑体" w:eastAsia="黑体"/>
          <w:b/>
          <w:color w:val="auto"/>
          <w:sz w:val="28"/>
          <w:szCs w:val="28"/>
        </w:rPr>
        <w:t>2.9 小结</w:t>
      </w:r>
    </w:p>
    <w:p w14:paraId="78DD7D04">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本章介绍了M³-PI</w:t>
      </w:r>
      <w:r>
        <w:rPr>
          <w:rFonts w:hint="eastAsia"/>
          <w:b w:val="0"/>
          <w:color w:val="auto"/>
          <w:sz w:val="24"/>
          <w:lang w:eastAsia="zh-CN"/>
        </w:rPr>
        <w:t>行为监督器</w:t>
      </w:r>
      <w:r>
        <w:rPr>
          <w:rFonts w:ascii="宋体" w:hAnsi="宋体" w:eastAsia="宋体"/>
          <w:b w:val="0"/>
          <w:color w:val="auto"/>
          <w:sz w:val="24"/>
        </w:rPr>
        <w:t>的整体方案。系统以</w:t>
      </w:r>
      <w:r>
        <w:rPr>
          <w:rFonts w:hint="eastAsia"/>
          <w:b w:val="0"/>
          <w:color w:val="auto"/>
          <w:sz w:val="24"/>
          <w:lang w:eastAsia="zh-CN"/>
        </w:rPr>
        <w:t>攻击样本</w:t>
      </w:r>
      <w:r>
        <w:rPr>
          <w:rFonts w:ascii="宋体" w:hAnsi="宋体" w:eastAsia="宋体"/>
          <w:b w:val="0"/>
          <w:color w:val="auto"/>
          <w:sz w:val="24"/>
        </w:rPr>
        <w:t>作为统一红队样本模型，以</w:t>
      </w:r>
      <w:r>
        <w:rPr>
          <w:rFonts w:hint="eastAsia"/>
          <w:b w:val="0"/>
          <w:color w:val="auto"/>
          <w:sz w:val="24"/>
          <w:lang w:eastAsia="zh-CN"/>
        </w:rPr>
        <w:t>Agent运行器</w:t>
      </w:r>
      <w:r>
        <w:rPr>
          <w:rFonts w:ascii="宋体" w:hAnsi="宋体" w:eastAsia="宋体"/>
          <w:b w:val="0"/>
          <w:color w:val="auto"/>
          <w:sz w:val="24"/>
        </w:rPr>
        <w:t>和模型后端复现工具调用</w:t>
      </w:r>
      <w:r>
        <w:rPr>
          <w:rFonts w:hint="eastAsia"/>
          <w:b w:val="0"/>
          <w:color w:val="auto"/>
          <w:sz w:val="24"/>
          <w:lang w:eastAsia="zh-CN"/>
        </w:rPr>
        <w:t>Agent</w:t>
      </w:r>
      <w:r>
        <w:rPr>
          <w:rFonts w:ascii="宋体" w:hAnsi="宋体" w:eastAsia="宋体"/>
          <w:b w:val="0"/>
          <w:color w:val="auto"/>
          <w:sz w:val="24"/>
        </w:rPr>
        <w:t>行为，以sandbox</w:t>
      </w:r>
      <w:r>
        <w:rPr>
          <w:rFonts w:hint="eastAsia"/>
          <w:b w:val="0"/>
          <w:color w:val="auto"/>
          <w:sz w:val="24"/>
          <w:lang w:eastAsia="zh-CN"/>
        </w:rPr>
        <w:t>模拟</w:t>
      </w:r>
      <w:r>
        <w:rPr>
          <w:rFonts w:ascii="宋体" w:hAnsi="宋体" w:eastAsia="宋体"/>
          <w:b w:val="0"/>
          <w:color w:val="auto"/>
          <w:sz w:val="24"/>
        </w:rPr>
        <w:t>工具链保留风险形态并隔离真实危害，以</w:t>
      </w:r>
      <w:r>
        <w:rPr>
          <w:rFonts w:hint="eastAsia"/>
          <w:b w:val="0"/>
          <w:color w:val="auto"/>
          <w:sz w:val="24"/>
          <w:lang w:eastAsia="zh-CN"/>
        </w:rPr>
        <w:t>行为监督器</w:t>
      </w:r>
      <w:r>
        <w:rPr>
          <w:rFonts w:ascii="宋体" w:hAnsi="宋体" w:eastAsia="宋体"/>
          <w:b w:val="0"/>
          <w:color w:val="auto"/>
          <w:sz w:val="24"/>
        </w:rPr>
        <w:t>在工具执行前完成</w:t>
      </w:r>
      <w:r>
        <w:rPr>
          <w:rFonts w:hint="eastAsia"/>
          <w:b w:val="0"/>
          <w:color w:val="auto"/>
          <w:sz w:val="24"/>
          <w:lang w:eastAsia="zh-CN"/>
        </w:rPr>
        <w:t>行为监督器</w:t>
      </w:r>
      <w:r>
        <w:rPr>
          <w:rFonts w:ascii="宋体" w:hAnsi="宋体" w:eastAsia="宋体"/>
          <w:b w:val="0"/>
          <w:color w:val="auto"/>
          <w:sz w:val="24"/>
        </w:rPr>
        <w:t>，以</w:t>
      </w:r>
      <w:r>
        <w:rPr>
          <w:rFonts w:hint="eastAsia"/>
          <w:b w:val="0"/>
          <w:color w:val="auto"/>
          <w:sz w:val="24"/>
          <w:lang w:eastAsia="zh-CN"/>
        </w:rPr>
        <w:t>运行日志</w:t>
      </w:r>
      <w:r>
        <w:rPr>
          <w:rFonts w:ascii="宋体" w:hAnsi="宋体" w:eastAsia="宋体"/>
          <w:b w:val="0"/>
          <w:color w:val="auto"/>
          <w:sz w:val="24"/>
        </w:rPr>
        <w:t>、</w:t>
      </w:r>
      <w:r>
        <w:rPr>
          <w:rFonts w:hint="eastAsia"/>
          <w:b w:val="0"/>
          <w:color w:val="auto"/>
          <w:sz w:val="24"/>
          <w:lang w:eastAsia="zh-CN"/>
        </w:rPr>
        <w:t>评测指标</w:t>
      </w:r>
      <w:r>
        <w:rPr>
          <w:rFonts w:ascii="宋体" w:hAnsi="宋体" w:eastAsia="宋体"/>
          <w:b w:val="0"/>
          <w:color w:val="auto"/>
          <w:sz w:val="24"/>
        </w:rPr>
        <w:t>和</w:t>
      </w:r>
      <w:r>
        <w:rPr>
          <w:rFonts w:hint="eastAsia"/>
          <w:b w:val="0"/>
          <w:color w:val="auto"/>
          <w:sz w:val="24"/>
          <w:lang w:eastAsia="zh-CN"/>
        </w:rPr>
        <w:t>可视化面板</w:t>
      </w:r>
      <w:r>
        <w:rPr>
          <w:rFonts w:ascii="宋体" w:hAnsi="宋体" w:eastAsia="宋体"/>
          <w:b w:val="0"/>
          <w:color w:val="auto"/>
          <w:sz w:val="24"/>
        </w:rPr>
        <w:t>形成可审计证据链。</w:t>
      </w:r>
    </w:p>
    <w:p w14:paraId="0BE6322A">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color w:val="auto"/>
        </w:rPr>
      </w:pPr>
      <w:r>
        <w:rPr>
          <w:rFonts w:ascii="宋体" w:hAnsi="宋体" w:eastAsia="宋体"/>
          <w:b w:val="0"/>
          <w:color w:val="auto"/>
          <w:sz w:val="24"/>
        </w:rPr>
        <w:t>从工程闭环看，</w:t>
      </w:r>
      <w:r>
        <w:rPr>
          <w:rFonts w:hint="eastAsia"/>
          <w:b w:val="0"/>
          <w:color w:val="auto"/>
          <w:sz w:val="24"/>
          <w:lang w:eastAsia="zh-CN"/>
        </w:rPr>
        <w:t>我们的作品</w:t>
      </w:r>
      <w:r>
        <w:rPr>
          <w:rFonts w:ascii="宋体" w:hAnsi="宋体" w:eastAsia="宋体"/>
          <w:b w:val="0"/>
          <w:color w:val="auto"/>
          <w:sz w:val="24"/>
        </w:rPr>
        <w:t>是一个面向工具调用</w:t>
      </w:r>
      <w:r>
        <w:rPr>
          <w:rFonts w:hint="eastAsia"/>
          <w:b w:val="0"/>
          <w:color w:val="auto"/>
          <w:sz w:val="24"/>
          <w:lang w:eastAsia="zh-CN"/>
        </w:rPr>
        <w:t>Agent</w:t>
      </w:r>
      <w:r>
        <w:rPr>
          <w:rFonts w:ascii="宋体" w:hAnsi="宋体" w:eastAsia="宋体"/>
          <w:b w:val="0"/>
          <w:color w:val="auto"/>
          <w:sz w:val="24"/>
        </w:rPr>
        <w:t>的本地安全评测与</w:t>
      </w:r>
      <w:r>
        <w:rPr>
          <w:rFonts w:hint="eastAsia"/>
          <w:b w:val="0"/>
          <w:color w:val="auto"/>
          <w:sz w:val="24"/>
          <w:lang w:eastAsia="zh-CN"/>
        </w:rPr>
        <w:t>行为监督器</w:t>
      </w:r>
      <w:r>
        <w:rPr>
          <w:rFonts w:ascii="宋体" w:hAnsi="宋体" w:eastAsia="宋体"/>
          <w:b w:val="0"/>
          <w:color w:val="auto"/>
          <w:sz w:val="24"/>
        </w:rPr>
        <w:t>原型。第二章所述模块为第三章实验提供了直接支撑：</w:t>
      </w:r>
      <w:r>
        <w:rPr>
          <w:rFonts w:hint="eastAsia"/>
          <w:b w:val="0"/>
          <w:color w:val="auto"/>
          <w:sz w:val="24"/>
          <w:lang w:eastAsia="zh-CN"/>
        </w:rPr>
        <w:t>攻击样本</w:t>
      </w:r>
      <w:r>
        <w:rPr>
          <w:rFonts w:ascii="宋体" w:hAnsi="宋体" w:eastAsia="宋体"/>
          <w:b w:val="0"/>
          <w:color w:val="auto"/>
          <w:sz w:val="24"/>
        </w:rPr>
        <w:t>支撑样本分组，</w:t>
      </w:r>
      <w:r>
        <w:rPr>
          <w:rFonts w:hint="eastAsia"/>
          <w:b w:val="0"/>
          <w:color w:val="auto"/>
          <w:sz w:val="24"/>
          <w:lang w:eastAsia="zh-CN"/>
        </w:rPr>
        <w:t>模拟</w:t>
      </w:r>
      <w:r>
        <w:rPr>
          <w:rFonts w:ascii="宋体" w:hAnsi="宋体" w:eastAsia="宋体"/>
          <w:b w:val="0"/>
          <w:color w:val="auto"/>
          <w:sz w:val="24"/>
        </w:rPr>
        <w:t>工具支撑ASR</w:t>
      </w:r>
      <w:r>
        <w:rPr>
          <w:rFonts w:hint="eastAsia"/>
          <w:b w:val="0"/>
          <w:color w:val="auto"/>
          <w:sz w:val="24"/>
          <w:lang w:eastAsia="zh-CN"/>
        </w:rPr>
        <w:t>，</w:t>
      </w:r>
      <w:r>
        <w:rPr>
          <w:rFonts w:ascii="宋体" w:hAnsi="宋体" w:eastAsia="宋体"/>
          <w:b w:val="0"/>
          <w:color w:val="auto"/>
          <w:sz w:val="24"/>
        </w:rPr>
        <w:t>UTR</w:t>
      </w:r>
      <w:r>
        <w:rPr>
          <w:rFonts w:hint="eastAsia"/>
          <w:b w:val="0"/>
          <w:color w:val="auto"/>
          <w:sz w:val="24"/>
          <w:lang w:eastAsia="zh-CN"/>
        </w:rPr>
        <w:t>，</w:t>
      </w:r>
      <w:r>
        <w:rPr>
          <w:rFonts w:ascii="宋体" w:hAnsi="宋体" w:eastAsia="宋体"/>
          <w:b w:val="0"/>
          <w:color w:val="auto"/>
          <w:sz w:val="24"/>
        </w:rPr>
        <w:t>DSR计算，</w:t>
      </w:r>
      <w:r>
        <w:rPr>
          <w:rFonts w:hint="eastAsia"/>
          <w:b w:val="0"/>
          <w:color w:val="auto"/>
          <w:sz w:val="24"/>
          <w:lang w:eastAsia="zh-CN"/>
        </w:rPr>
        <w:t>行为监督器</w:t>
      </w:r>
      <w:r>
        <w:rPr>
          <w:rFonts w:ascii="宋体" w:hAnsi="宋体" w:eastAsia="宋体"/>
          <w:b w:val="0"/>
          <w:color w:val="auto"/>
          <w:sz w:val="24"/>
        </w:rPr>
        <w:t>支撑消融实验，</w:t>
      </w:r>
      <w:r>
        <w:rPr>
          <w:rFonts w:hint="eastAsia"/>
          <w:b w:val="0"/>
          <w:color w:val="auto"/>
          <w:sz w:val="24"/>
          <w:lang w:eastAsia="zh-CN"/>
        </w:rPr>
        <w:t>运行日志</w:t>
      </w:r>
      <w:r>
        <w:rPr>
          <w:rFonts w:ascii="宋体" w:hAnsi="宋体" w:eastAsia="宋体"/>
          <w:b w:val="0"/>
          <w:color w:val="auto"/>
          <w:sz w:val="24"/>
        </w:rPr>
        <w:t>和</w:t>
      </w:r>
      <w:r>
        <w:rPr>
          <w:rFonts w:hint="eastAsia"/>
          <w:b w:val="0"/>
          <w:color w:val="auto"/>
          <w:sz w:val="24"/>
          <w:lang w:eastAsia="zh-CN"/>
        </w:rPr>
        <w:t>可视化面板</w:t>
      </w:r>
      <w:r>
        <w:rPr>
          <w:rFonts w:ascii="宋体" w:hAnsi="宋体" w:eastAsia="宋体"/>
          <w:b w:val="0"/>
          <w:color w:val="auto"/>
          <w:sz w:val="24"/>
        </w:rPr>
        <w:t>支撑阻断原因分析与单案例复盘。</w:t>
      </w:r>
    </w:p>
    <w:sectPr>
      <w:footerReference r:id="rId5" w:type="default"/>
      <w:pgSz w:w="12240" w:h="15840"/>
      <w:pgMar w:top="1440" w:right="1474" w:bottom="1440"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25ACB">
    <w:pPr>
      <w:pStyle w:val="24"/>
      <w:jc w:val="center"/>
    </w:pPr>
    <w:r>
      <w:rPr>
        <w:rFonts w:ascii="宋体" w:hAnsi="宋体" w:eastAsia="宋体"/>
        <w:sz w:val="18"/>
      </w:rPr>
      <w:t xml:space="preserve">第 </w:t>
    </w: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r>
      <w:rPr>
        <w:rFonts w:ascii="宋体" w:hAnsi="宋体"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9127B6"/>
    <w:rsid w:val="02B31F5F"/>
    <w:rsid w:val="02E01C47"/>
    <w:rsid w:val="0332621A"/>
    <w:rsid w:val="044C50BA"/>
    <w:rsid w:val="04D8694E"/>
    <w:rsid w:val="04F061A0"/>
    <w:rsid w:val="058F1702"/>
    <w:rsid w:val="05F31C91"/>
    <w:rsid w:val="077704E7"/>
    <w:rsid w:val="07C02047"/>
    <w:rsid w:val="08674270"/>
    <w:rsid w:val="09F4422A"/>
    <w:rsid w:val="0A4725AB"/>
    <w:rsid w:val="0BDC6D23"/>
    <w:rsid w:val="0C9D4705"/>
    <w:rsid w:val="0E643D0E"/>
    <w:rsid w:val="0EFB3964"/>
    <w:rsid w:val="0F3B1FB3"/>
    <w:rsid w:val="0F890869"/>
    <w:rsid w:val="0FD31133"/>
    <w:rsid w:val="100F5919"/>
    <w:rsid w:val="10294501"/>
    <w:rsid w:val="147D6BCA"/>
    <w:rsid w:val="151E50F8"/>
    <w:rsid w:val="1675224E"/>
    <w:rsid w:val="17914E66"/>
    <w:rsid w:val="18585984"/>
    <w:rsid w:val="19B1359D"/>
    <w:rsid w:val="19F65454"/>
    <w:rsid w:val="1A18361C"/>
    <w:rsid w:val="1AA50C28"/>
    <w:rsid w:val="1C2C33AF"/>
    <w:rsid w:val="1C8C6544"/>
    <w:rsid w:val="1CA473E9"/>
    <w:rsid w:val="21052421"/>
    <w:rsid w:val="21134B3E"/>
    <w:rsid w:val="21E169EA"/>
    <w:rsid w:val="227710FC"/>
    <w:rsid w:val="23FC3FAF"/>
    <w:rsid w:val="24343749"/>
    <w:rsid w:val="25C127A0"/>
    <w:rsid w:val="25D6438C"/>
    <w:rsid w:val="26AA5F44"/>
    <w:rsid w:val="27D52B4D"/>
    <w:rsid w:val="28722A91"/>
    <w:rsid w:val="2CA945A8"/>
    <w:rsid w:val="2D2325AC"/>
    <w:rsid w:val="2E4D57CF"/>
    <w:rsid w:val="2E6C1D31"/>
    <w:rsid w:val="2F1403FE"/>
    <w:rsid w:val="30731155"/>
    <w:rsid w:val="30FC55EE"/>
    <w:rsid w:val="317E24A7"/>
    <w:rsid w:val="31D420C7"/>
    <w:rsid w:val="332C1A8F"/>
    <w:rsid w:val="33E210CD"/>
    <w:rsid w:val="362C0724"/>
    <w:rsid w:val="38C20ECB"/>
    <w:rsid w:val="392751D2"/>
    <w:rsid w:val="3A750F04"/>
    <w:rsid w:val="3B8C3A12"/>
    <w:rsid w:val="3D073351"/>
    <w:rsid w:val="3D3954D4"/>
    <w:rsid w:val="41395AA3"/>
    <w:rsid w:val="41744D2D"/>
    <w:rsid w:val="41E81277"/>
    <w:rsid w:val="43A7763B"/>
    <w:rsid w:val="45605CF4"/>
    <w:rsid w:val="45D93CF8"/>
    <w:rsid w:val="48376AB4"/>
    <w:rsid w:val="4A1946C3"/>
    <w:rsid w:val="4B6E0A3F"/>
    <w:rsid w:val="4C1930A0"/>
    <w:rsid w:val="4CA0731E"/>
    <w:rsid w:val="4DC66910"/>
    <w:rsid w:val="4F8922EB"/>
    <w:rsid w:val="4FC155E1"/>
    <w:rsid w:val="50112BEC"/>
    <w:rsid w:val="51C4760A"/>
    <w:rsid w:val="53B86CFB"/>
    <w:rsid w:val="53C5766A"/>
    <w:rsid w:val="54BE47E5"/>
    <w:rsid w:val="54D20290"/>
    <w:rsid w:val="56CB4F97"/>
    <w:rsid w:val="5B527A35"/>
    <w:rsid w:val="5CF07506"/>
    <w:rsid w:val="604069F6"/>
    <w:rsid w:val="606F1089"/>
    <w:rsid w:val="61007F33"/>
    <w:rsid w:val="61646714"/>
    <w:rsid w:val="63116428"/>
    <w:rsid w:val="63AE1EC8"/>
    <w:rsid w:val="651915C4"/>
    <w:rsid w:val="652341F0"/>
    <w:rsid w:val="66FD73EF"/>
    <w:rsid w:val="67DC5256"/>
    <w:rsid w:val="699F478D"/>
    <w:rsid w:val="69E14DA6"/>
    <w:rsid w:val="6A356EA0"/>
    <w:rsid w:val="6A6257BB"/>
    <w:rsid w:val="6ADE7537"/>
    <w:rsid w:val="6B9B71D6"/>
    <w:rsid w:val="6CE60925"/>
    <w:rsid w:val="6E634B85"/>
    <w:rsid w:val="6FA0300D"/>
    <w:rsid w:val="704E0CBB"/>
    <w:rsid w:val="704E2B45"/>
    <w:rsid w:val="70D728AA"/>
    <w:rsid w:val="71B763EC"/>
    <w:rsid w:val="71D074AE"/>
    <w:rsid w:val="720C498A"/>
    <w:rsid w:val="72F93721"/>
    <w:rsid w:val="736E6F7E"/>
    <w:rsid w:val="73A82490"/>
    <w:rsid w:val="74DC2A68"/>
    <w:rsid w:val="7A8157E9"/>
    <w:rsid w:val="7B42141C"/>
    <w:rsid w:val="7B4E6013"/>
    <w:rsid w:val="7D7B4EB5"/>
    <w:rsid w:val="7E722019"/>
    <w:rsid w:val="7EAD12A3"/>
    <w:rsid w:val="7F6A2C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8481</Words>
  <Characters>11771</Characters>
  <Lines>0</Lines>
  <Paragraphs>0</Paragraphs>
  <TotalTime>9</TotalTime>
  <ScaleCrop>false</ScaleCrop>
  <LinksUpToDate>false</LinksUpToDate>
  <CharactersWithSpaces>11870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sanshi712</dc:creator>
  <dc:description>Generated draft chapter for paper optimization.</dc:description>
  <cp:lastModifiedBy>sanshi712</cp:lastModifiedBy>
  <dcterms:modified xsi:type="dcterms:W3CDTF">2026-06-13T15:28:39Z</dcterms:modified>
  <dc:subject>信息安全作品赛论文第二章优化稿</dc:subject>
  <dc:title>M3-PI Guard 第二章作品设计与实现优化初稿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eyJoZGlkIjoiYzFjODliNTBjMWM2ZWJiNmRlNzlmNmRkYzY0OTQyZmMiLCJ1c2VySWQiOiIzMTg0MzUxMDMifQ==</vt:lpwstr>
  </property>
  <property fmtid="{D5CDD505-2E9C-101B-9397-08002B2CF9AE}" pid="3" name="KSOProductBuildVer">
    <vt:lpwstr>2052-12.1.0.21541</vt:lpwstr>
  </property>
  <property fmtid="{D5CDD505-2E9C-101B-9397-08002B2CF9AE}" pid="4" name="ICV">
    <vt:lpwstr>197133F7023B470A94184D4B6454B874_12</vt:lpwstr>
  </property>
</Properties>
</file>