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line="460" w:lineRule="exact" w:before="0" w:after="8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M3 PI Guard 研究介绍</w:t>
      </w:r>
    </w:p>
    <w:p>
      <w:pPr>
        <w:keepNext/>
        <w:keepLines/>
        <w:widowControl/>
        <w:spacing w:line="380" w:lineRule="exact" w:before="0" w:after="180"/>
        <w:jc w:val="center"/>
      </w:pPr>
      <w:r>
        <w:rPr>
          <w:rFonts w:ascii="宋体" w:hAnsi="宋体" w:eastAsia="宋体" w:cs="宋体"/>
          <w:b w:val="0"/>
          <w:color w:val="000000"/>
          <w:sz w:val="23"/>
        </w:rPr>
        <w:t>工具型大语言模型的授权与运行时防护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项目研究大语言模型调用工具时，如何在完成用户任务的同时控制提示注入引起的越权操作。前期从权限清单和运行时检查出发，完成公开基准、模块消融、来源对照、困难攻击样本及自适应攻击等研究，逐步形成对授权信息、安全结果与任务完成之间关系的认识。目前在这些历史工作的基础上开展 v1 执行与测量链路修复。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一 研究目标与基本方法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用户请求和可信应用声明先被编译为任务权限；模型提出工具名称与参数，独立的 Guard 在执行前检查，给出 ALLOW、ASK 或 DENY。检查不仅覆盖工具，还覆盖收件人、文件路径、动作顺序和数据流。授权不足时补充确认，明确违反规则时拒绝，满足规则时执行并登记结果。相关工作中，AgentDojo评价工具任务[1]，Progent用规则约束调用[2]，CaMeL以控制流和数据流隔离处理注入[3]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例如，用户要求读取 A 并将摘要写入 B，权限应对应“读 A、写 B”。发送邮件时，邮箱格式正确还不够，收件人也必须符合用户授权；收件人获准后，正文是否可以传送仍需结合可信数据分类判断。这样可以把工具使用范围、参数目标和内容保密落实到具体动作上。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二 早期 E1 至 E17 实验概况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防护效果与机制：E1 在相同提示下比较有无完整 Guard；E2 检验单独强化提示词的作用；E3 检验强化提示后 Guard 的增量；E4 通过逐项移除组件定位贡献与代价；E5 比较不同本地模型，考察效果对模型选择的依赖。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攻击覆盖：E6 按攻击家族分析残余风险；E7 比较不同语言形式；E8 检验编码与隐藏变体；E9 改变上下文长度和注入位置；E10 考察多轮、延迟与累积攻击；E11 研究恶意内容能否沿读取、检索、邮件和文件等工具链传播。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可用性与运行代价：E12 测量正常任务完成及误拦截；E13 在验证集上校准 ASK、DENY 阈值，比较漏放与误阻；E14 测量检查延迟、端到端开销、并发吞吐和显存占用，将模型运行成本与 Guard 自身开销分别观察。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稳定性与失败解释：E15 比较随机种子和温度变化；E16 根据前轮响应构造后续攻击，观察自适应绕过；E17 对分层抽样记录开展人工复核，把泄露标签、误拦截、等待确认及运行失败分类。以上构成前期从防护效果、攻击适应性到效用与解释的完整实验布局。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三 代表性历史结果与研究认识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早期E1的gemma3:4b普通提示子集中，攻击判定阳性由无Guard的126/189降至完整Guard的0/189；E12同模型正常完成由48/81降至42/81。两类任务共同呈现保护作用与正常完成的变化。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E9校准上下文实验记录无Guard与完整Guard攻击判定阳性36/60、0/60。E14记录Guard自身p95延迟约0.45毫秒、相同正常路径的端到端开销中位数约0.20%。E17两位评审复核360条分层样本，其中300条为代表性样本。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这些结果将研究重点推进到权限表达和执行过程：操作目标、数据范围和确认规则怎样支持合法任务，又在哪一步改变了越权动作。实验分别登记提案、Guard决定、实际执行、完成与失败，以定位差异发生的环节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四 后续增量研究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后续五项增量研究补充提示词与模块因子比较、来源对照、困难攻击复查、Flash复核及自适应尾部观察。来源对照中，检查器产生来源相关的判定差异，任务实际动作却为零；这一现象使后续分析进一步关注任务推进、确认交互和攻击活性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五 目前研究的 v1 修复与验证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修正版 v1 重点修复动作与资源绑定、同工具多条规则的完整匹配、可信数据标签传播和确认状态衔接。Pro 与 Flash 分别完成 48 任务、六配置的开发研究，每模型 288 条条件执行。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Pro 的 AgentDojo 普通提示子集中，无防护、仅权限、完整模块的正常完成为 6/8、3/8、3/8，攻击判定阳性为 5/12、2/12、0/12。目前这一步主要为后续研究建立准确的授权、执行与评分链路，并继续解释防护对正常任务的影响。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六 拟与老师讨论的问题</w:t>
      </w:r>
    </w:p>
    <w:p>
      <w:pPr>
        <w:keepLines/>
        <w:widowControl/>
        <w:spacing w:line="380" w:lineRule="exact" w:before="0" w:after="8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希望请教，是否以“授权构造对工具型智能体安全与任务完成的影响”作为论文主线；已有历史实验中，哪些结果最适合作为主要证据；下一步应优先完善权限表达、正常任务的确认交互，还是补充攻击活性更充分的验证场景。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研究局限性：历史与修正版使用各自评价定义，安全事件较少；当前结果对应所选模型、任务与隔离环境。后续需扩大独立任务覆盖，并检验真实确认交互对任务完成的影响。</w:t>
      </w:r>
    </w:p>
    <w:p>
      <w:pPr>
        <w:keepNext/>
        <w:keepLines/>
        <w:widowControl/>
        <w:spacing w:line="380" w:lineRule="exact" w:before="140" w:after="80"/>
        <w:jc w:val="left"/>
      </w:pPr>
      <w:r>
        <w:rPr>
          <w:rFonts w:ascii="黑体" w:hAnsi="黑体" w:eastAsia="黑体" w:cs="黑体"/>
          <w:b/>
          <w:color w:val="000000"/>
          <w:sz w:val="25"/>
        </w:rPr>
        <w:t>参考文献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[1] Debenedetti E, Zhang J, Balunović M, et al. AgentDojo: A Dynamic Environment to Evaluate Prompt Injection Attacks and Defenses for LLM Agents. NeurIPS 37, 2024. DOI: 10.52202/079017-2636.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[2] Shi T, He J, Wang Z, et al. Progent: Programmable Privilege Control for LLM Agents. 2025, arXiv预印本2504.11703v1. https://arxiv.org/abs/2504.11703v1</w:t>
      </w:r>
    </w:p>
    <w:p>
      <w:pPr>
        <w:keepLines/>
        <w:widowControl/>
        <w:spacing w:line="260" w:lineRule="exact" w:before="80" w:after="80"/>
        <w:jc w:val="both"/>
      </w:pPr>
      <w:r>
        <w:rPr>
          <w:rFonts w:ascii="宋体" w:hAnsi="宋体" w:eastAsia="宋体" w:cs="宋体"/>
          <w:b w:val="0"/>
          <w:color w:val="000000"/>
          <w:sz w:val="18"/>
        </w:rPr>
        <w:t>[3] Debenedetti E, Shumailov I, Fan T, et al. Defeating Prompt Injections by Design. 2025, arXiv预印本2503.18813v1. https://arxiv.org/abs/2503.18813v1</w:t>
      </w:r>
    </w:p>
    <w:sectPr w:rsidR="00FC693F" w:rsidRPr="0006063C" w:rsidSect="00034616">
      <w:footerReference w:type="default" r:id="rId9"/>
      <w:pgSz w:w="11906" w:h="16838"/>
      <w:pgMar w:top="1020" w:right="1219" w:bottom="1020" w:left="121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00000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PI Guard 研究介绍</dc:title>
  <dc:subject>教师交流两页版 研究历史与主要发现</dc:subject>
  <dc:creator/>
  <cp:keywords>M3 PI Guard 授权 提示注入 研究介绍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