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runtime authorization. We exclude raw evaluator</w:t>
      </w:r>
      <w:r>
        <w:t xml:space="preserve"> </w:t>
      </w:r>
      <w:r>
        <w:t xml:space="preserve">and scoring fields from online state, vary authorization—including an</w:t>
      </w:r>
      <w:r>
        <w:t xml:space="preserve"> </w:t>
      </w:r>
      <w:r>
        <w:t xml:space="preserve">explicitly gold-derived sensitivity condition—and jointly measure unsafe</w:t>
      </w:r>
      <w:r>
        <w:t xml:space="preserve"> </w:t>
      </w:r>
      <w:r>
        <w:t xml:space="preserve">effects, task completion, burden, failure, latency, and cost.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submission-ready vector PDF, editable SVG, and raster PNG previews for</w:t>
      </w:r>
      <w:r>
        <w:t xml:space="preserve"> </w:t>
      </w:r>
      <w:r>
        <w:t xml:space="preserve">manuscript/QA use. Reproducibility assets include frozen samples, condition</w:t>
      </w:r>
      <w:r>
        <w:t xml:space="preserve"> </w:t>
      </w:r>
      <w:r>
        <w:t xml:space="preserve">assignments, analysis code, aggregate tables, and versioned source.</w:t>
      </w:r>
    </w:p>
    <w:bookmarkEnd w:id="46"/>
    <w:bookmarkEnd w:id="47"/>
    <w:bookmarkStart w:id="59" w:name="results"/>
    <w:p>
      <w:pPr>
        <w:pStyle w:val="Heading2"/>
        <w:keepNext/>
      </w:pPr>
      <w:r>
        <w:t xml:space="preserve">4. Results</w:t>
      </w:r>
    </w:p>
    <w:bookmarkStart w:id="48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p>
      <w:pPr>
        <w:pStyle w:val="BodyText"/>
      </w:pPr>
      <w:r>
        <w:t xml:space="preserve">Supplementary Table S1 reports the online-state source audit.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Supplementary Table S2 reports the completed medium security and utility outcomes.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Supplementary Table S3 reports the prespecified paired comparisons.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Supplementary Table S4 reports the runtime burden and operational quality.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48"/>
    <w:bookmarkStart w:id="49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49"/>
    <w:bookmarkStart w:id="50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0"/>
    <w:bookmarkStart w:id="51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Supplementary Table S5 reports the public-primary benchmark strata.</w:t>
      </w:r>
    </w:p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1"/>
    <w:bookmarkStart w:id="52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2"/>
    <w:bookmarkStart w:id="53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3"/>
    <w:bookmarkStart w:id="56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4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4"/>
    <w:bookmarkStart w:id="55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55"/>
    <w:bookmarkEnd w:id="56"/>
    <w:bookmarkStart w:id="57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Supplementary Table S6 reports the defense-aware adaptive attack.</w:t>
      </w:r>
    </w:p>
    <w:bookmarkEnd w:id="57"/>
    <w:bookmarkStart w:id="58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58"/>
    <w:bookmarkEnd w:id="59"/>
    <w:bookmarkStart w:id="68" w:name="discussion"/>
    <w:p>
      <w:pPr>
        <w:pStyle w:val="Heading2"/>
        <w:keepNext/>
      </w:pPr>
      <w:r>
        <w:t xml:space="preserve">5. Discussion</w:t>
      </w:r>
    </w:p>
    <w:bookmarkStart w:id="60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0"/>
    <w:bookmarkStart w:id="61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1"/>
    <w:bookmarkStart w:id="62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2"/>
    <w:bookmarkStart w:id="63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3"/>
    <w:bookmarkStart w:id="64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64"/>
    <w:bookmarkStart w:id="65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65"/>
    <w:bookmarkStart w:id="66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 Although execution dates, official response</w:t>
      </w:r>
      <w:r>
        <w:t xml:space="preserve"> </w:t>
      </w:r>
      <w:r>
        <w:t xml:space="preserve">identifiers, and returned model names are retained, provider-managed aliases do</w:t>
      </w:r>
      <w:r>
        <w:t xml:space="preserve"> </w:t>
      </w:r>
      <w:r>
        <w:t xml:space="preserve">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66"/>
    <w:bookmarkStart w:id="67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67"/>
    <w:bookmarkEnd w:id="68"/>
    <w:bookmarkStart w:id="69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69"/>
    <w:bookmarkStart w:id="75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3987128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7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75"/>
    <w:bookmarkStart w:id="82" w:name="tables"/>
    <w:p>
      <w:pPr>
        <w:pStyle w:val="Heading2"/>
        <w:keepNext/>
      </w:pPr>
      <w:r>
        <w:t xml:space="preserve">Tables</w:t>
      </w:r>
    </w:p>
    <w:bookmarkStart w:id="76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76"/>
    <w:bookmarkStart w:id="77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77"/>
    <w:bookmarkStart w:id="78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78"/>
    <w:bookmarkStart w:id="79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79"/>
    <w:bookmarkStart w:id="80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0"/>
    <w:bookmarkStart w:id="81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1"/>
    <w:bookmarkEnd w:id="82"/>
    <w:bookmarkStart w:id="83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Numbered markers map to the condition key; a</w:t>
      </w:r>
      <w:r>
        <w:t xml:space="preserve"> </w:t>
      </w:r>
      <w:r>
        <w:t xml:space="preserve">slash joins conditions with exactly coincident coordinates. Near-identical</w:t>
      </w:r>
      <w:r>
        <w:t xml:space="preserve"> </w:t>
      </w:r>
      <w:r>
        <w:t xml:space="preserve">attack safety can coexist with 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3"/>
    <w:bookmarkStart w:id="90" w:name="submission-statements"/>
    <w:p>
      <w:pPr>
        <w:pStyle w:val="Heading2"/>
        <w:keepNext/>
      </w:pPr>
      <w:r>
        <w:t xml:space="preserve">Submission statements</w:t>
      </w:r>
    </w:p>
    <w:bookmarkStart w:id="84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84"/>
    <w:bookmarkStart w:id="85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85"/>
    <w:bookmarkStart w:id="86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86"/>
    <w:bookmarkStart w:id="87" w:name="X1f74eb43af444059c7518034463b6c89b1cacf4"/>
    <w:p>
      <w:pPr>
        <w:pStyle w:val="Heading3"/>
        <w:keepNext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87"/>
    <w:bookmarkStart w:id="88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88"/>
    <w:bookmarkStart w:id="89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89"/>
    <w:bookmarkEnd w:id="90"/>
    <w:bookmarkStart w:id="134" w:name="references"/>
    <w:p>
      <w:pPr>
        <w:pStyle w:val="Heading2"/>
        <w:keepNext/>
      </w:pPr>
      <w:r>
        <w:t xml:space="preserve">References</w:t>
      </w:r>
    </w:p>
    <w:bookmarkStart w:id="133" w:name="refs"/>
    <w:bookmarkStart w:id="92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1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2"/>
    <w:bookmarkStart w:id="94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3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4"/>
    <w:bookmarkStart w:id="96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5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6"/>
    <w:bookmarkStart w:id="98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7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98"/>
    <w:bookmarkStart w:id="100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99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0"/>
    <w:bookmarkStart w:id="102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1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2"/>
    <w:bookmarkStart w:id="104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3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4"/>
    <w:bookmarkStart w:id="106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5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6"/>
    <w:bookmarkStart w:id="108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7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08"/>
    <w:bookmarkStart w:id="110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09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0"/>
    <w:bookmarkStart w:id="112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2"/>
    <w:bookmarkStart w:id="114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3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4"/>
    <w:bookmarkStart w:id="116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5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6"/>
    <w:bookmarkStart w:id="118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7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18"/>
    <w:bookmarkStart w:id="120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0"/>
    <w:bookmarkStart w:id="122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2"/>
    <w:bookmarkStart w:id="124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3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4"/>
    <w:bookmarkStart w:id="126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5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6"/>
    <w:bookmarkStart w:id="128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7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28"/>
    <w:bookmarkStart w:id="130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29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0"/>
    <w:bookmarkStart w:id="132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1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2"/>
    <w:bookmarkEnd w:id="133"/>
    <w:bookmarkEnd w:id="134"/>
    <w:bookmarkEnd w:id="135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image" Target="media/rId70.png"/><Relationship Id="rId71" Type="http://schemas.openxmlformats.org/officeDocument/2006/relationships/image" Target="media/rId71.png"/><Relationship Id="rId72" Type="http://schemas.openxmlformats.org/officeDocument/2006/relationships/image" Target="media/rId72.png"/><Relationship Id="rId73" Type="http://schemas.openxmlformats.org/officeDocument/2006/relationships/image" Target="media/rId73.png"/><Relationship Id="rId74" Type="http://schemas.openxmlformats.org/officeDocument/2006/relationships/image" Target="media/rId74.png"/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2026-08-20T05:07:40Z</dcterms:created>
  <dcterms:modified xsi:type="dcterms:W3CDTF">2026-08-20T05:07:40Z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