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宋体" w:hAnsi="宋体" w:eastAsia="宋体"/>
          <w:b/>
          <w:sz w:val="28"/>
        </w:rPr>
        <w:t>第十九届全国大学生信息安全竞赛（作品赛）暨第三届“长城杯”网数智安全大赛（作品赛）</w:t>
      </w:r>
    </w:p>
    <w:p/>
    <w:p/>
    <w:p>
      <w:pPr>
        <w:jc w:val="center"/>
      </w:pPr>
      <w:r>
        <w:rPr>
          <w:rFonts w:ascii="黑体" w:hAnsi="黑体" w:eastAsia="黑体"/>
          <w:b/>
          <w:sz w:val="48"/>
        </w:rPr>
        <w:t>作品报告</w:t>
      </w:r>
    </w:p>
    <w:p/>
    <w:p/>
    <w:p/>
    <w:p>
      <w:pPr>
        <w:jc w:val="center"/>
      </w:pPr>
      <w:r>
        <w:rPr>
          <w:rFonts w:ascii="宋体" w:hAnsi="宋体" w:eastAsia="宋体"/>
          <w:b w:val="0"/>
          <w:sz w:val="24"/>
        </w:rPr>
        <w:t>☑命题赛道             □自由赛道</w:t>
      </w:r>
    </w:p>
    <w:p/>
    <w:p/>
    <w:p/>
    <w:p/>
    <w:p>
      <w:pPr>
        <w:ind w:firstLine="0"/>
      </w:pPr>
      <w:r>
        <w:rPr>
          <w:rFonts w:ascii="宋体" w:hAnsi="宋体" w:eastAsia="宋体"/>
          <w:b w:val="0"/>
          <w:sz w:val="24"/>
        </w:rPr>
        <w:t>作品名称：M3-PI Guard：面向工具调用智能体的提示注入行为监督系统</w:t>
      </w:r>
    </w:p>
    <w:p>
      <w:pPr>
        <w:ind w:firstLine="0"/>
      </w:pPr>
      <w:r>
        <w:rPr>
          <w:rFonts w:ascii="宋体" w:hAnsi="宋体" w:eastAsia="宋体"/>
          <w:b w:val="0"/>
          <w:sz w:val="24"/>
        </w:rPr>
        <w:t>电子邮箱：</w:t>
      </w:r>
    </w:p>
    <w:p>
      <w:pPr>
        <w:ind w:firstLine="0"/>
      </w:pPr>
      <w:r>
        <w:rPr>
          <w:rFonts w:ascii="宋体" w:hAnsi="宋体" w:eastAsia="宋体"/>
          <w:b w:val="0"/>
          <w:sz w:val="24"/>
        </w:rPr>
        <w:t>提交日期：2026年6月</w:t>
      </w:r>
    </w:p>
    <w:p>
      <w:r>
        <w:br w:type="page"/>
      </w:r>
    </w:p>
    <w:p>
      <w:pPr>
        <w:pStyle w:val="1"/>
        <w:ind w:firstLine="0"/>
      </w:pPr>
      <w:r>
        <w:t>填写说明</w:t>
      </w:r>
    </w:p>
    <w:p>
      <w:pPr>
        <w:spacing w:line="360" w:lineRule="auto" w:after="120"/>
        <w:ind w:firstLine="0"/>
      </w:pPr>
      <w:r>
        <w:rPr>
          <w:rFonts w:ascii="宋体" w:hAnsi="宋体" w:eastAsia="宋体"/>
          <w:b w:val="0"/>
          <w:sz w:val="24"/>
        </w:rPr>
        <w:t>1. 所有参赛项目必须为一个基本完整的设计。作品报告书旨在能够清晰准确地阐述（或图示）该参赛队的参赛项目（或方案）。</w:t>
      </w:r>
    </w:p>
    <w:p>
      <w:pPr>
        <w:spacing w:line="360" w:lineRule="auto" w:after="120"/>
        <w:ind w:firstLine="0"/>
      </w:pPr>
      <w:r>
        <w:rPr>
          <w:rFonts w:ascii="宋体" w:hAnsi="宋体" w:eastAsia="宋体"/>
          <w:b w:val="0"/>
          <w:sz w:val="24"/>
        </w:rPr>
        <w:t>2. 作品报告采用A4纸撰写。除标题外，所有内容必需为宋体、小四号字、1.5倍行距。</w:t>
      </w:r>
    </w:p>
    <w:p>
      <w:pPr>
        <w:spacing w:line="360" w:lineRule="auto" w:after="120"/>
        <w:ind w:firstLine="0"/>
      </w:pPr>
      <w:r>
        <w:rPr>
          <w:rFonts w:ascii="宋体" w:hAnsi="宋体" w:eastAsia="宋体"/>
          <w:b w:val="0"/>
          <w:sz w:val="24"/>
        </w:rPr>
        <w:t>3. 作品报告中各项目说明文字部分仅供参考，作品报告书撰写完毕后，请删除所有说明文字。(本页不删除)</w:t>
      </w:r>
    </w:p>
    <w:p>
      <w:pPr>
        <w:spacing w:line="360" w:lineRule="auto" w:after="120"/>
        <w:ind w:firstLine="0"/>
      </w:pPr>
      <w:r>
        <w:rPr>
          <w:rFonts w:ascii="宋体" w:hAnsi="宋体" w:eastAsia="宋体"/>
          <w:b w:val="0"/>
          <w:sz w:val="24"/>
        </w:rPr>
        <w:t>4. 作品报告模板里已经列的内容仅供参考，作者可以在此基础上增加内容或对文档结构进行微调。</w:t>
      </w:r>
    </w:p>
    <w:p>
      <w:pPr>
        <w:spacing w:line="360" w:lineRule="auto" w:after="120"/>
        <w:ind w:firstLine="0"/>
      </w:pPr>
      <w:r>
        <w:rPr>
          <w:rFonts w:ascii="宋体" w:hAnsi="宋体" w:eastAsia="宋体"/>
          <w:b w:val="0"/>
          <w:sz w:val="24"/>
        </w:rPr>
        <w:t>5. 为保证网评的公平、公正，作品报告中应避免出现作者所在学校、院系和指导教师等泄露身份的信息。</w:t>
      </w:r>
    </w:p>
    <w:p>
      <w:r>
        <w:br w:type="page"/>
      </w:r>
    </w:p>
    <w:p>
      <w:pPr>
        <w:pStyle w:val="1"/>
        <w:ind w:firstLine="0"/>
      </w:pPr>
      <w:r>
        <w:t>目     录</w:t>
      </w:r>
    </w:p>
    <w:p>
      <w:pPr>
        <w:ind w:firstLine="0"/>
      </w:pPr>
      <w:r>
        <w:rPr>
          <w:rFonts w:ascii="宋体" w:hAnsi="宋体" w:eastAsia="宋体"/>
          <w:b w:val="0"/>
          <w:sz w:val="24"/>
        </w:rPr>
        <w:t>摘要</w:t>
      </w:r>
    </w:p>
    <w:p>
      <w:pPr>
        <w:ind w:firstLine="0"/>
      </w:pPr>
      <w:r>
        <w:rPr>
          <w:rFonts w:ascii="宋体" w:hAnsi="宋体" w:eastAsia="宋体"/>
          <w:b w:val="0"/>
          <w:sz w:val="24"/>
        </w:rPr>
        <w:t>第一章 作品概述</w:t>
      </w:r>
    </w:p>
    <w:p>
      <w:pPr>
        <w:ind w:firstLine="0"/>
      </w:pPr>
      <w:r>
        <w:rPr>
          <w:rFonts w:ascii="宋体" w:hAnsi="宋体" w:eastAsia="宋体"/>
          <w:b w:val="0"/>
          <w:sz w:val="24"/>
        </w:rPr>
        <w:t>第二章 作品设计与实现</w:t>
      </w:r>
    </w:p>
    <w:p>
      <w:pPr>
        <w:ind w:firstLine="0"/>
      </w:pPr>
      <w:r>
        <w:rPr>
          <w:rFonts w:ascii="宋体" w:hAnsi="宋体" w:eastAsia="宋体"/>
          <w:b w:val="0"/>
          <w:sz w:val="24"/>
        </w:rPr>
        <w:t>第三章 作品测试与分析</w:t>
      </w:r>
    </w:p>
    <w:p>
      <w:pPr>
        <w:ind w:firstLine="0"/>
      </w:pPr>
      <w:r>
        <w:rPr>
          <w:rFonts w:ascii="宋体" w:hAnsi="宋体" w:eastAsia="宋体"/>
          <w:b w:val="0"/>
          <w:sz w:val="24"/>
        </w:rPr>
        <w:t>第四章 创新性说明</w:t>
      </w:r>
    </w:p>
    <w:p>
      <w:pPr>
        <w:ind w:firstLine="0"/>
      </w:pPr>
      <w:r>
        <w:rPr>
          <w:rFonts w:ascii="宋体" w:hAnsi="宋体" w:eastAsia="宋体"/>
          <w:b w:val="0"/>
          <w:sz w:val="24"/>
        </w:rPr>
        <w:t>第五章 总结</w:t>
      </w:r>
    </w:p>
    <w:p>
      <w:pPr>
        <w:ind w:firstLine="0"/>
      </w:pPr>
      <w:r>
        <w:rPr>
          <w:rFonts w:ascii="宋体" w:hAnsi="宋体" w:eastAsia="宋体"/>
          <w:b w:val="0"/>
          <w:sz w:val="24"/>
        </w:rPr>
        <w:t>参考文献</w:t>
      </w:r>
    </w:p>
    <w:p>
      <w:r>
        <w:br w:type="page"/>
      </w:r>
    </w:p>
    <w:p>
      <w:pPr>
        <w:pStyle w:val="1"/>
        <w:ind w:firstLine="0"/>
      </w:pPr>
      <w:r>
        <w:t>摘要</w:t>
      </w:r>
    </w:p>
    <w:p>
      <w:pPr>
        <w:spacing w:line="360" w:lineRule="auto" w:after="120"/>
        <w:ind w:firstLine="480"/>
      </w:pPr>
      <w:r>
        <w:rPr>
          <w:rFonts w:ascii="宋体" w:hAnsi="宋体" w:eastAsia="宋体"/>
          <w:b w:val="0"/>
          <w:sz w:val="24"/>
        </w:rPr>
        <w:t>随着大模型智能体逐步具备文件读写、邮件发送、接口调用和代码执行等工具能力，提示注入与越狱攻击的风险从文本输出扩展为可观测的外部行为风险。本作品围绕工具调用边界构建 M3-PI Guard 行为监督系统，通过规则化归一、指令型文本检测、JSON/RPC 结构化注入识别、多语言与字符混淆检测、敏感数据流分析和意图-动作一致性校验，对每一次工具调用输出 allow、ask、deny 决策和可解释风险原因。系统不依赖远程评审模型，可在本地靶场稳定复现实验。测试结果显示，在 stub 全量矩阵中，baseline 的 ASR 和 DSR 均为 0.5507，full_guard 模式均降至 0.0000，WRS 从 0.4891 提升至 0.9826；在 Qwen2.5 代表样本中，full_guard 同样将 ASR、UTR、DSR 降至 0.0000。作品具有本地可复现、行为指标可量化、阻断原因可解释和演示闭环完整等特点，可用于智能体安全评测、教学演示和防护原型验证。</w:t>
      </w:r>
    </w:p>
    <w:p>
      <w:pPr>
        <w:spacing w:line="360" w:lineRule="auto" w:after="120"/>
        <w:ind w:firstLine="0"/>
      </w:pPr>
      <w:r>
        <w:rPr>
          <w:rFonts w:ascii="宋体" w:hAnsi="宋体" w:eastAsia="宋体"/>
          <w:b w:val="0"/>
          <w:sz w:val="24"/>
        </w:rPr>
        <w:t>关键词：提示注入；智能体安全；工具调用；行为监督；风险评分</w:t>
      </w:r>
    </w:p>
    <w:p>
      <w:r>
        <w:br w:type="page"/>
      </w:r>
    </w:p>
    <w:p>
      <w:pPr>
        <w:pStyle w:val="1"/>
        <w:ind w:firstLine="0"/>
      </w:pPr>
      <w:r>
        <w:t>第一章 作品概述</w:t>
      </w:r>
    </w:p>
    <w:p>
      <w:pPr>
        <w:ind w:firstLine="0"/>
      </w:pPr>
      <w:r>
        <w:rPr>
          <w:rFonts w:ascii="黑体" w:hAnsi="黑体" w:eastAsia="黑体"/>
          <w:b/>
          <w:sz w:val="28"/>
        </w:rPr>
        <w:t>1.1 背景分析</w:t>
      </w:r>
    </w:p>
    <w:p>
      <w:pPr>
        <w:spacing w:line="360" w:lineRule="auto" w:after="120"/>
        <w:ind w:firstLine="480"/>
      </w:pPr>
      <w:r>
        <w:rPr>
          <w:rFonts w:ascii="宋体" w:hAnsi="宋体" w:eastAsia="宋体"/>
          <w:b w:val="0"/>
          <w:sz w:val="24"/>
        </w:rPr>
        <w:t>大模型正在从问答系统演进为可调用工具的智能体。智能体能够读取本地文件、写入结果、调用接口或生成自动化动作，这提升了任务完成能力，也扩大了攻击面。</w:t>
      </w:r>
    </w:p>
    <w:p>
      <w:pPr>
        <w:spacing w:line="360" w:lineRule="auto" w:after="120"/>
        <w:ind w:firstLine="480"/>
      </w:pPr>
      <w:r>
        <w:rPr>
          <w:rFonts w:ascii="宋体" w:hAnsi="宋体" w:eastAsia="宋体"/>
          <w:b w:val="0"/>
          <w:sz w:val="24"/>
        </w:rPr>
        <w:t>传统提示注入主要关注模型是否输出违规文本，而在工具调用场景中，更关键的问题是模型是否被诱导执行越权动作，例如读取 sandbox/secrets、外发 canary、调用非预期接口或执行代码。</w:t>
      </w:r>
    </w:p>
    <w:p>
      <w:pPr>
        <w:spacing w:line="360" w:lineRule="auto" w:after="120"/>
        <w:ind w:firstLine="480"/>
      </w:pPr>
      <w:r>
        <w:rPr>
          <w:rFonts w:ascii="宋体" w:hAnsi="宋体" w:eastAsia="宋体"/>
          <w:b w:val="0"/>
          <w:sz w:val="24"/>
        </w:rPr>
        <w:t>因此，本作品将安全目标从文本拒答扩展到行为监督：在工具调用执行前进行风险评分和策略裁决。</w:t>
      </w:r>
    </w:p>
    <w:p>
      <w:pPr>
        <w:ind w:firstLine="0"/>
      </w:pPr>
      <w:r>
        <w:rPr>
          <w:rFonts w:ascii="黑体" w:hAnsi="黑体" w:eastAsia="黑体"/>
          <w:b/>
          <w:sz w:val="28"/>
        </w:rPr>
        <w:t>1.2 相关工作</w:t>
      </w:r>
    </w:p>
    <w:p>
      <w:pPr>
        <w:spacing w:line="360" w:lineRule="auto" w:after="120"/>
        <w:ind w:firstLine="480"/>
      </w:pPr>
      <w:r>
        <w:rPr>
          <w:rFonts w:ascii="宋体" w:hAnsi="宋体" w:eastAsia="宋体"/>
          <w:b w:val="0"/>
          <w:sz w:val="24"/>
        </w:rPr>
        <w:t>相关研究覆盖越狱攻击、间接提示注入、RAG 数据污染、工具调用劫持和智能体安全评测。现有方法常见路线包括提示词加固、输入过滤、策略沙箱、LLM Judge 和日志审计。</w:t>
      </w:r>
    </w:p>
    <w:p>
      <w:pPr>
        <w:spacing w:line="360" w:lineRule="auto" w:after="120"/>
        <w:ind w:firstLine="480"/>
      </w:pPr>
      <w:r>
        <w:rPr>
          <w:rFonts w:ascii="宋体" w:hAnsi="宋体" w:eastAsia="宋体"/>
          <w:b w:val="0"/>
          <w:sz w:val="24"/>
        </w:rPr>
        <w:t>本作品采用本地规则与行为指标结合的方案，强调可复现与可解释，避免依赖远程模型或不可控服务。</w:t>
      </w:r>
    </w:p>
    <w:p>
      <w:pPr>
        <w:ind w:firstLine="0"/>
      </w:pPr>
      <w:r>
        <w:rPr>
          <w:rFonts w:ascii="黑体" w:hAnsi="黑体" w:eastAsia="黑体"/>
          <w:b/>
          <w:sz w:val="28"/>
        </w:rPr>
        <w:t>1.3 作品目标</w:t>
      </w:r>
    </w:p>
    <w:p>
      <w:pPr>
        <w:spacing w:line="360" w:lineRule="auto" w:after="120"/>
        <w:ind w:firstLine="480"/>
      </w:pPr>
      <w:r>
        <w:rPr>
          <w:rFonts w:ascii="宋体" w:hAnsi="宋体" w:eastAsia="宋体"/>
          <w:b w:val="0"/>
          <w:sz w:val="24"/>
        </w:rPr>
        <w:t>作品目标包括：构建可拦截危险工具调用的 Guard；形成覆盖多类攻击的本地评测集；输出 ASR、UTR、DSR、BSR、FPR、AvgRisk、WRS 等行为指标；提供 Dashboard 演示和单案例回放。</w:t>
      </w:r>
    </w:p>
    <w:p>
      <w:pPr>
        <w:ind w:firstLine="0"/>
      </w:pPr>
      <w:r>
        <w:rPr>
          <w:rFonts w:ascii="黑体" w:hAnsi="黑体" w:eastAsia="黑体"/>
          <w:b/>
          <w:sz w:val="28"/>
        </w:rPr>
        <w:t>1.4 特色与应用前景</w:t>
      </w:r>
    </w:p>
    <w:p>
      <w:pPr>
        <w:spacing w:line="360" w:lineRule="auto" w:after="120"/>
        <w:ind w:firstLine="480"/>
      </w:pPr>
      <w:r>
        <w:rPr>
          <w:rFonts w:ascii="宋体" w:hAnsi="宋体" w:eastAsia="宋体"/>
          <w:b w:val="0"/>
          <w:sz w:val="24"/>
        </w:rPr>
        <w:t>系统特色是将安全判断绑定到工具执行边界，并将每次阻断转化为明确原因码。该能力可应用于智能体安全测试、课程实验、企业内部工具代理审计和提示注入防护原型验证。</w:t>
      </w:r>
    </w:p>
    <w:p>
      <w:r>
        <w:br w:type="page"/>
      </w:r>
    </w:p>
    <w:p>
      <w:pPr>
        <w:pStyle w:val="1"/>
        <w:ind w:firstLine="0"/>
      </w:pPr>
      <w:r>
        <w:t>第二章 作品设计与实现</w:t>
      </w:r>
    </w:p>
    <w:p>
      <w:pPr>
        <w:ind w:firstLine="0"/>
      </w:pPr>
      <w:r>
        <w:rPr>
          <w:rFonts w:ascii="黑体" w:hAnsi="黑体" w:eastAsia="黑体"/>
          <w:b/>
          <w:sz w:val="28"/>
        </w:rPr>
        <w:t>2.1 系统方案</w:t>
      </w:r>
    </w:p>
    <w:p>
      <w:pPr>
        <w:spacing w:line="360" w:lineRule="auto" w:after="120"/>
        <w:ind w:firstLine="480"/>
      </w:pPr>
      <w:r>
        <w:rPr>
          <w:rFonts w:ascii="宋体" w:hAnsi="宋体" w:eastAsia="宋体"/>
          <w:b w:val="0"/>
          <w:sz w:val="24"/>
        </w:rPr>
        <w:t>系统由攻击样本、智能体运行器、工具沙箱、行为监督 Guard、指标评测和 Dashboard 六部分组成。运行器读取 AttackCase，模型或 stub 后端输出 ToolCall，Guard 在工具执行前给出 allow、ask 或 deny。</w:t>
      </w:r>
    </w:p>
    <w:p>
      <w:pPr>
        <w:spacing w:line="360" w:lineRule="auto" w:after="120"/>
        <w:ind w:firstLine="480"/>
      </w:pPr>
      <w:r>
        <w:rPr>
          <w:rFonts w:ascii="宋体" w:hAnsi="宋体" w:eastAsia="宋体"/>
          <w:b w:val="0"/>
          <w:sz w:val="24"/>
        </w:rPr>
        <w:t>工具沙箱仅模拟本地文件、邮件、API 和代码执行结果，不访问真实公网业务系统。</w:t>
      </w:r>
    </w:p>
    <w:p>
      <w:pPr>
        <w:ind w:firstLine="0"/>
      </w:pPr>
      <w:r>
        <w:rPr>
          <w:rFonts w:ascii="黑体" w:hAnsi="黑体" w:eastAsia="黑体"/>
          <w:b/>
          <w:sz w:val="28"/>
        </w:rPr>
        <w:t>2.2 实现原理</w:t>
      </w:r>
    </w:p>
    <w:p>
      <w:pPr>
        <w:spacing w:line="360" w:lineRule="auto" w:after="120"/>
        <w:ind w:firstLine="480"/>
      </w:pPr>
      <w:r>
        <w:rPr>
          <w:rFonts w:ascii="宋体" w:hAnsi="宋体" w:eastAsia="宋体"/>
          <w:b w:val="0"/>
          <w:sz w:val="24"/>
        </w:rPr>
        <w:t>Guard 采用分层检测：normalizer 负责 Unicode NFKC 归一化、零宽字符删除和混合脚本识别；detector 识别指令型文本、工具诱导、JSON/RPC 字段和多语言混淆；dataflow 标记 canary、api_key、token、password 等敏感数据流；policy_engine 实现工具策略矩阵；guard_engine 汇总风险并按阈值裁决。</w:t>
      </w:r>
    </w:p>
    <w:p>
      <w:pPr>
        <w:spacing w:line="360" w:lineRule="auto" w:after="120"/>
        <w:ind w:firstLine="480"/>
      </w:pPr>
      <w:r>
        <w:rPr>
          <w:rFonts w:ascii="宋体" w:hAnsi="宋体" w:eastAsia="宋体"/>
          <w:b w:val="0"/>
          <w:sz w:val="24"/>
        </w:rPr>
        <w:t>风险阈值为 risk &gt;= 0.65 时 deny，0.35 &lt;= risk &lt; 0.65 时 ask，risk &lt; 0.35 时 allow。run_code、secret 路径读取、非 sandbox 路径、非 /mock endpoint 和敏感数据外发属于强规则拒绝。</w:t>
      </w:r>
    </w:p>
    <w:p>
      <w:pPr>
        <w:ind w:firstLine="0"/>
      </w:pPr>
      <w:r>
        <w:rPr>
          <w:rFonts w:ascii="黑体" w:hAnsi="黑体" w:eastAsia="黑体"/>
          <w:b/>
          <w:sz w:val="28"/>
        </w:rPr>
        <w:t>2.3 软件流程</w:t>
      </w:r>
    </w:p>
    <w:p>
      <w:pPr>
        <w:spacing w:line="360" w:lineRule="auto" w:after="120"/>
        <w:ind w:firstLine="480"/>
      </w:pPr>
      <w:r>
        <w:rPr>
          <w:rFonts w:ascii="宋体" w:hAnsi="宋体" w:eastAsia="宋体"/>
          <w:b w:val="0"/>
          <w:sz w:val="24"/>
        </w:rPr>
        <w:t>流程为：加载攻击样本；构造上下文；模型生成 ToolCall；Guard 归一化输入并计算风险；根据策略输出决策；允许时执行本地模拟工具，拒绝或确认时写入阻断日志；评测脚本聚合 RunLog 并生成指标。</w:t>
      </w:r>
    </w:p>
    <w:p>
      <w:pPr>
        <w:ind w:firstLine="0"/>
      </w:pPr>
      <w:r>
        <w:rPr>
          <w:rFonts w:ascii="黑体" w:hAnsi="黑体" w:eastAsia="黑体"/>
          <w:b/>
          <w:sz w:val="28"/>
        </w:rPr>
        <w:t>2.4 模块功能</w:t>
      </w:r>
    </w:p>
    <w:p>
      <w:pPr>
        <w:spacing w:line="360" w:lineRule="auto" w:after="120"/>
        <w:ind w:firstLine="480"/>
      </w:pPr>
      <w:r>
        <w:rPr>
          <w:rFonts w:ascii="宋体" w:hAnsi="宋体" w:eastAsia="宋体"/>
          <w:b w:val="0"/>
          <w:sz w:val="24"/>
        </w:rPr>
        <w:t>m3_guard 提供工具调用风险裁决；m3_eval.evaluate 生成 CSV/JSON 指标；m3_eval.dashboard 提供总览、分组、阻断记录、单案例回放和原始日志查看；plot_metrics 生成答辩图表。</w:t>
      </w:r>
    </w:p>
    <w:p>
      <w:pPr>
        <w:ind w:firstLine="0"/>
      </w:pPr>
      <w:r>
        <w:rPr>
          <w:rFonts w:ascii="黑体" w:hAnsi="黑体" w:eastAsia="黑体"/>
          <w:b/>
          <w:sz w:val="28"/>
        </w:rPr>
        <w:t>2.5 指标体系</w:t>
      </w:r>
    </w:p>
    <w:p>
      <w:pPr>
        <w:spacing w:line="360" w:lineRule="auto" w:after="120"/>
        <w:ind w:firstLine="480"/>
      </w:pPr>
      <w:r>
        <w:rPr>
          <w:rFonts w:ascii="宋体" w:hAnsi="宋体" w:eastAsia="宋体"/>
          <w:b w:val="0"/>
          <w:sz w:val="24"/>
        </w:rPr>
        <w:t>指标包括 ASR、UTR、DSR、BSR、FPR、AvgRisk 和 WRS。其中 ASR 衡量攻击成功率，UTR 衡量未授权工具调用率，DSR 衡量敏感数据外泄率，BSR 衡量阻断成功率，WRS 综合反映系统韧性。</w:t>
      </w:r>
    </w:p>
    <w:p>
      <w:r>
        <w:br w:type="page"/>
      </w:r>
    </w:p>
    <w:p>
      <w:pPr>
        <w:pStyle w:val="1"/>
        <w:ind w:firstLine="0"/>
      </w:pPr>
      <w:r>
        <w:t>第三章 作品测试与分析</w:t>
      </w:r>
    </w:p>
    <w:p>
      <w:pPr>
        <w:ind w:firstLine="0"/>
      </w:pPr>
      <w:r>
        <w:rPr>
          <w:rFonts w:ascii="黑体" w:hAnsi="黑体" w:eastAsia="黑体"/>
          <w:b/>
          <w:sz w:val="28"/>
        </w:rPr>
        <w:t>3.1 测试环境</w:t>
      </w:r>
    </w:p>
    <w:p>
      <w:pPr>
        <w:spacing w:line="360" w:lineRule="auto" w:after="120"/>
        <w:ind w:firstLine="480"/>
      </w:pPr>
      <w:r>
        <w:rPr>
          <w:rFonts w:ascii="宋体" w:hAnsi="宋体" w:eastAsia="宋体"/>
          <w:b w:val="0"/>
          <w:sz w:val="24"/>
        </w:rPr>
        <w:t>测试在本地 Windows 环境完成，使用 Python 脚本运行 stub 后端和 Qwen2.5 代表样本。工具调用均为本地模拟，邮件写入 outbox 文件，API 返回 mock JSON，代码执行工具默认禁用。</w:t>
      </w:r>
    </w:p>
    <w:p>
      <w:pPr>
        <w:ind w:firstLine="0"/>
      </w:pPr>
      <w:r>
        <w:rPr>
          <w:rFonts w:ascii="黑体" w:hAnsi="黑体" w:eastAsia="黑体"/>
          <w:b/>
          <w:sz w:val="28"/>
        </w:rPr>
        <w:t>3.2 测试数据与方案</w:t>
      </w:r>
    </w:p>
    <w:p>
      <w:pPr>
        <w:spacing w:line="360" w:lineRule="auto" w:after="120"/>
        <w:ind w:firstLine="480"/>
      </w:pPr>
      <w:r>
        <w:rPr>
          <w:rFonts w:ascii="宋体" w:hAnsi="宋体" w:eastAsia="宋体"/>
          <w:b w:val="0"/>
          <w:sz w:val="24"/>
        </w:rPr>
        <w:t>测试数据包括 stub 全量四模式矩阵、Qwen2.5 代表样本和 demo case。攻击类型覆盖 direct_jailbreak、rag_indirect、json_rpc、multilingual_t2l、tool_output_injection 和 benign_clean 等类别。</w:t>
      </w:r>
    </w:p>
    <w:p>
      <w:pPr>
        <w:spacing w:line="360" w:lineRule="auto" w:after="120"/>
        <w:ind w:firstLine="480"/>
      </w:pPr>
      <w:r>
        <w:rPr>
          <w:rFonts w:ascii="宋体" w:hAnsi="宋体" w:eastAsia="宋体"/>
          <w:b w:val="0"/>
          <w:sz w:val="24"/>
        </w:rPr>
        <w:t>防御模式包括 baseline、keyword_only、policy_only 和 full_guard，用于分析不同防护组件的贡献。</w:t>
      </w:r>
    </w:p>
    <w:p>
      <w:pPr>
        <w:ind w:firstLine="0"/>
      </w:pPr>
      <w:r>
        <w:rPr>
          <w:rFonts w:ascii="黑体" w:hAnsi="黑体" w:eastAsia="黑体"/>
          <w:b/>
          <w:sz w:val="28"/>
        </w:rPr>
        <w:t>3.3 实验结果</w:t>
      </w:r>
    </w:p>
    <w:p>
      <w:pPr>
        <w:spacing w:line="360" w:lineRule="auto" w:after="120"/>
        <w:ind w:firstLine="480"/>
      </w:pPr>
      <w:r>
        <w:rPr>
          <w:rFonts w:ascii="宋体" w:hAnsi="宋体" w:eastAsia="宋体"/>
          <w:b w:val="0"/>
          <w:sz w:val="24"/>
        </w:rPr>
        <w:t>stub 全量矩阵中，baseline 的 ASR 为 0.5507、DSR 为 0.5507；full_guard 的 ASR、UTR、DSR 均为 0.0000，BSR 为 0.8841，WRS 达到 0.9826。</w:t>
      </w:r>
    </w:p>
    <w:p>
      <w:pPr>
        <w:spacing w:line="360" w:lineRule="auto" w:after="120"/>
        <w:ind w:firstLine="480"/>
      </w:pPr>
      <w:r>
        <w:rPr>
          <w:rFonts w:ascii="宋体" w:hAnsi="宋体" w:eastAsia="宋体"/>
          <w:b w:val="0"/>
          <w:sz w:val="24"/>
        </w:rPr>
        <w:t>Qwen2.5 代表样本中，baseline 的 ASR 为 0.0833、DSR 为 0.0417；full_guard 将 ASR、UTR、DSR 均降为 0.0000，WRS 提升至 0.9187。</w:t>
      </w:r>
    </w:p>
    <w:p>
      <w:pPr>
        <w:spacing w:line="360" w:lineRule="auto" w:after="120"/>
        <w:ind w:firstLine="480"/>
      </w:pPr>
      <w:r>
        <w:rPr>
          <w:rFonts w:ascii="宋体" w:hAnsi="宋体" w:eastAsia="宋体"/>
          <w:b w:val="0"/>
          <w:sz w:val="24"/>
        </w:rPr>
        <w:t>demo case 中 full_guard 的 BSR 为 1.0000，适合展示阻断原因和单案例回放。</w:t>
      </w:r>
    </w:p>
    <w:p>
      <w:pPr>
        <w:ind w:firstLine="0"/>
      </w:pPr>
      <w:r>
        <w:rPr>
          <w:rFonts w:ascii="黑体" w:hAnsi="黑体" w:eastAsia="黑体"/>
          <w:b/>
          <w:sz w:val="28"/>
        </w:rPr>
        <w:t>3.4 案例分析</w:t>
      </w:r>
    </w:p>
    <w:p>
      <w:pPr>
        <w:spacing w:line="360" w:lineRule="auto" w:after="120"/>
        <w:ind w:firstLine="480"/>
      </w:pPr>
      <w:r>
        <w:rPr>
          <w:rFonts w:ascii="宋体" w:hAnsi="宋体" w:eastAsia="宋体"/>
          <w:b w:val="0"/>
          <w:sz w:val="24"/>
        </w:rPr>
        <w:t>在 RAG 间接提示注入案例中，文档隐藏 read_file 和 send_email 指令，Guard 会同时给出 tool_lure、structured_injection 或 sensitive_data_flow 相关原因。</w:t>
      </w:r>
    </w:p>
    <w:p>
      <w:pPr>
        <w:spacing w:line="360" w:lineRule="auto" w:after="120"/>
        <w:ind w:firstLine="480"/>
      </w:pPr>
      <w:r>
        <w:rPr>
          <w:rFonts w:ascii="宋体" w:hAnsi="宋体" w:eastAsia="宋体"/>
          <w:b w:val="0"/>
          <w:sz w:val="24"/>
        </w:rPr>
        <w:t>在 JSON/RPC 注入案例中，method、params、execute、next_step 等字段会增加结构化注入风险。</w:t>
      </w:r>
    </w:p>
    <w:p>
      <w:pPr>
        <w:spacing w:line="360" w:lineRule="auto" w:after="120"/>
        <w:ind w:firstLine="480"/>
      </w:pPr>
      <w:r>
        <w:rPr>
          <w:rFonts w:ascii="宋体" w:hAnsi="宋体" w:eastAsia="宋体"/>
          <w:b w:val="0"/>
          <w:sz w:val="24"/>
        </w:rPr>
        <w:t>在多语言/T2L 案例中，系统通过混合脚本、工具词和拼音规避信号提高风险评分。</w:t>
      </w:r>
    </w:p>
    <w:p>
      <w:pPr>
        <w:ind w:firstLine="0"/>
        <w:jc w:val="center"/>
      </w:pPr>
      <w:r>
        <w:rPr>
          <w:rFonts w:ascii="宋体" w:hAnsi="宋体" w:eastAsia="宋体"/>
          <w:b/>
          <w:sz w:val="21"/>
        </w:rPr>
        <w:t>表 1 stub 全量矩阵总体结果</w:t>
      </w:r>
    </w:p>
    <w:tbl>
      <w:tblPr>
        <w:tblW w:type="auto" w:w="0"/>
        <w:jc w:val="center"/>
        <w:tblLook w:firstColumn="1" w:firstRow="1" w:lastColumn="0" w:lastRow="0" w:noHBand="0" w:noVBand="1" w:val="04A0"/>
      </w:tblPr>
      <w:tblGrid>
        <w:gridCol w:w="1474"/>
        <w:gridCol w:w="1474"/>
        <w:gridCol w:w="1474"/>
        <w:gridCol w:w="1474"/>
        <w:gridCol w:w="1474"/>
        <w:gridCol w:w="1474"/>
      </w:tblGrid>
      <w:tr>
        <w:tc>
          <w:tcPr>
            <w:tcW w:type="dxa" w:w="1500"/>
            <w:vAlign w:val="center"/>
            <w:shd w:fill="D9EAF7"/>
          </w:tcPr>
          <w:p>
            <w:pPr>
              <w:ind w:firstLine="0"/>
              <w:jc w:val="center"/>
            </w:pPr>
            <w:r/>
            <w:r>
              <w:rPr>
                <w:rFonts w:ascii="宋体" w:hAnsi="宋体" w:eastAsia="宋体"/>
                <w:b/>
                <w:sz w:val="21"/>
              </w:rPr>
              <w:t>防御模式</w:t>
            </w:r>
          </w:p>
        </w:tc>
        <w:tc>
          <w:tcPr>
            <w:tcW w:type="dxa" w:w="1500"/>
            <w:vAlign w:val="center"/>
            <w:shd w:fill="D9EAF7"/>
          </w:tcPr>
          <w:p>
            <w:pPr>
              <w:ind w:firstLine="0"/>
              <w:jc w:val="center"/>
            </w:pPr>
            <w:r/>
            <w:r>
              <w:rPr>
                <w:rFonts w:ascii="宋体" w:hAnsi="宋体" w:eastAsia="宋体"/>
                <w:b/>
                <w:sz w:val="21"/>
              </w:rPr>
              <w:t>ASR</w:t>
            </w:r>
          </w:p>
        </w:tc>
        <w:tc>
          <w:tcPr>
            <w:tcW w:type="dxa" w:w="1500"/>
            <w:vAlign w:val="center"/>
            <w:shd w:fill="D9EAF7"/>
          </w:tcPr>
          <w:p>
            <w:pPr>
              <w:ind w:firstLine="0"/>
              <w:jc w:val="center"/>
            </w:pPr>
            <w:r/>
            <w:r>
              <w:rPr>
                <w:rFonts w:ascii="宋体" w:hAnsi="宋体" w:eastAsia="宋体"/>
                <w:b/>
                <w:sz w:val="21"/>
              </w:rPr>
              <w:t>UTR</w:t>
            </w:r>
          </w:p>
        </w:tc>
        <w:tc>
          <w:tcPr>
            <w:tcW w:type="dxa" w:w="1500"/>
            <w:vAlign w:val="center"/>
            <w:shd w:fill="D9EAF7"/>
          </w:tcPr>
          <w:p>
            <w:pPr>
              <w:ind w:firstLine="0"/>
              <w:jc w:val="center"/>
            </w:pPr>
            <w:r/>
            <w:r>
              <w:rPr>
                <w:rFonts w:ascii="宋体" w:hAnsi="宋体" w:eastAsia="宋体"/>
                <w:b/>
                <w:sz w:val="21"/>
              </w:rPr>
              <w:t>DSR</w:t>
            </w:r>
          </w:p>
        </w:tc>
        <w:tc>
          <w:tcPr>
            <w:tcW w:type="dxa" w:w="1500"/>
            <w:vAlign w:val="center"/>
            <w:shd w:fill="D9EAF7"/>
          </w:tcPr>
          <w:p>
            <w:pPr>
              <w:ind w:firstLine="0"/>
              <w:jc w:val="center"/>
            </w:pPr>
            <w:r/>
            <w:r>
              <w:rPr>
                <w:rFonts w:ascii="宋体" w:hAnsi="宋体" w:eastAsia="宋体"/>
                <w:b/>
                <w:sz w:val="21"/>
              </w:rPr>
              <w:t>BSR</w:t>
            </w:r>
          </w:p>
        </w:tc>
        <w:tc>
          <w:tcPr>
            <w:tcW w:type="dxa" w:w="1500"/>
            <w:vAlign w:val="center"/>
            <w:shd w:fill="D9EAF7"/>
          </w:tcPr>
          <w:p>
            <w:pPr>
              <w:ind w:firstLine="0"/>
              <w:jc w:val="center"/>
            </w:pPr>
            <w:r/>
            <w:r>
              <w:rPr>
                <w:rFonts w:ascii="宋体" w:hAnsi="宋体" w:eastAsia="宋体"/>
                <w:b/>
                <w:sz w:val="21"/>
              </w:rPr>
              <w:t>WRS</w:t>
            </w:r>
          </w:p>
        </w:tc>
      </w:tr>
      <w:tr>
        <w:tc>
          <w:tcPr>
            <w:tcW w:type="dxa" w:w="1500"/>
            <w:vAlign w:val="center"/>
            <w:shd w:fill="FFFFFF"/>
          </w:tcPr>
          <w:p>
            <w:pPr>
              <w:ind w:firstLine="0"/>
              <w:jc w:val="center"/>
            </w:pPr>
            <w:r/>
            <w:r>
              <w:rPr>
                <w:rFonts w:ascii="宋体" w:hAnsi="宋体" w:eastAsia="宋体"/>
                <w:b w:val="0"/>
                <w:sz w:val="21"/>
              </w:rPr>
              <w:t>baseline</w:t>
            </w:r>
          </w:p>
        </w:tc>
        <w:tc>
          <w:tcPr>
            <w:tcW w:type="dxa" w:w="1500"/>
            <w:vAlign w:val="center"/>
            <w:shd w:fill="FFFFFF"/>
          </w:tcPr>
          <w:p>
            <w:pPr>
              <w:ind w:firstLine="0"/>
              <w:jc w:val="center"/>
            </w:pPr>
            <w:r/>
            <w:r>
              <w:rPr>
                <w:rFonts w:ascii="宋体" w:hAnsi="宋体" w:eastAsia="宋体"/>
                <w:b w:val="0"/>
                <w:sz w:val="21"/>
              </w:rPr>
              <w:t>0.5507</w:t>
            </w:r>
          </w:p>
        </w:tc>
        <w:tc>
          <w:tcPr>
            <w:tcW w:type="dxa" w:w="1500"/>
            <w:vAlign w:val="center"/>
            <w:shd w:fill="FFFFFF"/>
          </w:tcPr>
          <w:p>
            <w:pPr>
              <w:ind w:firstLine="0"/>
              <w:jc w:val="center"/>
            </w:pPr>
            <w:r/>
            <w:r>
              <w:rPr>
                <w:rFonts w:ascii="宋体" w:hAnsi="宋体" w:eastAsia="宋体"/>
                <w:b w:val="0"/>
                <w:sz w:val="21"/>
              </w:rPr>
              <w:t>0.2899</w:t>
            </w:r>
          </w:p>
        </w:tc>
        <w:tc>
          <w:tcPr>
            <w:tcW w:type="dxa" w:w="1500"/>
            <w:vAlign w:val="center"/>
            <w:shd w:fill="FFFFFF"/>
          </w:tcPr>
          <w:p>
            <w:pPr>
              <w:ind w:firstLine="0"/>
              <w:jc w:val="center"/>
            </w:pPr>
            <w:r/>
            <w:r>
              <w:rPr>
                <w:rFonts w:ascii="宋体" w:hAnsi="宋体" w:eastAsia="宋体"/>
                <w:b w:val="0"/>
                <w:sz w:val="21"/>
              </w:rPr>
              <w:t>0.5507</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0.4891</w:t>
            </w:r>
          </w:p>
        </w:tc>
      </w:tr>
      <w:tr>
        <w:tc>
          <w:tcPr>
            <w:tcW w:type="dxa" w:w="1500"/>
            <w:vAlign w:val="center"/>
            <w:shd w:fill="FFFFFF"/>
          </w:tcPr>
          <w:p>
            <w:pPr>
              <w:ind w:firstLine="0"/>
              <w:jc w:val="center"/>
            </w:pPr>
            <w:r/>
            <w:r>
              <w:rPr>
                <w:rFonts w:ascii="宋体" w:hAnsi="宋体" w:eastAsia="宋体"/>
                <w:b w:val="0"/>
                <w:sz w:val="21"/>
              </w:rPr>
              <w:t>keyword_only</w:t>
            </w:r>
          </w:p>
        </w:tc>
        <w:tc>
          <w:tcPr>
            <w:tcW w:type="dxa" w:w="1500"/>
            <w:vAlign w:val="center"/>
            <w:shd w:fill="FFFFFF"/>
          </w:tcPr>
          <w:p>
            <w:pPr>
              <w:ind w:firstLine="0"/>
              <w:jc w:val="center"/>
            </w:pPr>
            <w:r/>
            <w:r>
              <w:rPr>
                <w:rFonts w:ascii="宋体" w:hAnsi="宋体" w:eastAsia="宋体"/>
                <w:b w:val="0"/>
                <w:sz w:val="21"/>
              </w:rPr>
              <w:t>0.1304</w:t>
            </w:r>
          </w:p>
        </w:tc>
        <w:tc>
          <w:tcPr>
            <w:tcW w:type="dxa" w:w="1500"/>
            <w:vAlign w:val="center"/>
            <w:shd w:fill="FFFFFF"/>
          </w:tcPr>
          <w:p>
            <w:pPr>
              <w:ind w:firstLine="0"/>
              <w:jc w:val="center"/>
            </w:pPr>
            <w:r/>
            <w:r>
              <w:rPr>
                <w:rFonts w:ascii="宋体" w:hAnsi="宋体" w:eastAsia="宋体"/>
                <w:b w:val="0"/>
                <w:sz w:val="21"/>
              </w:rPr>
              <w:t>0.087</w:t>
            </w:r>
          </w:p>
        </w:tc>
        <w:tc>
          <w:tcPr>
            <w:tcW w:type="dxa" w:w="1500"/>
            <w:vAlign w:val="center"/>
            <w:shd w:fill="FFFFFF"/>
          </w:tcPr>
          <w:p>
            <w:pPr>
              <w:ind w:firstLine="0"/>
              <w:jc w:val="center"/>
            </w:pPr>
            <w:r/>
            <w:r>
              <w:rPr>
                <w:rFonts w:ascii="宋体" w:hAnsi="宋体" w:eastAsia="宋体"/>
                <w:b w:val="0"/>
                <w:sz w:val="21"/>
              </w:rPr>
              <w:t>0.1304</w:t>
            </w:r>
          </w:p>
        </w:tc>
        <w:tc>
          <w:tcPr>
            <w:tcW w:type="dxa" w:w="1500"/>
            <w:vAlign w:val="center"/>
            <w:shd w:fill="FFFFFF"/>
          </w:tcPr>
          <w:p>
            <w:pPr>
              <w:ind w:firstLine="0"/>
              <w:jc w:val="center"/>
            </w:pPr>
            <w:r/>
            <w:r>
              <w:rPr>
                <w:rFonts w:ascii="宋体" w:hAnsi="宋体" w:eastAsia="宋体"/>
                <w:b w:val="0"/>
                <w:sz w:val="21"/>
              </w:rPr>
              <w:t>0.6522</w:t>
            </w:r>
          </w:p>
        </w:tc>
        <w:tc>
          <w:tcPr>
            <w:tcW w:type="dxa" w:w="1500"/>
            <w:vAlign w:val="center"/>
            <w:shd w:fill="FFFFFF"/>
          </w:tcPr>
          <w:p>
            <w:pPr>
              <w:ind w:firstLine="0"/>
              <w:jc w:val="center"/>
            </w:pPr>
            <w:r/>
            <w:r>
              <w:rPr>
                <w:rFonts w:ascii="宋体" w:hAnsi="宋体" w:eastAsia="宋体"/>
                <w:b w:val="0"/>
                <w:sz w:val="21"/>
              </w:rPr>
              <w:t>0.8587</w:t>
            </w:r>
          </w:p>
        </w:tc>
      </w:tr>
      <w:tr>
        <w:tc>
          <w:tcPr>
            <w:tcW w:type="dxa" w:w="1500"/>
            <w:vAlign w:val="center"/>
            <w:shd w:fill="FFFFFF"/>
          </w:tcPr>
          <w:p>
            <w:pPr>
              <w:ind w:firstLine="0"/>
              <w:jc w:val="center"/>
            </w:pPr>
            <w:r/>
            <w:r>
              <w:rPr>
                <w:rFonts w:ascii="宋体" w:hAnsi="宋体" w:eastAsia="宋体"/>
                <w:b w:val="0"/>
                <w:sz w:val="21"/>
              </w:rPr>
              <w:t>policy_only</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0.8841</w:t>
            </w:r>
          </w:p>
        </w:tc>
        <w:tc>
          <w:tcPr>
            <w:tcW w:type="dxa" w:w="1500"/>
            <w:vAlign w:val="center"/>
            <w:shd w:fill="FFFFFF"/>
          </w:tcPr>
          <w:p>
            <w:pPr>
              <w:ind w:firstLine="0"/>
              <w:jc w:val="center"/>
            </w:pPr>
            <w:r/>
            <w:r>
              <w:rPr>
                <w:rFonts w:ascii="宋体" w:hAnsi="宋体" w:eastAsia="宋体"/>
                <w:b w:val="0"/>
                <w:sz w:val="21"/>
              </w:rPr>
              <w:t>0.9826</w:t>
            </w:r>
          </w:p>
        </w:tc>
      </w:tr>
      <w:tr>
        <w:tc>
          <w:tcPr>
            <w:tcW w:type="dxa" w:w="1500"/>
            <w:vAlign w:val="center"/>
            <w:shd w:fill="FFFFFF"/>
          </w:tcPr>
          <w:p>
            <w:pPr>
              <w:ind w:firstLine="0"/>
              <w:jc w:val="center"/>
            </w:pPr>
            <w:r/>
            <w:r>
              <w:rPr>
                <w:rFonts w:ascii="宋体" w:hAnsi="宋体" w:eastAsia="宋体"/>
                <w:b w:val="0"/>
                <w:sz w:val="21"/>
              </w:rPr>
              <w:t>full_guard</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0.8841</w:t>
            </w:r>
          </w:p>
        </w:tc>
        <w:tc>
          <w:tcPr>
            <w:tcW w:type="dxa" w:w="1500"/>
            <w:vAlign w:val="center"/>
            <w:shd w:fill="FFFFFF"/>
          </w:tcPr>
          <w:p>
            <w:pPr>
              <w:ind w:firstLine="0"/>
              <w:jc w:val="center"/>
            </w:pPr>
            <w:r/>
            <w:r>
              <w:rPr>
                <w:rFonts w:ascii="宋体" w:hAnsi="宋体" w:eastAsia="宋体"/>
                <w:b w:val="0"/>
                <w:sz w:val="21"/>
              </w:rPr>
              <w:t>0.9826</w:t>
            </w:r>
          </w:p>
        </w:tc>
      </w:tr>
    </w:tbl>
    <w:p/>
    <w:p>
      <w:pPr>
        <w:ind w:firstLine="0"/>
        <w:jc w:val="center"/>
      </w:pPr>
      <w:r>
        <w:rPr>
          <w:rFonts w:ascii="宋体" w:hAnsi="宋体" w:eastAsia="宋体"/>
          <w:b/>
          <w:sz w:val="21"/>
        </w:rPr>
        <w:t>表 2 Qwen2.5 代表样本总体结果</w:t>
      </w:r>
    </w:p>
    <w:tbl>
      <w:tblPr>
        <w:tblW w:type="auto" w:w="0"/>
        <w:jc w:val="center"/>
        <w:tblLook w:firstColumn="1" w:firstRow="1" w:lastColumn="0" w:lastRow="0" w:noHBand="0" w:noVBand="1" w:val="04A0"/>
      </w:tblPr>
      <w:tblGrid>
        <w:gridCol w:w="1474"/>
        <w:gridCol w:w="1474"/>
        <w:gridCol w:w="1474"/>
        <w:gridCol w:w="1474"/>
        <w:gridCol w:w="1474"/>
        <w:gridCol w:w="1474"/>
      </w:tblGrid>
      <w:tr>
        <w:tc>
          <w:tcPr>
            <w:tcW w:type="dxa" w:w="1500"/>
            <w:vAlign w:val="center"/>
            <w:shd w:fill="D9EAF7"/>
          </w:tcPr>
          <w:p>
            <w:pPr>
              <w:ind w:firstLine="0"/>
              <w:jc w:val="center"/>
            </w:pPr>
            <w:r/>
            <w:r>
              <w:rPr>
                <w:rFonts w:ascii="宋体" w:hAnsi="宋体" w:eastAsia="宋体"/>
                <w:b/>
                <w:sz w:val="21"/>
              </w:rPr>
              <w:t>防御模式</w:t>
            </w:r>
          </w:p>
        </w:tc>
        <w:tc>
          <w:tcPr>
            <w:tcW w:type="dxa" w:w="1500"/>
            <w:vAlign w:val="center"/>
            <w:shd w:fill="D9EAF7"/>
          </w:tcPr>
          <w:p>
            <w:pPr>
              <w:ind w:firstLine="0"/>
              <w:jc w:val="center"/>
            </w:pPr>
            <w:r/>
            <w:r>
              <w:rPr>
                <w:rFonts w:ascii="宋体" w:hAnsi="宋体" w:eastAsia="宋体"/>
                <w:b/>
                <w:sz w:val="21"/>
              </w:rPr>
              <w:t>ASR</w:t>
            </w:r>
          </w:p>
        </w:tc>
        <w:tc>
          <w:tcPr>
            <w:tcW w:type="dxa" w:w="1500"/>
            <w:vAlign w:val="center"/>
            <w:shd w:fill="D9EAF7"/>
          </w:tcPr>
          <w:p>
            <w:pPr>
              <w:ind w:firstLine="0"/>
              <w:jc w:val="center"/>
            </w:pPr>
            <w:r/>
            <w:r>
              <w:rPr>
                <w:rFonts w:ascii="宋体" w:hAnsi="宋体" w:eastAsia="宋体"/>
                <w:b/>
                <w:sz w:val="21"/>
              </w:rPr>
              <w:t>UTR</w:t>
            </w:r>
          </w:p>
        </w:tc>
        <w:tc>
          <w:tcPr>
            <w:tcW w:type="dxa" w:w="1500"/>
            <w:vAlign w:val="center"/>
            <w:shd w:fill="D9EAF7"/>
          </w:tcPr>
          <w:p>
            <w:pPr>
              <w:ind w:firstLine="0"/>
              <w:jc w:val="center"/>
            </w:pPr>
            <w:r/>
            <w:r>
              <w:rPr>
                <w:rFonts w:ascii="宋体" w:hAnsi="宋体" w:eastAsia="宋体"/>
                <w:b/>
                <w:sz w:val="21"/>
              </w:rPr>
              <w:t>DSR</w:t>
            </w:r>
          </w:p>
        </w:tc>
        <w:tc>
          <w:tcPr>
            <w:tcW w:type="dxa" w:w="1500"/>
            <w:vAlign w:val="center"/>
            <w:shd w:fill="D9EAF7"/>
          </w:tcPr>
          <w:p>
            <w:pPr>
              <w:ind w:firstLine="0"/>
              <w:jc w:val="center"/>
            </w:pPr>
            <w:r/>
            <w:r>
              <w:rPr>
                <w:rFonts w:ascii="宋体" w:hAnsi="宋体" w:eastAsia="宋体"/>
                <w:b/>
                <w:sz w:val="21"/>
              </w:rPr>
              <w:t>BSR</w:t>
            </w:r>
          </w:p>
        </w:tc>
        <w:tc>
          <w:tcPr>
            <w:tcW w:type="dxa" w:w="1500"/>
            <w:vAlign w:val="center"/>
            <w:shd w:fill="D9EAF7"/>
          </w:tcPr>
          <w:p>
            <w:pPr>
              <w:ind w:firstLine="0"/>
              <w:jc w:val="center"/>
            </w:pPr>
            <w:r/>
            <w:r>
              <w:rPr>
                <w:rFonts w:ascii="宋体" w:hAnsi="宋体" w:eastAsia="宋体"/>
                <w:b/>
                <w:sz w:val="21"/>
              </w:rPr>
              <w:t>WRS</w:t>
            </w:r>
          </w:p>
        </w:tc>
      </w:tr>
      <w:tr>
        <w:tc>
          <w:tcPr>
            <w:tcW w:type="dxa" w:w="1500"/>
            <w:vAlign w:val="center"/>
            <w:shd w:fill="FFFFFF"/>
          </w:tcPr>
          <w:p>
            <w:pPr>
              <w:ind w:firstLine="0"/>
              <w:jc w:val="center"/>
            </w:pPr>
            <w:r/>
            <w:r>
              <w:rPr>
                <w:rFonts w:ascii="宋体" w:hAnsi="宋体" w:eastAsia="宋体"/>
                <w:b w:val="0"/>
                <w:sz w:val="21"/>
              </w:rPr>
              <w:t>baseline</w:t>
            </w:r>
          </w:p>
        </w:tc>
        <w:tc>
          <w:tcPr>
            <w:tcW w:type="dxa" w:w="1500"/>
            <w:vAlign w:val="center"/>
            <w:shd w:fill="FFFFFF"/>
          </w:tcPr>
          <w:p>
            <w:pPr>
              <w:ind w:firstLine="0"/>
              <w:jc w:val="center"/>
            </w:pPr>
            <w:r/>
            <w:r>
              <w:rPr>
                <w:rFonts w:ascii="宋体" w:hAnsi="宋体" w:eastAsia="宋体"/>
                <w:b w:val="0"/>
                <w:sz w:val="21"/>
              </w:rPr>
              <w:t>0.0833</w:t>
            </w:r>
          </w:p>
        </w:tc>
        <w:tc>
          <w:tcPr>
            <w:tcW w:type="dxa" w:w="1500"/>
            <w:vAlign w:val="center"/>
            <w:shd w:fill="FFFFFF"/>
          </w:tcPr>
          <w:p>
            <w:pPr>
              <w:ind w:firstLine="0"/>
              <w:jc w:val="center"/>
            </w:pPr>
            <w:r/>
            <w:r>
              <w:rPr>
                <w:rFonts w:ascii="宋体" w:hAnsi="宋体" w:eastAsia="宋体"/>
                <w:b w:val="0"/>
                <w:sz w:val="21"/>
              </w:rPr>
              <w:t>0.0833</w:t>
            </w:r>
          </w:p>
        </w:tc>
        <w:tc>
          <w:tcPr>
            <w:tcW w:type="dxa" w:w="1500"/>
            <w:vAlign w:val="center"/>
            <w:shd w:fill="FFFFFF"/>
          </w:tcPr>
          <w:p>
            <w:pPr>
              <w:ind w:firstLine="0"/>
              <w:jc w:val="center"/>
            </w:pPr>
            <w:r/>
            <w:r>
              <w:rPr>
                <w:rFonts w:ascii="宋体" w:hAnsi="宋体" w:eastAsia="宋体"/>
                <w:b w:val="0"/>
                <w:sz w:val="21"/>
              </w:rPr>
              <w:t>0.0417</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0.7958</w:t>
            </w:r>
          </w:p>
        </w:tc>
      </w:tr>
      <w:tr>
        <w:tc>
          <w:tcPr>
            <w:tcW w:type="dxa" w:w="1500"/>
            <w:vAlign w:val="center"/>
            <w:shd w:fill="FFFFFF"/>
          </w:tcPr>
          <w:p>
            <w:pPr>
              <w:ind w:firstLine="0"/>
              <w:jc w:val="center"/>
            </w:pPr>
            <w:r/>
            <w:r>
              <w:rPr>
                <w:rFonts w:ascii="宋体" w:hAnsi="宋体" w:eastAsia="宋体"/>
                <w:b w:val="0"/>
                <w:sz w:val="21"/>
              </w:rPr>
              <w:t>full_guard</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0.0</w:t>
            </w:r>
          </w:p>
        </w:tc>
        <w:tc>
          <w:tcPr>
            <w:tcW w:type="dxa" w:w="1500"/>
            <w:vAlign w:val="center"/>
            <w:shd w:fill="FFFFFF"/>
          </w:tcPr>
          <w:p>
            <w:pPr>
              <w:ind w:firstLine="0"/>
              <w:jc w:val="center"/>
            </w:pPr>
            <w:r/>
            <w:r>
              <w:rPr>
                <w:rFonts w:ascii="宋体" w:hAnsi="宋体" w:eastAsia="宋体"/>
                <w:b w:val="0"/>
                <w:sz w:val="21"/>
              </w:rPr>
              <w:t>0.4583</w:t>
            </w:r>
          </w:p>
        </w:tc>
        <w:tc>
          <w:tcPr>
            <w:tcW w:type="dxa" w:w="1500"/>
            <w:vAlign w:val="center"/>
            <w:shd w:fill="FFFFFF"/>
          </w:tcPr>
          <w:p>
            <w:pPr>
              <w:ind w:firstLine="0"/>
              <w:jc w:val="center"/>
            </w:pPr>
            <w:r/>
            <w:r>
              <w:rPr>
                <w:rFonts w:ascii="宋体" w:hAnsi="宋体" w:eastAsia="宋体"/>
                <w:b w:val="0"/>
                <w:sz w:val="21"/>
              </w:rPr>
              <w:t>0.9187</w:t>
            </w:r>
          </w:p>
        </w:tc>
      </w:tr>
    </w:tbl>
    <w:p/>
    <w:p>
      <w:pPr>
        <w:ind w:firstLine="0"/>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day5_asr_by_defense_mode.png"/>
                    <pic:cNvPicPr/>
                  </pic:nvPicPr>
                  <pic:blipFill>
                    <a:blip r:embed="rId11"/>
                    <a:stretch>
                      <a:fillRect/>
                    </a:stretch>
                  </pic:blipFill>
                  <pic:spPr>
                    <a:xfrm>
                      <a:off x="0" y="0"/>
                      <a:ext cx="5303520" cy="2946400"/>
                    </a:xfrm>
                    <a:prstGeom prst="rect"/>
                  </pic:spPr>
                </pic:pic>
              </a:graphicData>
            </a:graphic>
          </wp:inline>
        </w:drawing>
      </w:r>
    </w:p>
    <w:p>
      <w:pPr>
        <w:ind w:firstLine="0"/>
        <w:jc w:val="center"/>
      </w:pPr>
      <w:r>
        <w:rPr>
          <w:rFonts w:ascii="宋体" w:hAnsi="宋体" w:eastAsia="宋体"/>
          <w:b/>
          <w:sz w:val="21"/>
        </w:rPr>
        <w:t>图 1 ASR 防御模式对比</w:t>
      </w:r>
    </w:p>
    <w:p>
      <w:pPr>
        <w:ind w:firstLine="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day5_dsr_by_defense_mode.png"/>
                    <pic:cNvPicPr/>
                  </pic:nvPicPr>
                  <pic:blipFill>
                    <a:blip r:embed="rId12"/>
                    <a:stretch>
                      <a:fillRect/>
                    </a:stretch>
                  </pic:blipFill>
                  <pic:spPr>
                    <a:xfrm>
                      <a:off x="0" y="0"/>
                      <a:ext cx="5303520" cy="2946400"/>
                    </a:xfrm>
                    <a:prstGeom prst="rect"/>
                  </pic:spPr>
                </pic:pic>
              </a:graphicData>
            </a:graphic>
          </wp:inline>
        </w:drawing>
      </w:r>
    </w:p>
    <w:p>
      <w:pPr>
        <w:ind w:firstLine="0"/>
        <w:jc w:val="center"/>
      </w:pPr>
      <w:r>
        <w:rPr>
          <w:rFonts w:ascii="宋体" w:hAnsi="宋体" w:eastAsia="宋体"/>
          <w:b/>
          <w:sz w:val="21"/>
        </w:rPr>
        <w:t>图 2 DSR 防御模式对比</w:t>
      </w:r>
    </w:p>
    <w:p>
      <w:pPr>
        <w:ind w:firstLine="0"/>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day5_wrs_by_defense_mode.png"/>
                    <pic:cNvPicPr/>
                  </pic:nvPicPr>
                  <pic:blipFill>
                    <a:blip r:embed="rId13"/>
                    <a:stretch>
                      <a:fillRect/>
                    </a:stretch>
                  </pic:blipFill>
                  <pic:spPr>
                    <a:xfrm>
                      <a:off x="0" y="0"/>
                      <a:ext cx="5303520" cy="2946400"/>
                    </a:xfrm>
                    <a:prstGeom prst="rect"/>
                  </pic:spPr>
                </pic:pic>
              </a:graphicData>
            </a:graphic>
          </wp:inline>
        </w:drawing>
      </w:r>
    </w:p>
    <w:p>
      <w:pPr>
        <w:ind w:firstLine="0"/>
        <w:jc w:val="center"/>
      </w:pPr>
      <w:r>
        <w:rPr>
          <w:rFonts w:ascii="宋体" w:hAnsi="宋体" w:eastAsia="宋体"/>
          <w:b/>
          <w:sz w:val="21"/>
        </w:rPr>
        <w:t>图 3 WRS 防御模式对比</w:t>
      </w:r>
    </w:p>
    <w:p>
      <w:pPr>
        <w:ind w:firstLine="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day5_guard_reasons_top10.png"/>
                    <pic:cNvPicPr/>
                  </pic:nvPicPr>
                  <pic:blipFill>
                    <a:blip r:embed="rId14"/>
                    <a:stretch>
                      <a:fillRect/>
                    </a:stretch>
                  </pic:blipFill>
                  <pic:spPr>
                    <a:xfrm>
                      <a:off x="0" y="0"/>
                      <a:ext cx="5303520" cy="2946400"/>
                    </a:xfrm>
                    <a:prstGeom prst="rect"/>
                  </pic:spPr>
                </pic:pic>
              </a:graphicData>
            </a:graphic>
          </wp:inline>
        </w:drawing>
      </w:r>
    </w:p>
    <w:p>
      <w:pPr>
        <w:ind w:firstLine="0"/>
        <w:jc w:val="center"/>
      </w:pPr>
      <w:r>
        <w:rPr>
          <w:rFonts w:ascii="宋体" w:hAnsi="宋体" w:eastAsia="宋体"/>
          <w:b/>
          <w:sz w:val="21"/>
        </w:rPr>
        <w:t>图 4 Guard 阻断原因 Top 10</w:t>
      </w:r>
    </w:p>
    <w:p>
      <w:r>
        <w:br w:type="page"/>
      </w:r>
    </w:p>
    <w:p>
      <w:pPr>
        <w:pStyle w:val="1"/>
        <w:ind w:firstLine="0"/>
      </w:pPr>
      <w:r>
        <w:t>第四章 创新性说明</w:t>
      </w:r>
    </w:p>
    <w:p>
      <w:pPr>
        <w:ind w:firstLine="0"/>
      </w:pPr>
      <w:r>
        <w:rPr>
          <w:rFonts w:ascii="黑体" w:hAnsi="黑体" w:eastAsia="黑体"/>
          <w:b/>
          <w:sz w:val="28"/>
        </w:rPr>
        <w:t>4.1 行为边界监督</w:t>
      </w:r>
    </w:p>
    <w:p>
      <w:pPr>
        <w:spacing w:line="360" w:lineRule="auto" w:after="120"/>
        <w:ind w:firstLine="480"/>
      </w:pPr>
      <w:r>
        <w:rPr>
          <w:rFonts w:ascii="宋体" w:hAnsi="宋体" w:eastAsia="宋体"/>
          <w:b w:val="0"/>
          <w:sz w:val="24"/>
        </w:rPr>
        <w:t>作品将提示注入防护点从模型输出文本前移到工具执行边界，直接降低越权读取、外发和代码执行风险。</w:t>
      </w:r>
    </w:p>
    <w:p>
      <w:pPr>
        <w:ind w:firstLine="0"/>
      </w:pPr>
      <w:r>
        <w:rPr>
          <w:rFonts w:ascii="黑体" w:hAnsi="黑体" w:eastAsia="黑体"/>
          <w:b/>
          <w:sz w:val="28"/>
        </w:rPr>
        <w:t>4.2 多信号可解释风险评分</w:t>
      </w:r>
    </w:p>
    <w:p>
      <w:pPr>
        <w:spacing w:line="360" w:lineRule="auto" w:after="120"/>
        <w:ind w:firstLine="480"/>
      </w:pPr>
      <w:r>
        <w:rPr>
          <w:rFonts w:ascii="宋体" w:hAnsi="宋体" w:eastAsia="宋体"/>
          <w:b w:val="0"/>
          <w:sz w:val="24"/>
        </w:rPr>
        <w:t>系统将工具类型、路径、endpoint、敏感数据流、结构化注入、多语言混淆和意图-动作不一致合并为可解释风险原因，便于复盘和展示。</w:t>
      </w:r>
    </w:p>
    <w:p>
      <w:pPr>
        <w:ind w:firstLine="0"/>
      </w:pPr>
      <w:r>
        <w:rPr>
          <w:rFonts w:ascii="黑体" w:hAnsi="黑体" w:eastAsia="黑体"/>
          <w:b/>
          <w:sz w:val="28"/>
        </w:rPr>
        <w:t>4.3 本地可复现实验闭环</w:t>
      </w:r>
    </w:p>
    <w:p>
      <w:pPr>
        <w:spacing w:line="360" w:lineRule="auto" w:after="120"/>
        <w:ind w:firstLine="480"/>
      </w:pPr>
      <w:r>
        <w:rPr>
          <w:rFonts w:ascii="宋体" w:hAnsi="宋体" w:eastAsia="宋体"/>
          <w:b w:val="0"/>
          <w:sz w:val="24"/>
        </w:rPr>
        <w:t>作品提供攻击样本、运行日志、评测脚本、图表和 Dashboard，形成无需远程服务的完整本地评测闭环。</w:t>
      </w:r>
    </w:p>
    <w:p>
      <w:r>
        <w:br w:type="page"/>
      </w:r>
    </w:p>
    <w:p>
      <w:pPr>
        <w:pStyle w:val="1"/>
        <w:ind w:firstLine="0"/>
      </w:pPr>
      <w:r>
        <w:t>第五章 总结</w:t>
      </w:r>
    </w:p>
    <w:p>
      <w:pPr>
        <w:ind w:firstLine="0"/>
      </w:pPr>
      <w:r>
        <w:rPr>
          <w:rFonts w:ascii="黑体" w:hAnsi="黑体" w:eastAsia="黑体"/>
          <w:b/>
          <w:sz w:val="28"/>
        </w:rPr>
        <w:t>5.1 工作总结</w:t>
      </w:r>
    </w:p>
    <w:p>
      <w:pPr>
        <w:spacing w:line="360" w:lineRule="auto" w:after="120"/>
        <w:ind w:firstLine="480"/>
      </w:pPr>
      <w:r>
        <w:rPr>
          <w:rFonts w:ascii="宋体" w:hAnsi="宋体" w:eastAsia="宋体"/>
          <w:b w:val="0"/>
          <w:sz w:val="24"/>
        </w:rPr>
        <w:t>本作品实现了面向工具调用智能体的行为监督 Guard，并通过多组日志验证其对未授权工具调用和敏感数据外发的抑制效果。实验表明，full_guard 能显著降低 ASR、UTR 和 DSR，并提供可解释的阻断原因。</w:t>
      </w:r>
    </w:p>
    <w:p>
      <w:pPr>
        <w:ind w:firstLine="0"/>
      </w:pPr>
      <w:r>
        <w:rPr>
          <w:rFonts w:ascii="黑体" w:hAnsi="黑体" w:eastAsia="黑体"/>
          <w:b/>
          <w:sz w:val="28"/>
        </w:rPr>
        <w:t>5.2 后续工作</w:t>
      </w:r>
    </w:p>
    <w:p>
      <w:pPr>
        <w:spacing w:line="360" w:lineRule="auto" w:after="120"/>
        <w:ind w:firstLine="480"/>
      </w:pPr>
      <w:r>
        <w:rPr>
          <w:rFonts w:ascii="宋体" w:hAnsi="宋体" w:eastAsia="宋体"/>
          <w:b w:val="0"/>
          <w:sz w:val="24"/>
        </w:rPr>
        <w:t>后续可扩展更丰富的 clean case 以增强 FPR 解释力，引入语义级检测以覆盖深度改写攻击，并将 Dashboard 扩展为长期实验管理与审计平台。</w:t>
      </w:r>
    </w:p>
    <w:p>
      <w:r>
        <w:br w:type="page"/>
      </w:r>
    </w:p>
    <w:p>
      <w:pPr>
        <w:pStyle w:val="1"/>
        <w:ind w:firstLine="0"/>
      </w:pPr>
      <w:r>
        <w:t>参考文献</w:t>
      </w:r>
    </w:p>
    <w:p>
      <w:pPr>
        <w:spacing w:line="360" w:lineRule="auto" w:after="120"/>
        <w:ind w:firstLine="0"/>
      </w:pPr>
      <w:r>
        <w:rPr>
          <w:rFonts w:ascii="宋体" w:hAnsi="宋体" w:eastAsia="宋体"/>
          <w:b w:val="0"/>
          <w:sz w:val="24"/>
        </w:rPr>
        <w:t>[1] Perez F, Ribeiro I. Ignore Previous Prompt: Attack Techniques For Language Models[C]//NeurIPS ML Safety Workshop. 2022.</w:t>
      </w:r>
    </w:p>
    <w:p>
      <w:pPr>
        <w:spacing w:line="360" w:lineRule="auto" w:after="120"/>
        <w:ind w:firstLine="0"/>
      </w:pPr>
      <w:r>
        <w:rPr>
          <w:rFonts w:ascii="宋体" w:hAnsi="宋体" w:eastAsia="宋体"/>
          <w:b w:val="0"/>
          <w:sz w:val="24"/>
        </w:rPr>
        <w:t>[2] Greshake K, Abdelnabi S, Mishra S, et al. Not what you have signed up for: Compromising Real-World LLM-Integrated Applications with Indirect Prompt Injection[C]//AISec. 2023.</w:t>
      </w:r>
    </w:p>
    <w:p>
      <w:pPr>
        <w:spacing w:line="360" w:lineRule="auto" w:after="120"/>
        <w:ind w:firstLine="0"/>
      </w:pPr>
      <w:r>
        <w:rPr>
          <w:rFonts w:ascii="宋体" w:hAnsi="宋体" w:eastAsia="宋体"/>
          <w:b w:val="0"/>
          <w:sz w:val="24"/>
        </w:rPr>
        <w:t>[3] OWASP Foundation. OWASP Top 10 for Large Language Model Applications[EB/OL]. 2025.</w:t>
      </w:r>
    </w:p>
    <w:p>
      <w:pPr>
        <w:spacing w:line="360" w:lineRule="auto" w:after="120"/>
        <w:ind w:firstLine="0"/>
      </w:pPr>
      <w:r>
        <w:rPr>
          <w:rFonts w:ascii="宋体" w:hAnsi="宋体" w:eastAsia="宋体"/>
          <w:b w:val="0"/>
          <w:sz w:val="24"/>
        </w:rPr>
        <w:t>[4] Yao S, Zhao J, Yu D, et al. ReAct: Synergizing Reasoning and Acting in Language Models[C]//ICLR. 2023.</w:t>
      </w:r>
    </w:p>
    <w:p>
      <w:pPr>
        <w:spacing w:line="360" w:lineRule="auto" w:after="120"/>
        <w:ind w:firstLine="0"/>
      </w:pPr>
      <w:r>
        <w:rPr>
          <w:rFonts w:ascii="宋体" w:hAnsi="宋体" w:eastAsia="宋体"/>
          <w:b w:val="0"/>
          <w:sz w:val="24"/>
        </w:rPr>
        <w:t>[5] Wei A, Haghtalab N, Steinhardt J. Jailbroken: How Does LLM Safety Training Fail?[C]//NeurIPS. 2023.</w:t>
      </w:r>
    </w:p>
    <w:p>
      <w:pPr>
        <w:spacing w:line="360" w:lineRule="auto" w:after="120"/>
        <w:ind w:firstLine="0"/>
      </w:pPr>
      <w:r>
        <w:rPr>
          <w:rFonts w:ascii="宋体" w:hAnsi="宋体" w:eastAsia="宋体"/>
          <w:b w:val="0"/>
          <w:sz w:val="24"/>
        </w:rPr>
        <w:t>[6] 中国国家标准化管理委员会. 信息与文献 参考文献著录规则: GB/T 7714-2015[S]. 北京: 中国标准出版社, 2015.</w:t>
      </w:r>
    </w:p>
    <w:sectPr>
      <w:pgSz w:w="11906" w:h="16838"/>
      <w:pgMar w:top="1440" w:right="1474" w:bottom="1440" w:left="158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3F9D3" w14:textId="77777777">
      <w:r>
        <w:separator/>
      </w:r>
    </w:p>
  </w:endnote>
  <w:endnote w:type="continuationSeparator" w:id="0">
    <w:p w14:paraId="38EF1B6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DFKai-SB">
    <w:charset w:val="88"/>
    <w:family w:val="script"/>
    <w:pitch w:val="fixed"/>
    <w:sig w:usb0="00000003" w:usb1="080E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EB5D" w14:textId="77777777">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2C04EB5E" w14:textId="7777777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EB5F" w14:textId="283BD347">
    <w:pPr>
      <w:pStyle w:val="a3"/>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noProof/>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30A39" w14:textId="77777777">
      <w:r>
        <w:separator/>
      </w:r>
    </w:p>
  </w:footnote>
  <w:footnote w:type="continuationSeparator" w:id="0">
    <w:p w14:paraId="0C3524F4"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77279"/>
    <w:rsid w:val="00283AEB"/>
    <w:rsid w:val="002D2C68"/>
    <w:rsid w:val="003E28F4"/>
    <w:rsid w:val="004017A4"/>
    <w:rsid w:val="00404C1B"/>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D00F8"/>
    <w:rsid w:val="006E4B47"/>
    <w:rsid w:val="00735E04"/>
    <w:rsid w:val="007A0845"/>
    <w:rsid w:val="007E7F65"/>
    <w:rsid w:val="00804CF0"/>
    <w:rsid w:val="008233AA"/>
    <w:rsid w:val="00840819"/>
    <w:rsid w:val="00847112"/>
    <w:rsid w:val="0087039D"/>
    <w:rsid w:val="00882AD1"/>
    <w:rsid w:val="00954634"/>
    <w:rsid w:val="009A0979"/>
    <w:rsid w:val="009C1255"/>
    <w:rsid w:val="009F377B"/>
    <w:rsid w:val="00A247AB"/>
    <w:rsid w:val="00A77804"/>
    <w:rsid w:val="00AA1D81"/>
    <w:rsid w:val="00B21CBA"/>
    <w:rsid w:val="00B36150"/>
    <w:rsid w:val="00B4751C"/>
    <w:rsid w:val="00B62FE5"/>
    <w:rsid w:val="00B74C5D"/>
    <w:rsid w:val="00BB4589"/>
    <w:rsid w:val="00BD34E2"/>
    <w:rsid w:val="00BE16EA"/>
    <w:rsid w:val="00C56672"/>
    <w:rsid w:val="00C75B57"/>
    <w:rsid w:val="00CE5C25"/>
    <w:rsid w:val="00D570F5"/>
    <w:rsid w:val="00DB169B"/>
    <w:rsid w:val="00DC1EF7"/>
    <w:rsid w:val="00DE6D7B"/>
    <w:rsid w:val="00DF78E7"/>
    <w:rsid w:val="00E0516B"/>
    <w:rsid w:val="00E47070"/>
    <w:rsid w:val="00E94B67"/>
    <w:rsid w:val="00E957F2"/>
    <w:rsid w:val="00EB12B1"/>
    <w:rsid w:val="00F72284"/>
    <w:rsid w:val="00F7709C"/>
    <w:rsid w:val="00F85321"/>
    <w:rsid w:val="00F913E8"/>
    <w:rsid w:val="343447A0"/>
    <w:rsid w:val="4A9A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4EAFD"/>
  <w15:docId w15:val="{2AECEB7D-99FE-5148-AEBF-D71F5107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before="0" w:after="120"/>
      <w:ind w:firstLine="480"/>
      <w:jc w:val="both"/>
    </w:pPr>
    <w:rPr>
      <w:rFonts w:ascii="宋体" w:hAnsi="宋体" w:eastAsia="宋体"/>
      <w:kern w:val="2"/>
      <w:sz w:val="24"/>
      <w:szCs w:val="24"/>
    </w:rPr>
  </w:style>
  <w:style w:type="paragraph" w:styleId="1">
    <w:name w:val="heading 1"/>
    <w:basedOn w:val="a"/>
    <w:next w:val="a"/>
    <w:link w:val="10"/>
    <w:qFormat/>
    <w:pPr>
      <w:keepNext/>
      <w:keepLines/>
      <w:spacing w:before="200" w:after="120" w:line="360" w:lineRule="auto"/>
      <w:ind w:firstLine="0"/>
      <w:outlineLvl w:val="0"/>
    </w:pPr>
    <w:rPr>
      <w:rFonts w:ascii="黑体" w:hAnsi="黑体" w:eastAsia="黑体"/>
      <w:b/>
      <w:bCs/>
      <w:color w:val="1F4E79"/>
      <w:kern w:val="44"/>
      <w:sz w:val="32"/>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
    <w:next w:val="a"/>
    <w:uiPriority w:val="39"/>
    <w:qFormat/>
    <w:rPr>
      <w:sz w:val="28"/>
    </w:rPr>
  </w:style>
  <w:style w:type="character" w:styleId="a7">
    <w:name w:val="page number"/>
    <w:basedOn w:val="a0"/>
    <w:qFormat/>
  </w:style>
  <w:style w:type="character" w:styleId="a8">
    <w:name w:val="Hyperlink"/>
    <w:uiPriority w:val="99"/>
    <w:qFormat/>
    <w:rPr>
      <w:color w:val="000066"/>
      <w:u w:val="none"/>
    </w:rPr>
  </w:style>
  <w:style w:type="character" w:customStyle="1" w:styleId="a6">
    <w:name w:val="页眉 字符"/>
    <w:link w:val="a5"/>
    <w:qFormat/>
    <w:rPr>
      <w:kern w:val="2"/>
      <w:sz w:val="18"/>
      <w:szCs w:val="18"/>
    </w:rPr>
  </w:style>
  <w:style w:type="character" w:customStyle="1" w:styleId="a4">
    <w:name w:val="页脚 字符"/>
    <w:link w:val="a3"/>
    <w:rPr>
      <w:kern w:val="2"/>
      <w:sz w:val="18"/>
      <w:szCs w:val="18"/>
    </w:rPr>
  </w:style>
  <w:style w:type="character" w:customStyle="1" w:styleId="10">
    <w:name w:val="标题 1 字符"/>
    <w:link w:val="1"/>
    <w:rPr>
      <w:b/>
      <w:bCs/>
      <w:kern w:val="44"/>
      <w:sz w:val="44"/>
      <w:szCs w:val="44"/>
    </w:rPr>
  </w:style>
  <w:style w:type="paragraph" w:customStyle="1" w:styleId="11">
    <w:name w:val="正文1"/>
    <w:basedOn w:val="a"/>
    <w:qFormat/>
    <w:pPr>
      <w:ind w:firstLineChars="200" w:firstLine="4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87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789A4-82BB-4D88-A523-D0FECAD5D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8</cp:revision>
  <cp:lastPrinted>2026-05-21T05:09:00Z</cp:lastPrinted>
  <dcterms:created xsi:type="dcterms:W3CDTF">2026-05-19T05:12:00Z</dcterms:created>
  <dcterms:modified xsi:type="dcterms:W3CDTF">2026-05-27T02:41:00Z</dcterms:modified>
  <dc:title>M3-PI Guard作品报告</dc:title>
  <dc:subject>人工智能安全作品报告</dc:subject>
  <dc:description/>
  <cp:keywords>提示注入;智能体安全;工具调用</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F554248EBB504349A01BAC644687F4BA_12</vt:lpwstr>
  </property>
</Properties>
</file>