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Glossary</w:t>
      </w:r>
    </w:p>
    <w:p>
      <w:pPr>
        <w:spacing w:after="280"/>
      </w:pPr>
      <w:r>
        <w:rPr>
          <w:rFonts w:ascii="Calibri" w:hAnsi="Calibri" w:eastAsia="Calibri"/>
          <w:color w:val="666666"/>
          <w:sz w:val="21"/>
        </w:rPr>
        <w:t>Field-specific terms used in the manuscript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ASK: </w:t>
      </w:r>
      <w:r>
        <w:rPr>
          <w:rFonts w:ascii="Calibri" w:hAnsi="Calibri" w:eastAsia="Calibri"/>
        </w:rPr>
        <w:t>A runtime Guard decision that withholds the proposed effect until an independent confirmation decision is supplied.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Authorization regime: </w:t>
      </w:r>
      <w:r>
        <w:rPr>
          <w:rFonts w:ascii="Calibri" w:hAnsi="Calibri" w:eastAsia="Calibri"/>
        </w:rPr>
        <w:t>The procedure and information used to construct the policy visible to the online Guard.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auto_compiled: </w:t>
      </w:r>
      <w:r>
        <w:rPr>
          <w:rFonts w:ascii="Calibri" w:hAnsi="Calibri" w:eastAsia="Calibri"/>
        </w:rPr>
        <w:t>A non-oracle authorization regime compiled from trusted task context without evaluator or gold-answer fields.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broad: </w:t>
      </w:r>
      <w:r>
        <w:rPr>
          <w:rFonts w:ascii="Calibri" w:hAnsi="Calibri" w:eastAsia="Calibri"/>
        </w:rPr>
        <w:t>A stress regime that deliberately grants a wider action space than the task-specific non-oracle policy.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conflicting: </w:t>
      </w:r>
      <w:r>
        <w:rPr>
          <w:rFonts w:ascii="Calibri" w:hAnsi="Calibri" w:eastAsia="Calibri"/>
        </w:rPr>
        <w:t>A stress regime containing mutually inconsistent authorization constraints.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DENY: </w:t>
      </w:r>
      <w:r>
        <w:rPr>
          <w:rFonts w:ascii="Calibri" w:hAnsi="Calibri" w:eastAsia="Calibri"/>
        </w:rPr>
        <w:t>A runtime Guard decision that prevents the proposed effect.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exact_gold: </w:t>
      </w:r>
      <w:r>
        <w:rPr>
          <w:rFonts w:ascii="Calibri" w:hAnsi="Calibri" w:eastAsia="Calibri"/>
        </w:rPr>
        <w:t>An oracle-sensitivity regime reconstructed from evaluator-side expected-action information; it is not the deployment-realistic primary authorization regime.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Intention-to-treat (ITT): </w:t>
      </w:r>
      <w:r>
        <w:rPr>
          <w:rFonts w:ascii="Calibri" w:hAnsi="Calibri" w:eastAsia="Calibri"/>
        </w:rPr>
        <w:t>Analysis that keeps every frozen work item in its prespecified denominator, including operational failures and timeouts.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M3-full: </w:t>
      </w:r>
      <w:r>
        <w:rPr>
          <w:rFonts w:ascii="Calibri" w:hAnsi="Calibri" w:eastAsia="Calibri"/>
        </w:rPr>
        <w:t>The evaluated Guard variant combining policy enforcement with provenance, temporal/data-flow and confirmation logic.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Operational failure: </w:t>
      </w:r>
      <w:r>
        <w:rPr>
          <w:rFonts w:ascii="Calibri" w:hAnsi="Calibri" w:eastAsia="Calibri"/>
        </w:rPr>
        <w:t>A terminal provider, transport, parsing, refusal or maximum-step outcome that prevents ordinary task completion and remains in ITT analysis.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Policy-only: </w:t>
      </w:r>
      <w:r>
        <w:rPr>
          <w:rFonts w:ascii="Calibri" w:hAnsi="Calibri" w:eastAsia="Calibri"/>
        </w:rPr>
        <w:t>The ablation that applies the same policy interface without the additional provenance, temporal/data-flow and confirmation modules.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Provenance: </w:t>
      </w:r>
      <w:r>
        <w:rPr>
          <w:rFonts w:ascii="Calibri" w:hAnsi="Calibri" w:eastAsia="Calibri"/>
        </w:rPr>
        <w:t>Recorded evidence about the source and propagation of values used in a proposed tool action.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Task completion rate (TCR): </w:t>
      </w:r>
      <w:r>
        <w:rPr>
          <w:rFonts w:ascii="Calibri" w:hAnsi="Calibri" w:eastAsia="Calibri"/>
        </w:rPr>
        <w:t>The proportion of frozen benign tasks whose intended benchmark objective is completed.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underspecified: </w:t>
      </w:r>
      <w:r>
        <w:rPr>
          <w:rFonts w:ascii="Calibri" w:hAnsi="Calibri" w:eastAsia="Calibri"/>
        </w:rPr>
        <w:t>A stress regime that intentionally omits constraints needed to authorize all task-relevant actions.</w:t>
      </w:r>
    </w:p>
    <w:p>
      <w:pPr>
        <w:spacing w:after="140"/>
      </w:pPr>
      <w:r>
        <w:rPr>
          <w:rFonts w:ascii="Calibri" w:hAnsi="Calibri" w:eastAsia="Calibri"/>
          <w:b/>
        </w:rPr>
        <w:t xml:space="preserve">Unsafe effect: </w:t>
      </w:r>
      <w:r>
        <w:rPr>
          <w:rFonts w:ascii="Calibri" w:hAnsi="Calibri" w:eastAsia="Calibri"/>
        </w:rPr>
        <w:t>A benchmark-scored unauthorized state change that crosses the isolated runtime enforcement boundary.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JISA submission | Glossary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