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Highlights</w:t>
      </w:r>
    </w:p>
    <w:p>
      <w:pPr>
        <w:spacing w:after="280"/>
      </w:pPr>
      <w:r>
        <w:rPr>
          <w:rFonts w:ascii="Calibri" w:hAnsi="Calibri" w:eastAsia="Calibri"/>
          <w:color w:val="666666"/>
          <w:sz w:val="21"/>
        </w:rPr>
        <w:t>Separate editable upload file</w:t>
      </w:r>
    </w:p>
    <w:p>
      <w:pPr>
        <w:pStyle w:val="ListBullet"/>
      </w:pPr>
      <w:r>
        <w:t>Raw evaluator/scoring fields remain outside the online Guard state.</w:t>
      </w:r>
    </w:p>
    <w:p>
      <w:pPr>
        <w:pStyle w:val="ListBullet"/>
      </w:pPr>
      <w:r>
        <w:t>Exact authorization effects reverse between AgentDojo and M3-v2 utility tasks.</w:t>
      </w:r>
    </w:p>
    <w:p>
      <w:pPr>
        <w:pStyle w:val="ListBullet"/>
      </w:pPr>
      <w:r>
        <w:t>Unsafe-or-failure bounds expose risk hidden by floor-level executed effects.</w:t>
      </w:r>
    </w:p>
    <w:p>
      <w:pPr>
        <w:pStyle w:val="ListBullet"/>
      </w:pPr>
      <w:r>
        <w:t>The full package shows no stable gain over the policy package on DeepSeek.</w:t>
      </w:r>
    </w:p>
    <w:p>
      <w:pPr>
        <w:pStyle w:val="ListBullet"/>
      </w:pPr>
      <w:r>
        <w:t>Adaptive attack success rises substantially between budgets 50 and 200.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JISA submission | Highlights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