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supplementary-material"/>
    <w:p>
      <w:pPr>
        <w:pStyle w:val="Heading1"/>
        <w:keepNext/>
      </w:pPr>
      <w:r>
        <w:t xml:space="preserve">Supplementary material</w:t>
      </w:r>
    </w:p>
    <w:p>
      <w:pPr>
        <w:pStyle w:val="FirstParagraph"/>
      </w:pPr>
      <w:r>
        <w:rPr>
          <w:bCs/>
          <w:b/>
        </w:rPr>
        <w:t xml:space="preserve">Article:</w:t>
      </w:r>
      <w:r>
        <w:t xml:space="preserve"> </w:t>
      </w:r>
      <w:r>
        <w:t xml:space="preserve">Evaluating Runtime Authorization Under Context and Provenance Uncertainty for Tool-Using LLM Agents</w:t>
      </w:r>
    </w:p>
    <w:p>
      <w:pPr>
        <w:pStyle w:val="BodyText"/>
      </w:pPr>
      <w:r>
        <w:t xml:space="preserve">These six tables provide detailed results referenced by the main manuscript. They introduce no additional hypothesis family or claim beyond the analyses reported in the article.</w:t>
      </w:r>
    </w:p>
    <w:bookmarkStart w:id="20" w:name="Xce66d77d9cae9642b55d5a17ef25ebb445c8776"/>
    <w:p>
      <w:pPr>
        <w:pStyle w:val="Heading2"/>
        <w:keepNext/>
      </w:pPr>
      <w:r>
        <w:t xml:space="preserve">Supplementary Table S1. Online-state source audit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2848"/>
        <w:gridCol w:w="1948"/>
        <w:gridCol w:w="2318"/>
        <w:gridCol w:w="2246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48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Conclusion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48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Audited units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1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Independently reviewed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46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Claim use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No online gold observed on covered path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48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1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Path-scoped only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Not a runtime guard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48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10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1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Taxonomy only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Mixed or path dependent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48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1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Path-scoped caution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Inconclusive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48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1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 substantive claim</w:t>
            </w:r>
          </w:p>
        </w:tc>
      </w:tr>
    </w:tbl>
    <w:bookmarkEnd w:id="20"/>
    <w:bookmarkStart w:id="21" w:name="X9386dbd24111302fa08841e715755c27f016afe"/>
    <w:p>
      <w:pPr>
        <w:pStyle w:val="Heading2"/>
        <w:keepNext/>
      </w:pPr>
      <w:r>
        <w:t xml:space="preserve">Supplementary Table S2. Completed medium security and utility outcomes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622"/>
        <w:gridCol w:w="1622"/>
        <w:gridCol w:w="1732"/>
        <w:gridCol w:w="1515"/>
        <w:gridCol w:w="1570"/>
        <w:gridCol w:w="1299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Unsafe effects / 36 attacks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Unsafe-effect rate (Wilson 95% CI)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Tool completions / 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Tool TCR (Wilson 95% CI)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No-tool TCR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No defense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8/36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22.22% (11.72–38.08)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50.00% (31.43–68.57)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Safe prompt / spotlighting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8/36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22.22% (11.72–38.08)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11/24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45.83% (27.89–64.93)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PromptGuard (detector-only)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8/36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22.22% (11.72–38.08)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50.00% (31.43–68.57)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8/36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22.22% (11.72–38.08)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50.00% (31.43–68.57)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 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0/36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0.00% (0.00–9.64)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29.17% (14.91–49.17)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0/36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0.00% (0.00–9.64)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6/24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25.00% (12.00–44.90)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</w:tbl>
    <w:bookmarkEnd w:id="21"/>
    <w:bookmarkStart w:id="22" w:name="X6f56b9f04523f209afe60dd95792596d12ebb2f"/>
    <w:p>
      <w:pPr>
        <w:pStyle w:val="Heading2"/>
        <w:keepNext/>
      </w:pPr>
      <w:r>
        <w:t xml:space="preserve">Supplementary Table S3. Prespecified paired comparisons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2162"/>
        <w:gridCol w:w="1881"/>
        <w:gridCol w:w="1638"/>
        <w:gridCol w:w="1638"/>
        <w:gridCol w:w="2041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6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Comparison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81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Treatment minus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Exact McNemar 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Holm-adjusted 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10,000-cluster bootstrap 95% CI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 vs structural,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8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−22.22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0.0078125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0.03125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−36.11 to −8.33 pp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 vs policy-only,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8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0.00 to 0.00 pp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 vs structural, 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8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−25.00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0.03125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0.09375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−41.67 to −8.33 pp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 vs policy-only, 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8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−4.17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−12.50 to 0.00 pp</w:t>
            </w:r>
          </w:p>
        </w:tc>
      </w:tr>
    </w:tbl>
    <w:bookmarkEnd w:id="22"/>
    <w:bookmarkStart w:id="23" w:name="X271f53f8a755b82505b312d03be2407729019f7"/>
    <w:p>
      <w:pPr>
        <w:pStyle w:val="Heading2"/>
        <w:keepNext/>
      </w:pPr>
      <w:r>
        <w:t xml:space="preserve">Supplementary Table S4. Runtime burden and operational quality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507"/>
        <w:gridCol w:w="1093"/>
        <w:gridCol w:w="1276"/>
        <w:gridCol w:w="1472"/>
        <w:gridCol w:w="1253"/>
        <w:gridCol w:w="1437"/>
        <w:gridCol w:w="1322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5"/>
              </w:rPr>
              <w:t xml:space="preserve">ASK / 72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Benign ASK rate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Operational failures / 72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Provider calls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Trace-bundle cost (CNY)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Total latency p95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No defense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181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0.1821176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16.924 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Safe prompt / spotlighting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167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0.1812942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15.971 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PromptGuard (detector-only)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180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0.0986064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18.249 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249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0.2568822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21.251 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 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16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19.44%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112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0.0548220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7.897 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22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22.22%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117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0.1441772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10.701 s</w:t>
            </w:r>
          </w:p>
        </w:tc>
      </w:tr>
    </w:tbl>
    <w:bookmarkEnd w:id="23"/>
    <w:bookmarkStart w:id="24" w:name="Xb92fa3095897252d1a15549fe854cbe0cf3f153"/>
    <w:p>
      <w:pPr>
        <w:pStyle w:val="Heading2"/>
        <w:keepNext/>
      </w:pPr>
      <w:r>
        <w:t xml:space="preserve">Supplementary Table S5. Public-primary benchmark strata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2814"/>
        <w:gridCol w:w="2334"/>
        <w:gridCol w:w="2105"/>
        <w:gridCol w:w="2107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Benchmark / endpoint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M3 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M3-full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 attacks,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87/300 (29.00%)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13/300 (4.33%)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29/300 (9.67%)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 attacks,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46/300 (15.33%)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0/300 (0.00%)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9/300 (3.00%)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 benign tool,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67/97 (69.07%)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13/97 (13.40%)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13/97 (13.40%)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 benign tool,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36/71 (50.70%)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36/71 (50.70%)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36/71 (50.70%)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 benign no-tool,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79/79 (100%)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79/79 (100%)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79/79 (100%)</w:t>
            </w:r>
          </w:p>
        </w:tc>
      </w:tr>
    </w:tbl>
    <w:bookmarkEnd w:id="24"/>
    <w:bookmarkStart w:id="25" w:name="X12b92401643dc973ea9a8064328835e102f2d6a"/>
    <w:p>
      <w:pPr>
        <w:pStyle w:val="Heading2"/>
        <w:keepNext/>
      </w:pPr>
      <w:r>
        <w:t xml:space="preserve">Supplementary Table S6. Defense-aware adaptive attack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793"/>
        <w:gridCol w:w="1192"/>
        <w:gridCol w:w="1192"/>
        <w:gridCol w:w="1810"/>
        <w:gridCol w:w="2041"/>
        <w:gridCol w:w="1332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93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Model/panel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Budget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Tasks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1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Unsafe-effect successes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First-success distribution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3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Saturated?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9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Primary exploratory cost canary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10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0 (0.00%, 95% CI 0.00–32.44%)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 successes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9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Primary frozen panel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10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4 (10.00%, 95% CI 3.96–23.05%)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4 first successes by query 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9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Primary frozen panel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200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10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18 (45.00%, 95% CI 30.71–60.17%)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14 additional first successes at queries 51–200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</w:t>
            </w:r>
          </w:p>
        </w:tc>
      </w:tr>
    </w:tbl>
    <w:bookmarkEnd w:id="25"/>
    <w:bookmarkEnd w:id="26"/>
    <w:sectPr>
      <w:headerReference w:type="default" r:id="rId9"/>
      <w:footerReference w:type="default" r:id="rId10"/>
      <w:type w:val="continuous"/>
      <w:pgSz w:w="12240" w:h="15840"/>
      <w:pgMar w:top="1440" w:right="1440" w:bottom="1440" w:left="1440" w:header="708" w:footer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color w:val="5A5A5A"/>
        <w:sz w:val="16"/>
      </w:rPr>
      <w:t>Runtime Authorization for Tool-Using LLM Agents</w:t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120" w:line="276" w:lineRule="auto"/>
      <w:jc w:val="both"/>
    </w:pPr>
    <w:rPr>
      <w:rFonts w:ascii="Times New Roman" w:hAnsi="Times New Roman" w:eastAsia="Times New Roman"/>
      <w:b w:val="0"/>
      <w:color w:val="000000"/>
      <w:sz w:val="22"/>
    </w:rPr>
  </w:style>
  <w:style w:styleId="BodyText" w:type="paragraph">
    <w:name w:val="Body Text"/>
    <w:basedOn w:val="Normal"/>
    <w:link w:val="BodyTextChar"/>
    <w:pPr>
      <w:spacing w:after="120" w:before="0" w:line="276" w:lineRule="auto"/>
      <w:jc w:val="both"/>
    </w:pPr>
    <w:qFormat/>
    <w:rPr>
      <w:rFonts w:ascii="Times New Roman" w:hAnsi="Times New Roman" w:eastAsia="Times New Roman"/>
      <w:b w:val="0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before="0" w:after="120" w:line="276" w:lineRule="auto"/>
      <w:jc w:val="both"/>
    </w:pPr>
    <w:rPr>
      <w:rFonts w:ascii="Times New Roman" w:hAnsi="Times New Roman" w:eastAsia="Times New Roman"/>
      <w:b w:val="0"/>
      <w:color w:val="000000"/>
      <w:sz w:val="22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0"/>
      <w:jc w:val="center"/>
    </w:pPr>
    <w:rPr>
      <w:rFonts w:asciiTheme="majorHAnsi" w:cstheme="majorBidi" w:eastAsiaTheme="majorEastAsia" w:hAnsiTheme="majorHAnsi" w:ascii="Times New Roman" w:hAnsi="Times New Roman" w:eastAsia="Times New Roman"/>
      <w:b/>
      <w:bCs/>
      <w:color w:val="000000"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Evaluating Runtime Authorization Under Context and Provenance Uncertainty for Tool-Using LLM Agents: Supplementary material</dc:title>
  <dc:creator/>
  <cp:keywords/>
  <dcterms:created xsi:type="dcterms:W3CDTF">2026-08-20T04:45:59Z</dcterms:created>
  <dcterms:modified xsi:type="dcterms:W3CDTF">2026-08-20T04:45:59Z</dcterms:modified>
  <dc:subject>JISA supplementary tables</dc:subject>
  <cp:lastModifiedBy/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