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2026;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 —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current-evidence-and-route-decision"/>
    <w:p>
      <w:pPr>
        <w:pStyle w:val="Heading3"/>
        <w:keepNext/>
      </w:pPr>
      <w:r>
        <w:t xml:space="preserve">1.5 Current evidence and route decision</w:t>
      </w:r>
    </w:p>
    <w:p>
      <w:pPr>
        <w:pStyle w:val="FirstParagraph"/>
      </w:pPr>
      <w:r>
        <w:t xml:space="preserve">The completed medium study rejected the mechanism-paper route.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 contribution is therefore an empirical study of</w:t>
      </w:r>
      <w:r>
        <w:t xml:space="preserve"> </w:t>
      </w:r>
      <w:r>
        <w:t xml:space="preserve">authorization uncertainty and the security–utility frontier, not a claim that</w:t>
      </w:r>
      <w:r>
        <w:t xml:space="preserve"> </w:t>
      </w:r>
      <w:r>
        <w:t xml:space="preserve">M3-full is a new or state-of-the-art defense.</w:t>
      </w:r>
    </w:p>
    <w:p>
      <w:pPr>
        <w:pStyle w:val="BodyText"/>
      </w:pPr>
      <w:r>
        <w:t xml:space="preserve">The independently reproduced Public primary matrix preserves this route at</w:t>
      </w:r>
      <w:r>
        <w:t xml:space="preserve"> </w:t>
      </w:r>
      <w:r>
        <w:t xml:space="preserve">larger scale.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completed primary-model</w:t>
      </w:r>
      <w:r>
        <w:t xml:space="preserve"> </w:t>
      </w:r>
      <w:r>
        <w:t xml:space="preserve">evidence. The 1.4955% retained diagnostic fraction also exceeds the frozen 1%</w:t>
      </w:r>
      <w:r>
        <w:t xml:space="preserve"> </w:t>
      </w:r>
      <w:r>
        <w:t xml:space="preserve">clean-mechanism quality ceiling.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2026)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 —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completed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After three quota-day attempts,</w:t>
      </w:r>
      <w:r>
        <w:t xml:space="preserve"> </w:t>
      </w:r>
      <w:r>
        <w:t xml:space="preserve">any still incomplete response-less work item is retained as a terminal</w:t>
      </w:r>
      <w:r>
        <w:t xml:space="preserve"> </w:t>
      </w:r>
      <w:r>
        <w:t xml:space="preserve">diagnostic. If the 450 planned items do not become terminal within that rule,</w:t>
      </w:r>
      <w:r>
        <w:t xml:space="preserve"> </w:t>
      </w:r>
      <w:r>
        <w:t xml:space="preserve">the observed subset is reported as diagnostic and no cross-provider</w:t>
      </w:r>
      <w:r>
        <w:t xml:space="preserve"> </w:t>
      </w:r>
      <w:r>
        <w:t xml:space="preserve">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under</w:t>
      </w:r>
      <w:r>
        <w:t xml:space="preserve"> </w:t>
      </w:r>
      <w:r>
        <w:t xml:space="preserve">the ignored run directory. Exact model identity is checked in the final</w:t>
      </w:r>
      <w:r>
        <w:t xml:space="preserve"> </w:t>
      </w:r>
      <w:r>
        <w:t xml:space="preserve">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study-disposition"/>
    <w:p>
      <w:pPr>
        <w:pStyle w:val="Heading3"/>
        <w:keepNext/>
      </w:pPr>
      <w:r>
        <w:t xml:space="preserve">4.1 Medium study disposition</w:t>
      </w:r>
    </w:p>
    <w:p>
      <w:pPr>
        <w:pStyle w:val="FirstParagraph"/>
      </w:pPr>
      <w:r>
        <w:t xml:space="preserve">The completed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prespecified mechanism-paper gate failed and activated the</w:t>
      </w:r>
      <w:r>
        <w:t xml:space="preserve"> </w:t>
      </w:r>
      <w:r>
        <w:t xml:space="preserve">empirical-study fallback. M3-full passed the security-effect and deny-all</w:t>
      </w:r>
      <w:r>
        <w:t xml:space="preserve"> </w:t>
      </w:r>
      <w:r>
        <w:t xml:space="preserve">checks, but failed the utility point non-inferiority check and showed no</w:t>
      </w:r>
      <w:r>
        <w:t xml:space="preserve"> </w:t>
      </w:r>
      <w:r>
        <w:t xml:space="preserve">security gain over M3 policy-only. These negative gates are retained rather</w:t>
      </w:r>
      <w:r>
        <w:t xml:space="preserve"> </w:t>
      </w:r>
      <w:r>
        <w:t xml:space="preserve">than removed or redefined.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</w:t>
      </w:r>
      <w:r>
        <w:t xml:space="preserve"> </w:t>
      </w:r>
      <w:r>
        <w:t xml:space="preserve">mechanism-paper victory. Both M3 variants eliminated the eight unsafe effects</w:t>
      </w:r>
      <w:r>
        <w:t xml:space="preserve"> </w:t>
      </w:r>
      <w:r>
        <w:t xml:space="preserve">observed under the structural condition, but they also completed substantially</w:t>
      </w:r>
      <w:r>
        <w:t xml:space="preserve"> </w:t>
      </w:r>
      <w:r>
        <w:t xml:space="preserve">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prospectively frozen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mechanismredirect-decision"/>
    <w:p>
      <w:pPr>
        <w:pStyle w:val="Heading3"/>
        <w:keepNext/>
      </w:pPr>
      <w:r>
        <w:t xml:space="preserve">4.3 Mechanism/redirect decision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365"/>
        <w:gridCol w:w="2477"/>
        <w:gridCol w:w="351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frozen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Paper route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Defense-mechanism route not supported</w:t>
            </w:r>
          </w:p>
        </w:tc>
      </w:tr>
    </w:tbl>
    <w:p>
      <w:pPr>
        <w:pStyle w:val="BodyText"/>
      </w:pPr>
      <w:r>
        <w:t xml:space="preserve">The active manuscript route is therefore an empirical study of authorization</w:t>
      </w:r>
      <w:r>
        <w:t xml:space="preserve"> </w:t>
      </w:r>
      <w:r>
        <w:t xml:space="preserve">uncertainty and the security–utility trade-off. A defense-mechanism or SOTA</w:t>
      </w:r>
      <w:r>
        <w:t xml:space="preserve"> </w:t>
      </w:r>
      <w:r>
        <w:t xml:space="preserve">claim is prohibited.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frozen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gate therefore passed its structural security-effect check but</w:t>
      </w:r>
      <w:r>
        <w:t xml:space="preserve"> </w:t>
      </w:r>
      <w:r>
        <w:t xml:space="preserve">failed utility non-inferiority and module gain. The active route remains the</w:t>
      </w:r>
      <w:r>
        <w:t xml:space="preserve"> </w:t>
      </w:r>
      <w:r>
        <w:t xml:space="preserve">empirical security–utility fallback.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completed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 completed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2026;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partially probes but does not</w:t>
      </w:r>
      <w:r>
        <w:t xml:space="preserve"> </w:t>
      </w:r>
      <w:r>
        <w:t xml:space="preserve">eliminate this dependence.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Third,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Fourth,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Fifth,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 even before the new paired estimates</w:t>
      </w:r>
      <w:r>
        <w:t xml:space="preserve"> </w:t>
      </w:r>
      <w:r>
        <w:t xml:space="preserve">are filled. First, agent-security benchmarks should publish the fields visible</w:t>
      </w:r>
      <w:r>
        <w:t xml:space="preserve"> </w:t>
      </w:r>
      <w:r>
        <w:t xml:space="preserve">to the online Guard and keep evaluator-only 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Gemini will determine whether the direction is visible across providers;</w:t>
      </w:r>
      <w:r>
        <w:t xml:space="preserve"> </w:t>
      </w:r>
      <w:r>
        <w:t xml:space="preserve">it cannot remove the unfavorable DeepSeek findings or broaden them beyond the</w:t>
      </w:r>
      <w:r>
        <w:t xml:space="preserve"> </w:t>
      </w:r>
      <w:r>
        <w:t xml:space="preserve">tested settings.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938"/>
        <w:gridCol w:w="2094"/>
        <w:gridCol w:w="2628"/>
        <w:gridCol w:w="270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451"/>
        <w:gridCol w:w="1012"/>
        <w:gridCol w:w="1165"/>
        <w:gridCol w:w="1269"/>
        <w:gridCol w:w="1300"/>
        <w:gridCol w:w="1037"/>
        <w:gridCol w:w="96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21"/>
        <w:gridCol w:w="1188"/>
        <w:gridCol w:w="1267"/>
        <w:gridCol w:w="1285"/>
        <w:gridCol w:w="1097"/>
        <w:gridCol w:w="1285"/>
        <w:gridCol w:w="1016"/>
        <w:gridCol w:w="110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377"/>
        <w:gridCol w:w="1900"/>
        <w:gridCol w:w="1300"/>
        <w:gridCol w:w="1540"/>
        <w:gridCol w:w="1540"/>
        <w:gridCol w:w="1703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2026.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https://proceedings.neurips.cc/paper_files/paper/2025/hash/77f3b26c7907aa27b207df9b9d43f29a-Abstract-Conference.html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, 1–12.</w:t>
      </w:r>
      <w:r>
        <w:t xml:space="preserve"> </w:t>
      </w:r>
      <w:hyperlink r:id="rId127">
        <w:r>
          <w:rPr>
            <w:rStyle w:val="Hyperlink"/>
          </w:rPr>
          <w:t xml:space="preserve">https://doi.org/10.1145/3744916.3764546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3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145/3744916.3764546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113" Type="http://schemas.openxmlformats.org/officeDocument/2006/relationships/hyperlink" Target="https://proceedings.neurips.cc/paper_files/paper/2025/hash/77f3b26c7907aa27b207df9b9d43f29a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3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145/3744916.3764546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113" Type="http://schemas.openxmlformats.org/officeDocument/2006/relationships/hyperlink" Target="https://proceedings.neurips.cc/paper_files/paper/2025/hash/77f3b26c7907aa27b207df9b9d43f29a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2026-08-20T03:24:33Z</dcterms:created>
  <dcterms:modified xsi:type="dcterms:W3CDTF">2026-08-20T03:24:33Z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