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上下文与来源不确定性下工具型大语言模型智能体的运行时授权评估"/>
    <w:p>
      <w:pPr>
        <w:pStyle w:val="Heading1"/>
        <w:keepNext/>
      </w:pPr>
      <w:r>
        <w:rPr>
          <w:rFonts w:ascii="Times New Roman" w:hAnsi="Times New Roman" w:eastAsia="Microsoft YaHei"/>
          <w:lang w:val="en-US" w:eastAsia="zh-CN"/>
        </w:rPr>
        <w:t xml:space="preserve">上下文与来源不确定性下工具型大语言模型智能体的运行时授权评估</w:t>
      </w:r>
    </w:p>
    <w:p>
      <w:pPr>
        <w:pStyle w:val="FirstParagraph"/>
      </w:pPr>
      <w:r>
        <w:rPr>
          <w:iCs/>
          <w:rFonts w:ascii="Times New Roman" w:hAnsi="Times New Roman" w:eastAsia="SimSun"/>
          <w:i/>
          <w:lang w:val="en-US" w:eastAsia="zh-CN"/>
        </w:rPr>
        <w:t xml:space="preserve">英文对照题目：Evaluating Runtime Authorization Under Context and Provenance Uncertainty for Tool-Using LLM Agents</w:t>
      </w:r>
    </w:p>
    <w:p>
      <w:pPr>
        <w:pStyle w:val="BodyText"/>
      </w:pPr>
      <w:r>
        <w:rPr>
          <w:bCs/>
          <w:rFonts w:ascii="Times New Roman" w:hAnsi="Times New Roman" w:eastAsia="SimSun"/>
          <w:b/>
          <w:lang w:val="en-US" w:eastAsia="zh-CN"/>
        </w:rPr>
        <w:t xml:space="preserve">文稿定位：</w:t>
      </w:r>
      <w:r>
        <w:rPr>
          <w:rFonts w:ascii="Times New Roman" w:hAnsi="Times New Roman" w:eastAsia="SimSun"/>
          <w:lang w:val="en-US" w:eastAsia="zh-CN"/>
        </w:rPr>
        <w:t xml:space="preserve"> </w:t>
      </w:r>
      <w:r>
        <w:rPr>
          <w:rFonts w:ascii="Times New Roman" w:hAnsi="Times New Roman" w:eastAsia="SimSun"/>
          <w:lang w:val="en-US" w:eastAsia="zh-CN"/>
        </w:rPr>
        <w:t xml:space="preserve">本文为当前英文工作稿的简体中文对照版，用于作者内部核对、团队交流和方法审阅。统计数字、样本分母、结论边界与英文稿保持一致；正式向 JISA 投稿时仍以英文稿为准。Gemini 跨厂商样本尚未完成，因此本文不作跨厂商泛化主张。</w:t>
      </w:r>
    </w:p>
    <w:bookmarkStart w:id="20" w:name="摘要"/>
    <w:p>
      <w:pPr>
        <w:pStyle w:val="Heading2"/>
        <w:keepNext/>
      </w:pPr>
      <w:r>
        <w:rPr>
          <w:rFonts w:ascii="Times New Roman" w:hAnsi="Times New Roman" w:eastAsia="Microsoft YaHei"/>
          <w:lang w:val="en-US" w:eastAsia="zh-CN"/>
        </w:rPr>
        <w:t xml:space="preserve">摘要</w:t>
      </w:r>
    </w:p>
    <w:p>
      <w:pPr>
        <w:pStyle w:val="FirstParagraph"/>
      </w:pPr>
      <w:r>
        <w:rPr>
          <w:rFonts w:ascii="Times New Roman" w:hAnsi="Times New Roman" w:eastAsia="SimSun"/>
          <w:lang w:val="en-US" w:eastAsia="zh-CN"/>
        </w:rPr>
        <w:t xml:space="preserve">工具型大语言模型智能体能够把提示注入转化为外部动作，但安全性测量结果会受到运行时授权方式的显著影响。本研究将原始评估器字段和评分字段排除在在线状态之外，系统改变授权制度，包括明确标注为 oracle 敏感性条件的金标准派生授权，并联合测量不安全效应、任务完成、确认与阻断负担、运行失败、时延及成本。</w:t>
      </w:r>
    </w:p>
    <w:p>
      <w:pPr>
        <w:pStyle w:val="BodyText"/>
      </w:pPr>
      <w:r>
        <w:rPr>
          <w:rFonts w:ascii="Times New Roman" w:hAnsi="Times New Roman" w:eastAsia="SimSun"/>
          <w:lang w:val="en-US" w:eastAsia="zh-CN"/>
        </w:rPr>
        <w:t xml:space="preserve">我们重新分析了 7,353 条 DeepSeek 公共实验记录以及 40 个防御感知自适应攻击任务。在包含 5,082 条记录的 V4 Pro Public 矩阵中，M3-full 在 600 个攻击任务上产生 38 个不安全效应，policy-only 为 13 个；两者在 168 个良性工具任务上均完成 49 个。包含 1,791 条记录的 V4 Flash 矩阵呈现相同安全方向：M3-full 与 policy-only 分别为 24/400 和 12/400。自适应搜索在预算 50 时发现 4/40 个任务的首个不安全效应，在预算 200 时增至 18/40。</w:t>
      </w:r>
    </w:p>
    <w:p>
      <w:pPr>
        <w:pStyle w:val="BodyText"/>
      </w:pPr>
      <w:r>
        <w:rPr>
          <w:rFonts w:ascii="Times New Roman" w:hAnsi="Times New Roman" w:eastAsia="SimSun"/>
          <w:lang w:val="en-US" w:eastAsia="zh-CN"/>
        </w:rPr>
        <w:t xml:space="preserve">新的冻结实验在 180 个配对的 AgentDojo 和 M3-v2 案例上，将 policy-only 与 M3-full 分别同非 oracle 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、oracle 敏感性的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授权交叉，共形成 900 个 DeepSeek V4 Pro 工作项。四个主单元中三个为 0/100 个不安全效应，另一个为 1/100。由</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后，policy-only 的良性工具任务完成率下降 21.67 个百分点，M3-full 下降 15.00 个百分点。</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消除了</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，却使含</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的记录比例升至 45.00%–48.89%，失败率升至约 24%，p95 时延升至约 19.5 秒。</w:t>
      </w:r>
    </w:p>
    <w:p>
      <w:pPr>
        <w:pStyle w:val="BodyText"/>
      </w:pPr>
      <w:r>
        <w:rPr>
          <w:rFonts w:ascii="Times New Roman" w:hAnsi="Times New Roman" w:eastAsia="SimSun"/>
          <w:lang w:val="en-US" w:eastAsia="zh-CN"/>
        </w:rPr>
        <w:t xml:space="preserve">因此，即使攻击率表面稳定，授权构造仍会改变安全—效用测量。本文评估的来源感知扩展相对 policy-only 未表现出稳定增益。Gemini 样本仍处于待完成状态，当前结果不支持任何跨厂商结论。</w:t>
      </w:r>
    </w:p>
    <w:p>
      <w:pPr>
        <w:pStyle w:val="BodyText"/>
      </w:pPr>
      <w:r>
        <w:rPr>
          <w:bCs/>
          <w:rFonts w:ascii="Times New Roman" w:hAnsi="Times New Roman" w:eastAsia="SimSun"/>
          <w:b/>
          <w:lang w:val="en-US" w:eastAsia="zh-CN"/>
        </w:rPr>
        <w:t xml:space="preserve">关键词：</w:t>
      </w:r>
      <w:r>
        <w:rPr>
          <w:rFonts w:ascii="Times New Roman" w:hAnsi="Times New Roman" w:eastAsia="SimSun"/>
          <w:lang w:val="en-US" w:eastAsia="zh-CN"/>
        </w:rPr>
        <w:t xml:space="preserve"> </w:t>
      </w:r>
      <w:r>
        <w:rPr>
          <w:rFonts w:ascii="Times New Roman" w:hAnsi="Times New Roman" w:eastAsia="SimSun"/>
          <w:lang w:val="en-US" w:eastAsia="zh-CN"/>
        </w:rPr>
        <w:t xml:space="preserve">提示注入；大语言模型智能体；运行时授权；来源追踪；安全—效用权衡</w:t>
      </w:r>
    </w:p>
    <w:bookmarkEnd w:id="20"/>
    <w:bookmarkStart w:id="27" w:name="引言"/>
    <w:p>
      <w:pPr>
        <w:pStyle w:val="Heading2"/>
        <w:keepNext/>
      </w:pPr>
      <w:r>
        <w:rPr>
          <w:rFonts w:ascii="Times New Roman" w:hAnsi="Times New Roman" w:eastAsia="Microsoft YaHei"/>
          <w:lang w:val="en-US" w:eastAsia="zh-CN"/>
        </w:rPr>
        <w:t xml:space="preserve">1. 引言</w:t>
      </w:r>
    </w:p>
    <w:bookmarkStart w:id="21" w:name="研究动机"/>
    <w:p>
      <w:pPr>
        <w:pStyle w:val="Heading3"/>
        <w:keepNext/>
      </w:pPr>
      <w:r>
        <w:rPr>
          <w:rFonts w:ascii="Times New Roman" w:hAnsi="Times New Roman" w:eastAsia="Microsoft YaHei"/>
          <w:lang w:val="en-US" w:eastAsia="zh-CN"/>
        </w:rPr>
        <w:t xml:space="preserve">1.1 研究动机</w:t>
      </w:r>
    </w:p>
    <w:p>
      <w:pPr>
        <w:pStyle w:val="FirstParagraph"/>
      </w:pPr>
      <w:r>
        <w:rPr>
          <w:rFonts w:ascii="Times New Roman" w:hAnsi="Times New Roman" w:eastAsia="SimSun"/>
          <w:lang w:val="en-US" w:eastAsia="zh-CN"/>
        </w:rPr>
        <w:t xml:space="preserve">工具型语言模型智能体会把生成文本进一步转化为动作。当恶意指令被嵌入消息、文档、网页、记忆条目或工具响应时，间接提示注入就可能诱导智能体发送数据、修改状态或调用高权限操作。AgentDojo 和 InjecAgent 等公开环境表明，智能体安全不能只被当作文本分类问题，而必须与任务效用联合评估</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 Zhan et al. 2024)</w:t>
      </w:r>
      <w:r>
        <w:rPr>
          <w:rFonts w:ascii="Times New Roman" w:hAnsi="Times New Roman" w:eastAsia="SimSun"/>
          <w:lang w:val="en-US" w:eastAsia="zh-CN"/>
        </w:rPr>
        <w:t xml:space="preserve">。VIGIL、DRIFT、Task Shield、IPIGuard 与 AgentSpec 等运行时系统因此在效应提交之前加入验证、任务一致性、依赖关系、信息流或策略检查</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H. Wang, Poskitt, and Sun 2026; An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现有研究也意味着宽泛的新颖性主张难以成立。verify-before-commit、上下文策略生成、最小权限、规划依赖检查以及控制流/数据流隔离均已有代表性工作</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Tsai and Bagdasarian 2025; Shi et al. 2025; An et al. 2025; Debenedetti et al. 2025)</w:t>
      </w:r>
      <w:r>
        <w:rPr>
          <w:rFonts w:ascii="Times New Roman" w:hAnsi="Times New Roman" w:eastAsia="SimSun"/>
          <w:lang w:val="en-US" w:eastAsia="zh-CN"/>
        </w:rPr>
        <w:t xml:space="preserve">。近期预印本进一步审计上下文影响、比较授权图与参数来源执行图，或在下一动作决策中控制信息来源的权限</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 P. Wang, Li, and Tian 2026; Liao 2026)</w:t>
      </w:r>
      <w:r>
        <w:rPr>
          <w:rFonts w:ascii="Times New Roman" w:hAnsi="Times New Roman" w:eastAsia="SimSun"/>
          <w:lang w:val="en-US" w:eastAsia="zh-CN"/>
        </w:rPr>
        <w:t xml:space="preserve">。使用证据支撑权限图并进行形式化运行时授权的 FAVA 又进一步压缩了机制层面的创新空间</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。因此，本文不再讨论</w:t>
      </w:r>
      <w:r>
        <w:rPr>
          <w:rFonts w:ascii="Times New Roman" w:hAnsi="Times New Roman" w:eastAsia="SimSun"/>
          <w:lang w:val="en-US" w:eastAsia="zh-CN"/>
        </w:rPr>
        <w:t xml:space="preserve">“</w:t>
      </w:r>
      <w:r>
        <w:rPr>
          <w:rFonts w:ascii="Times New Roman" w:hAnsi="Times New Roman" w:eastAsia="SimSun"/>
          <w:lang w:val="en-US" w:eastAsia="zh-CN"/>
        </w:rPr>
        <w:t xml:space="preserve">是否首次构建了来源感知 Guard</w:t>
      </w:r>
      <w:r>
        <w:rPr>
          <w:rFonts w:ascii="Times New Roman" w:hAnsi="Times New Roman" w:eastAsia="SimSun"/>
          <w:lang w:val="en-US" w:eastAsia="zh-CN"/>
        </w:rPr>
        <w:t xml:space="preserve">”</w:t>
      </w:r>
      <w:r>
        <w:rPr>
          <w:rFonts w:ascii="Times New Roman" w:hAnsi="Times New Roman" w:eastAsia="SimSun"/>
          <w:lang w:val="en-US" w:eastAsia="zh-CN"/>
        </w:rPr>
        <w:t xml:space="preserve">，而是检验授权信息、执行结构和失败处理是否会实质改变工具型智能体所测得的安全性与效用。</w:t>
      </w:r>
    </w:p>
    <w:bookmarkEnd w:id="21"/>
    <w:bookmarkStart w:id="22" w:name="评估缺口"/>
    <w:p>
      <w:pPr>
        <w:pStyle w:val="Heading3"/>
        <w:keepNext/>
      </w:pPr>
      <w:r>
        <w:rPr>
          <w:rFonts w:ascii="Times New Roman" w:hAnsi="Times New Roman" w:eastAsia="Microsoft YaHei"/>
          <w:lang w:val="en-US" w:eastAsia="zh-CN"/>
        </w:rPr>
        <w:t xml:space="preserve">1.2 评估缺口</w:t>
      </w:r>
    </w:p>
    <w:p>
      <w:pPr>
        <w:pStyle w:val="FirstParagraph"/>
      </w:pPr>
      <w:r>
        <w:rPr>
          <w:rFonts w:ascii="Times New Roman" w:hAnsi="Times New Roman" w:eastAsia="SimSun"/>
          <w:lang w:val="en-US" w:eastAsia="zh-CN"/>
        </w:rPr>
        <w:t xml:space="preserve">智能体安全实验中有三组概念容易被混淆。</w:t>
      </w:r>
    </w:p>
    <w:p>
      <w:pPr>
        <w:pStyle w:val="BodyText"/>
      </w:pPr>
      <w:r>
        <w:rPr>
          <w:rFonts w:ascii="Times New Roman" w:hAnsi="Times New Roman" w:eastAsia="SimSun"/>
          <w:lang w:val="en-US" w:eastAsia="zh-CN"/>
        </w:rPr>
        <w:t xml:space="preserve">第一，检测器分数或模型拒答并不等于外部效应确实没有发生。结构化提示、spotlighting、指令层级和注入检测可以降低模型服从恶意指令的概率，但这些方法本身不能证明未授权动作没有越过运行时边界</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第二，授权制度本身就是实验处理的一部分。若 Guard 能看到逐样本答案、评估标签，或根据期望答案重建的精确策略，它解决的问题就不同于只接收可信用户意图，并在执行前编译非 oracle 策略的 Guard。现有源码审计不能证明这类泄漏在整个领域普遍存在，因此本文将问题界定为</w:t>
      </w:r>
      <w:r>
        <w:rPr>
          <w:rFonts w:ascii="Times New Roman" w:hAnsi="Times New Roman" w:eastAsia="SimSun"/>
          <w:lang w:val="en-US" w:eastAsia="zh-CN"/>
        </w:rPr>
        <w:t xml:space="preserve">“</w:t>
      </w:r>
      <w:r>
        <w:rPr>
          <w:rFonts w:ascii="Times New Roman" w:hAnsi="Times New Roman" w:eastAsia="SimSun"/>
          <w:lang w:val="en-US" w:eastAsia="zh-CN"/>
        </w:rPr>
        <w:t xml:space="preserve">授权不确定性</w:t>
      </w:r>
      <w:r>
        <w:rPr>
          <w:rFonts w:ascii="Times New Roman" w:hAnsi="Times New Roman" w:eastAsia="SimSun"/>
          <w:lang w:val="en-US" w:eastAsia="zh-CN"/>
        </w:rPr>
        <w:t xml:space="preserve">”</w:t>
      </w:r>
      <w:r>
        <w:rPr>
          <w:rFonts w:ascii="Times New Roman" w:hAnsi="Times New Roman" w:eastAsia="SimSun"/>
          <w:lang w:val="en-US" w:eastAsia="zh-CN"/>
        </w:rPr>
        <w:t xml:space="preserve">，而非预设一个领域普遍存在的答案键缺陷。</w:t>
      </w:r>
    </w:p>
    <w:p>
      <w:pPr>
        <w:pStyle w:val="BodyText"/>
      </w:pPr>
      <w:r>
        <w:rPr>
          <w:rFonts w:ascii="Times New Roman" w:hAnsi="Times New Roman" w:eastAsia="SimSun"/>
          <w:lang w:val="en-US" w:eastAsia="zh-CN"/>
        </w:rPr>
        <w:t xml:space="preserve">第三，较低的攻击成功率可能只是通过阻断有用工作换来的。运行时防御必须在统一的意向性分析（intention-to-treat，ITT）分母下，同时报告已执行的不安全效应、良性任务完成、确认负担、运行失败、时延、token 和成本。当攻击者能够针对公开防御接口进行优化时，静态攻击也不足以支撑稳健性主张</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bookmarkEnd w:id="22"/>
    <w:bookmarkStart w:id="23" w:name="研究问题"/>
    <w:p>
      <w:pPr>
        <w:pStyle w:val="Heading3"/>
        <w:keepNext/>
      </w:pPr>
      <w:r>
        <w:rPr>
          <w:rFonts w:ascii="Times New Roman" w:hAnsi="Times New Roman" w:eastAsia="Microsoft YaHei"/>
          <w:lang w:val="en-US" w:eastAsia="zh-CN"/>
        </w:rPr>
        <w:t xml:space="preserve">1.3 研究问题</w:t>
      </w:r>
    </w:p>
    <w:p>
      <w:pPr>
        <w:pStyle w:val="FirstParagraph"/>
      </w:pPr>
      <w:r>
        <w:rPr>
          <w:rFonts w:ascii="Times New Roman" w:hAnsi="Times New Roman" w:eastAsia="SimSun"/>
          <w:lang w:val="en-US" w:eastAsia="zh-CN"/>
        </w:rPr>
        <w:t xml:space="preserve">本文回答三个研究问题：</w:t>
      </w:r>
    </w:p>
    <w:p>
      <w:pPr>
        <w:numPr>
          <w:ilvl w:val="0"/>
          <w:numId w:val="1001"/>
        </w:numPr>
        <w:pStyle w:val="Compact"/>
      </w:pPr>
      <w:r>
        <w:rPr>
          <w:bCs/>
          <w:rFonts w:ascii="Times New Roman" w:hAnsi="Times New Roman" w:eastAsia="SimSun"/>
          <w:b/>
          <w:lang w:val="en-US" w:eastAsia="zh-CN"/>
        </w:rPr>
        <w:t xml:space="preserve">RQ1：授权制度。</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会如何改变不安全效应、良性任务完成以及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w:t>
      </w:r>
    </w:p>
    <w:p>
      <w:pPr>
        <w:numPr>
          <w:ilvl w:val="0"/>
          <w:numId w:val="1001"/>
        </w:numPr>
        <w:pStyle w:val="Compact"/>
      </w:pPr>
      <w:r>
        <w:rPr>
          <w:bCs/>
          <w:rFonts w:ascii="Times New Roman" w:hAnsi="Times New Roman" w:eastAsia="SimSun"/>
          <w:b/>
          <w:lang w:val="en-US" w:eastAsia="zh-CN"/>
        </w:rPr>
        <w:t xml:space="preserve">RQ2：模块贡献。</w:t>
      </w:r>
      <w:r>
        <w:rPr>
          <w:rFonts w:ascii="Times New Roman" w:hAnsi="Times New Roman" w:eastAsia="SimSun"/>
          <w:lang w:val="en-US" w:eastAsia="zh-CN"/>
        </w:rPr>
        <w:t xml:space="preserve"> </w:t>
      </w:r>
      <w:r>
        <w:rPr>
          <w:rFonts w:ascii="Times New Roman" w:hAnsi="Times New Roman" w:eastAsia="SimSun"/>
          <w:lang w:val="en-US" w:eastAsia="zh-CN"/>
        </w:rPr>
        <w:t xml:space="preserve">在相同运行时和策略基础上，来源追踪、时序/数据流约束和确认模块是否能在 policy-only 之外产生安全增益，其运行代价是什么？</w:t>
      </w:r>
    </w:p>
    <w:p>
      <w:pPr>
        <w:numPr>
          <w:ilvl w:val="0"/>
          <w:numId w:val="1001"/>
        </w:numPr>
        <w:pStyle w:val="Compact"/>
      </w:pPr>
      <w:r>
        <w:rPr>
          <w:bCs/>
          <w:rFonts w:ascii="Times New Roman" w:hAnsi="Times New Roman" w:eastAsia="SimSun"/>
          <w:b/>
          <w:lang w:val="en-US" w:eastAsia="zh-CN"/>
        </w:rPr>
        <w:t xml:space="preserve">RQ3：外部有效性与自适应预算。</w:t>
      </w:r>
      <w:r>
        <w:rPr>
          <w:rFonts w:ascii="Times New Roman" w:hAnsi="Times New Roman" w:eastAsia="SimSun"/>
          <w:lang w:val="en-US" w:eastAsia="zh-CN"/>
        </w:rPr>
        <w:t xml:space="preserve"> </w:t>
      </w:r>
      <w:r>
        <w:rPr>
          <w:rFonts w:ascii="Times New Roman" w:hAnsi="Times New Roman" w:eastAsia="SimSun"/>
          <w:lang w:val="en-US" w:eastAsia="zh-CN"/>
        </w:rPr>
        <w:t xml:space="preserve">观察到的方向在 AgentDojo、M3-v2、第二厂商模型以及已完成的防御感知预算 50/200 下是否一致？</w:t>
      </w:r>
    </w:p>
    <w:bookmarkEnd w:id="23"/>
    <w:bookmarkStart w:id="24" w:name="研究设计"/>
    <w:p>
      <w:pPr>
        <w:pStyle w:val="Heading3"/>
        <w:keepNext/>
      </w:pPr>
      <w:r>
        <w:rPr>
          <w:rFonts w:ascii="Times New Roman" w:hAnsi="Times New Roman" w:eastAsia="Microsoft YaHei"/>
          <w:lang w:val="en-US" w:eastAsia="zh-CN"/>
        </w:rPr>
        <w:t xml:space="preserve">1.4 研究设计</w:t>
      </w:r>
    </w:p>
    <w:p>
      <w:pPr>
        <w:pStyle w:val="FirstParagraph"/>
      </w:pPr>
      <w:r>
        <w:rPr>
          <w:rFonts w:ascii="Times New Roman" w:hAnsi="Times New Roman" w:eastAsia="SimSun"/>
          <w:lang w:val="en-US" w:eastAsia="zh-CN"/>
        </w:rPr>
        <w:t xml:space="preserve">M3 采用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三态运行时决策；在线投影排除仅供评估使用的字段；自动路径满足权限单调性；参数来源被显式记录；权限扩张需要独立确认。主要配对实验将 policy-only 与 M3-full 分别同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交叉。嵌套子集增加三种授权压力制度；跨厂商子集增加一个同行评审的结构化基线。超时、解析失败、拒答、达到最大步骤和服务商故障均保留在 ITT 分母中。</w:t>
      </w:r>
    </w:p>
    <w:p>
      <w:pPr>
        <w:pStyle w:val="BodyText"/>
      </w:pPr>
      <w:r>
        <w:rPr>
          <w:rFonts w:ascii="Times New Roman" w:hAnsi="Times New Roman" w:eastAsia="SimSun"/>
          <w:lang w:val="en-US" w:eastAsia="zh-CN"/>
        </w:rPr>
        <w:t xml:space="preserve">新的主样本包含 180 个配对案例和 900 个 DeepSeek V4 Pro 工作项；嵌套的 90 案例 Gemini 3.6 Flash 计划包含 450 个工作项。研究另行复用已经完成的 480 条中型实验、5,082 条 Pro Public 矩阵、1,791 条 Flash Public 矩阵以及 40 个任务在预算 50/200 下的自适应证据。所有实验均禁止服务商托管工具和真实外部效应。</w:t>
      </w:r>
    </w:p>
    <w:bookmarkEnd w:id="24"/>
    <w:bookmarkStart w:id="25" w:name="实证动机与论文定位"/>
    <w:p>
      <w:pPr>
        <w:pStyle w:val="Heading3"/>
        <w:keepNext/>
      </w:pPr>
      <w:r>
        <w:rPr>
          <w:rFonts w:ascii="Times New Roman" w:hAnsi="Times New Roman" w:eastAsia="Microsoft YaHei"/>
          <w:lang w:val="en-US" w:eastAsia="zh-CN"/>
        </w:rPr>
        <w:t xml:space="preserve">1.5 实证动机与论文定位</w:t>
      </w:r>
    </w:p>
    <w:p>
      <w:pPr>
        <w:pStyle w:val="FirstParagraph"/>
      </w:pPr>
      <w:r>
        <w:rPr>
          <w:rFonts w:ascii="Times New Roman" w:hAnsi="Times New Roman" w:eastAsia="SimSun"/>
          <w:lang w:val="en-US" w:eastAsia="zh-CN"/>
        </w:rPr>
        <w:t xml:space="preserve">已经完成的中型证伪实验不支持增量机制主张。相对结构化条件，M3-full 将不安全效应从 8/36 降至 0/36，但 M3 policy-only 同样为 0/36。良性工具任务完成由结构化条件的 12/24 降至 M3-full 的 6/24，违反预注册的非劣界限。该结果更适合支持授权不确定性和安全—效用前沿的实证研究，而非</w:t>
      </w:r>
      <w:r>
        <w:rPr>
          <w:rFonts w:ascii="Times New Roman" w:hAnsi="Times New Roman" w:eastAsia="SimSun"/>
          <w:lang w:val="en-US" w:eastAsia="zh-CN"/>
        </w:rPr>
        <w:t xml:space="preserve">“</w:t>
      </w:r>
      <w:r>
        <w:rPr>
          <w:rFonts w:ascii="Times New Roman" w:hAnsi="Times New Roman" w:eastAsia="SimSun"/>
          <w:lang w:val="en-US" w:eastAsia="zh-CN"/>
        </w:rPr>
        <w:t xml:space="preserve">新的或最先进的防御</w:t>
      </w:r>
      <w:r>
        <w:rPr>
          <w:rFonts w:ascii="Times New Roman" w:hAnsi="Times New Roman" w:eastAsia="SimSun"/>
          <w:lang w:val="en-US" w:eastAsia="zh-CN"/>
        </w:rPr>
        <w:t xml:space="preserve">”</w:t>
      </w:r>
      <w:r>
        <w:rPr>
          <w:rFonts w:ascii="Times New Roman" w:hAnsi="Times New Roman" w:eastAsia="SimSun"/>
          <w:lang w:val="en-US" w:eastAsia="zh-CN"/>
        </w:rPr>
        <w:t xml:space="preserve">叙事。</w:t>
      </w:r>
    </w:p>
    <w:p>
      <w:pPr>
        <w:pStyle w:val="BodyText"/>
      </w:pPr>
      <w:r>
        <w:rPr>
          <w:rFonts w:ascii="Times New Roman" w:hAnsi="Times New Roman" w:eastAsia="SimSun"/>
          <w:lang w:val="en-US" w:eastAsia="zh-CN"/>
        </w:rPr>
        <w:t xml:space="preserve">规模更大且经过独立复算的 Public 主矩阵进一步强化了这一判断。在 600 个攻击任务上，M3-full 将结构化条件的 133 个不安全效应降至 38 个，但 policy-only 仅为 13 个；在 168 个良性工具任务上，两种 M3 变体均完成 49 个，结构化条件完成 103 个。因此，在主模型证据中，完整机制相对 policy-only 既没有增量安全价值，也没有效用优势。1.4955% 的保留诊断比例还超过了预设的 1% clean-mechanism 质量阈值。</w:t>
      </w:r>
    </w:p>
    <w:p>
      <w:pPr>
        <w:pStyle w:val="BodyText"/>
      </w:pPr>
      <w:r>
        <w:rPr>
          <w:rFonts w:ascii="Times New Roman" w:hAnsi="Times New Roman" w:eastAsia="SimSun"/>
          <w:lang w:val="en-US" w:eastAsia="zh-CN"/>
        </w:rPr>
        <w:t xml:space="preserve">40 任务自适应面板在预算 50 时发现 4/40 个首个不安全效应，在预算 200 时发现 18/40。该结果证明预算敏感性明显，但不能证明攻击已经饱和。因此，本文只报告截至查询 200 的 first-success 曲线，不提出预算 500 或 2,000 的结论。</w:t>
      </w:r>
    </w:p>
    <w:p>
      <w:pPr>
        <w:pStyle w:val="BodyText"/>
      </w:pPr>
      <w:r>
        <w:rPr>
          <w:rFonts w:ascii="Times New Roman" w:hAnsi="Times New Roman" w:eastAsia="SimSun"/>
          <w:lang w:val="en-US" w:eastAsia="zh-CN"/>
        </w:rPr>
        <w:t xml:space="preserve">前瞻冻结的授权制度实验目前已在 DeepSeek 上完成。四个主单元的不安全效应均处于零或近零水平，但精确授权降低了良性工具任务完成，用更多</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取代</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，并提高失败率与时延。M3-full 相对 policy-only 未表现出稳定的增量安全或效用优势。所有不利结果均被保留；Gemini 尚未完成，因而当前不能支持跨厂商主张。</w:t>
      </w:r>
    </w:p>
    <w:bookmarkEnd w:id="25"/>
    <w:bookmarkStart w:id="26" w:name="研究贡献"/>
    <w:p>
      <w:pPr>
        <w:pStyle w:val="Heading3"/>
        <w:keepNext/>
      </w:pPr>
      <w:r>
        <w:rPr>
          <w:rFonts w:ascii="Times New Roman" w:hAnsi="Times New Roman" w:eastAsia="Microsoft YaHei"/>
          <w:lang w:val="en-US" w:eastAsia="zh-CN"/>
        </w:rPr>
        <w:t xml:space="preserve">1.6 研究贡献</w:t>
      </w:r>
    </w:p>
    <w:p>
      <w:pPr>
        <w:pStyle w:val="FirstParagraph"/>
      </w:pPr>
      <w:r>
        <w:rPr>
          <w:rFonts w:ascii="Times New Roman" w:hAnsi="Times New Roman" w:eastAsia="SimSun"/>
          <w:lang w:val="en-US" w:eastAsia="zh-CN"/>
        </w:rPr>
        <w:t xml:space="preserve">现有证据支持四项边界明确的贡献：</w:t>
      </w:r>
    </w:p>
    <w:p>
      <w:pPr>
        <w:numPr>
          <w:ilvl w:val="0"/>
          <w:numId w:val="1002"/>
        </w:numPr>
        <w:pStyle w:val="Compact"/>
      </w:pPr>
      <w:r>
        <w:rPr>
          <w:rFonts w:ascii="Times New Roman" w:hAnsi="Times New Roman" w:eastAsia="SimSun"/>
          <w:lang w:val="en-US" w:eastAsia="zh-CN"/>
        </w:rPr>
        <w:t xml:space="preserve">提出一套评估器/在线状态契约，使授权可见性显式化，并阻止仅供评估的字段进入运行时状态；</w:t>
      </w:r>
    </w:p>
    <w:p>
      <w:pPr>
        <w:numPr>
          <w:ilvl w:val="0"/>
          <w:numId w:val="1002"/>
        </w:numPr>
        <w:pStyle w:val="Compact"/>
      </w:pPr>
      <w:r>
        <w:rPr>
          <w:rFonts w:ascii="Times New Roman" w:hAnsi="Times New Roman" w:eastAsia="SimSun"/>
          <w:lang w:val="en-US" w:eastAsia="zh-CN"/>
        </w:rPr>
        <w:t xml:space="preserve">通过配对安全—效用评估，直接比较 policy-only 与完整来源/时序/确认执行；</w:t>
      </w:r>
    </w:p>
    <w:p>
      <w:pPr>
        <w:numPr>
          <w:ilvl w:val="0"/>
          <w:numId w:val="1002"/>
        </w:numPr>
        <w:pStyle w:val="Compact"/>
      </w:pPr>
      <w:r>
        <w:rPr>
          <w:rFonts w:ascii="Times New Roman" w:hAnsi="Times New Roman" w:eastAsia="SimSun"/>
          <w:lang w:val="en-US" w:eastAsia="zh-CN"/>
        </w:rPr>
        <w:t xml:space="preserve">在 ITT 设计中记录官方模型身份、请求前承诺、隔离效应与终态诊断，仅对未获得响应的失败行进行有限恢复；</w:t>
      </w:r>
    </w:p>
    <w:p>
      <w:pPr>
        <w:numPr>
          <w:ilvl w:val="0"/>
          <w:numId w:val="1002"/>
        </w:numPr>
        <w:pStyle w:val="Compact"/>
      </w:pPr>
      <w:r>
        <w:rPr>
          <w:rFonts w:ascii="Times New Roman" w:hAnsi="Times New Roman" w:eastAsia="SimSun"/>
          <w:lang w:val="en-US" w:eastAsia="zh-CN"/>
        </w:rPr>
        <w:t xml:space="preserve">实证刻画授权制度、确认负担、基准/任务异质性以及防御感知攻击预算。</w:t>
      </w:r>
    </w:p>
    <w:p>
      <w:pPr>
        <w:pStyle w:val="FirstParagraph"/>
      </w:pPr>
      <w:r>
        <w:rPr>
          <w:rFonts w:ascii="Times New Roman" w:hAnsi="Times New Roman" w:eastAsia="SimSun"/>
          <w:lang w:val="en-US" w:eastAsia="zh-CN"/>
        </w:rPr>
        <w:t xml:space="preserve">本文不宣称 first、only 或 SOTA。预印本仅用于界定当代创新边界，不被当作已经同行评审的效果证据。</w:t>
      </w:r>
    </w:p>
    <w:bookmarkEnd w:id="26"/>
    <w:bookmarkEnd w:id="27"/>
    <w:bookmarkStart w:id="33" w:name="相关工作"/>
    <w:p>
      <w:pPr>
        <w:pStyle w:val="Heading2"/>
        <w:keepNext/>
      </w:pPr>
      <w:r>
        <w:rPr>
          <w:rFonts w:ascii="Times New Roman" w:hAnsi="Times New Roman" w:eastAsia="Microsoft YaHei"/>
          <w:lang w:val="en-US" w:eastAsia="zh-CN"/>
        </w:rPr>
        <w:t xml:space="preserve">2. 相关工作</w:t>
      </w:r>
    </w:p>
    <w:bookmarkStart w:id="28" w:name="运行时验证与任务一致性"/>
    <w:p>
      <w:pPr>
        <w:pStyle w:val="Heading3"/>
        <w:keepNext/>
      </w:pPr>
      <w:r>
        <w:rPr>
          <w:rFonts w:ascii="Times New Roman" w:hAnsi="Times New Roman" w:eastAsia="Microsoft YaHei"/>
          <w:lang w:val="en-US" w:eastAsia="zh-CN"/>
        </w:rPr>
        <w:t xml:space="preserve">2.1 运行时验证与任务一致性</w:t>
      </w:r>
    </w:p>
    <w:p>
      <w:pPr>
        <w:pStyle w:val="FirstParagraph"/>
      </w:pPr>
      <w:r>
        <w:rPr>
          <w:rFonts w:ascii="Times New Roman" w:hAnsi="Times New Roman" w:eastAsia="SimSun"/>
          <w:lang w:val="en-US" w:eastAsia="zh-CN"/>
        </w:rPr>
        <w:t xml:space="preserve">VIGIL 为工具流注入实现 verify-before-commit 协议，并提出包含 959 个案例的 SIREN 基准</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w:t>
      </w:r>
      <w:r>
        <w:rPr>
          <w:rFonts w:ascii="Times New Roman" w:hAnsi="Times New Roman" w:eastAsia="SimSun"/>
          <w:lang w:val="en-US" w:eastAsia="zh-CN"/>
        </w:rPr>
        <w:t xml:space="preserve">。它是与 M3 最接近的同行评审结构化对照，因为二者都在效应提交前介入。DRIFT 则把动态规则、控制层/数据层约束与记忆流隔离结合起来</w:t>
      </w:r>
      <w:r>
        <w:rPr>
          <w:rFonts w:ascii="Times New Roman" w:hAnsi="Times New Roman" w:eastAsia="SimSun"/>
          <w:lang w:val="en-US" w:eastAsia="zh-CN"/>
        </w:rPr>
        <w:t xml:space="preserve"> </w:t>
      </w:r>
      <w:r>
        <w:rPr>
          <w:rFonts w:ascii="Times New Roman" w:hAnsi="Times New Roman" w:eastAsia="SimSun"/>
          <w:lang w:val="en-US" w:eastAsia="zh-CN"/>
        </w:rPr>
        <w:t xml:space="preserve">(Li et al. 2025)</w:t>
      </w:r>
      <w:r>
        <w:rPr>
          <w:rFonts w:ascii="Times New Roman" w:hAnsi="Times New Roman" w:eastAsia="SimSun"/>
          <w:lang w:val="en-US" w:eastAsia="zh-CN"/>
        </w:rPr>
        <w:t xml:space="preserve">。Task Shield 验证指令和工具调用是否服务于用户声明的目标</w:t>
      </w:r>
      <w:r>
        <w:rPr>
          <w:rFonts w:ascii="Times New Roman" w:hAnsi="Times New Roman" w:eastAsia="SimSun"/>
          <w:lang w:val="en-US" w:eastAsia="zh-CN"/>
        </w:rPr>
        <w:t xml:space="preserve"> </w:t>
      </w:r>
      <w:r>
        <w:rPr>
          <w:rFonts w:ascii="Times New Roman" w:hAnsi="Times New Roman" w:eastAsia="SimSun"/>
          <w:lang w:val="en-US" w:eastAsia="zh-CN"/>
        </w:rPr>
        <w:t xml:space="preserve">(Jia et al. 2025)</w:t>
      </w:r>
      <w:r>
        <w:rPr>
          <w:rFonts w:ascii="Times New Roman" w:hAnsi="Times New Roman" w:eastAsia="SimSun"/>
          <w:lang w:val="en-US" w:eastAsia="zh-CN"/>
        </w:rPr>
        <w:t xml:space="preserve">。这些工作意味着，M3 不能声称首次提出提交前验证、动态信息流检查或任务一致性验证。</w:t>
      </w:r>
    </w:p>
    <w:p>
      <w:pPr>
        <w:pStyle w:val="BodyText"/>
      </w:pPr>
      <w:r>
        <w:rPr>
          <w:rFonts w:ascii="Times New Roman" w:hAnsi="Times New Roman" w:eastAsia="SimSun"/>
          <w:lang w:val="en-US" w:eastAsia="zh-CN"/>
        </w:rPr>
        <w:t xml:space="preserve">PlanGuard 是相邻的预印本工作，它将规划与不可信上下文隔离，并实施分层工具和参数一致性检查</w:t>
      </w:r>
      <w:r>
        <w:rPr>
          <w:rFonts w:ascii="Times New Roman" w:hAnsi="Times New Roman" w:eastAsia="SimSun"/>
          <w:lang w:val="en-US" w:eastAsia="zh-CN"/>
        </w:rPr>
        <w:t xml:space="preserve"> </w:t>
      </w:r>
      <w:r>
        <w:rPr>
          <w:rFonts w:ascii="Times New Roman" w:hAnsi="Times New Roman" w:eastAsia="SimSun"/>
          <w:lang w:val="en-US" w:eastAsia="zh-CN"/>
        </w:rPr>
        <w:t xml:space="preserve">(Gong and Deng 2026)</w:t>
      </w:r>
      <w:r>
        <w:rPr>
          <w:rFonts w:ascii="Times New Roman" w:hAnsi="Times New Roman" w:eastAsia="SimSun"/>
          <w:lang w:val="en-US" w:eastAsia="zh-CN"/>
        </w:rPr>
        <w:t xml:space="preserve">。因此，规划一致性也不是空白研究空间。本文使用这些工作来定义对照类别与机制边界，而不是支撑 first-or-only 主张。</w:t>
      </w:r>
    </w:p>
    <w:bookmarkEnd w:id="28"/>
    <w:bookmarkStart w:id="29" w:name="权限来源与信息流"/>
    <w:p>
      <w:pPr>
        <w:pStyle w:val="Heading3"/>
        <w:keepNext/>
      </w:pPr>
      <w:r>
        <w:rPr>
          <w:rFonts w:ascii="Times New Roman" w:hAnsi="Times New Roman" w:eastAsia="Microsoft YaHei"/>
          <w:lang w:val="en-US" w:eastAsia="zh-CN"/>
        </w:rPr>
        <w:t xml:space="preserve">2.2 权限、来源与信息流</w:t>
      </w:r>
    </w:p>
    <w:p>
      <w:pPr>
        <w:pStyle w:val="FirstParagraph"/>
      </w:pPr>
      <w:r>
        <w:rPr>
          <w:rFonts w:ascii="Times New Roman" w:hAnsi="Times New Roman" w:eastAsia="SimSun"/>
          <w:lang w:val="en-US" w:eastAsia="zh-CN"/>
        </w:rPr>
        <w:t xml:space="preserve">Progent 用符号化的工具—参数规则表达最小权限，其 arXiv v3 明确区分可自动缩小的权限和需要批准的权限扩张</w:t>
      </w:r>
      <w:r>
        <w:rPr>
          <w:rFonts w:ascii="Times New Roman" w:hAnsi="Times New Roman" w:eastAsia="SimSun"/>
          <w:lang w:val="en-US" w:eastAsia="zh-CN"/>
        </w:rPr>
        <w:t xml:space="preserve"> </w:t>
      </w:r>
      <w:r>
        <w:rPr>
          <w:rFonts w:ascii="Times New Roman" w:hAnsi="Times New Roman" w:eastAsia="SimSun"/>
          <w:lang w:val="en-US" w:eastAsia="zh-CN"/>
        </w:rPr>
        <w:t xml:space="preserve">(Shi et al. 2025)</w:t>
      </w:r>
      <w:r>
        <w:rPr>
          <w:rFonts w:ascii="Times New Roman" w:hAnsi="Times New Roman" w:eastAsia="SimSun"/>
          <w:lang w:val="en-US" w:eastAsia="zh-CN"/>
        </w:rPr>
        <w:t xml:space="preserve">，与 M3 的权限单调性和确认设计直接重叠。发表于 EMNLP 2025 的 IPIGuard 通过规划的工具依赖图约束执行</w:t>
      </w:r>
      <w:r>
        <w:rPr>
          <w:rFonts w:ascii="Times New Roman" w:hAnsi="Times New Roman" w:eastAsia="SimSun"/>
          <w:lang w:val="en-US" w:eastAsia="zh-CN"/>
        </w:rPr>
        <w:t xml:space="preserve"> </w:t>
      </w:r>
      <w:r>
        <w:rPr>
          <w:rFonts w:ascii="Times New Roman" w:hAnsi="Times New Roman" w:eastAsia="SimSun"/>
          <w:lang w:val="en-US" w:eastAsia="zh-CN"/>
        </w:rPr>
        <w:t xml:space="preserve">(An et al. 2025)</w:t>
      </w:r>
      <w:r>
        <w:rPr>
          <w:rFonts w:ascii="Times New Roman" w:hAnsi="Times New Roman" w:eastAsia="SimSun"/>
          <w:lang w:val="en-US" w:eastAsia="zh-CN"/>
        </w:rPr>
        <w:t xml:space="preserve">；CaMeL 分离可信控制流和数据流，并利用 capability 阻止未授权信息流</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2025)</w:t>
      </w:r>
      <w:r>
        <w:rPr>
          <w:rFonts w:ascii="Times New Roman" w:hAnsi="Times New Roman" w:eastAsia="SimSun"/>
          <w:lang w:val="en-US" w:eastAsia="zh-CN"/>
        </w:rPr>
        <w:t xml:space="preserve">。这些系统已经覆盖了来源感知运行时必须正视的权限、依赖和信息流设计空间。</w:t>
      </w:r>
    </w:p>
    <w:p>
      <w:pPr>
        <w:pStyle w:val="BodyText"/>
      </w:pPr>
      <w:r>
        <w:rPr>
          <w:rFonts w:ascii="Times New Roman" w:hAnsi="Times New Roman" w:eastAsia="SimSun"/>
          <w:lang w:val="en-US" w:eastAsia="zh-CN"/>
        </w:rPr>
        <w:t xml:space="preserve">2026 年 7 月发布的 FAVA 预印本把自然语言任务转换为权限中间表示，再降级为证据支撑的权限图，并在效应执行前调用 SMT 授权器</w:t>
      </w:r>
      <w:r>
        <w:rPr>
          <w:rFonts w:ascii="Times New Roman" w:hAnsi="Times New Roman" w:eastAsia="SimSun"/>
          <w:lang w:val="en-US" w:eastAsia="zh-CN"/>
        </w:rPr>
        <w:t xml:space="preserve"> </w:t>
      </w:r>
      <w:r>
        <w:rPr>
          <w:rFonts w:ascii="Times New Roman" w:hAnsi="Times New Roman" w:eastAsia="SimSun"/>
          <w:lang w:val="en-US" w:eastAsia="zh-CN"/>
        </w:rPr>
        <w:t xml:space="preserve">(Y. Zhang et al. 2026)</w:t>
      </w:r>
      <w:r>
        <w:rPr>
          <w:rFonts w:ascii="Times New Roman" w:hAnsi="Times New Roman" w:eastAsia="SimSun"/>
          <w:lang w:val="en-US" w:eastAsia="zh-CN"/>
        </w:rPr>
        <w:t xml:space="preserve">。它进一步缩小了围绕结构化授权和数据流感知权限图的机制创新空间。本文的差异在于把授权制度本身设为配对实验因素，并联合测量已执行不安全效应、良性效用、确认/阻断负担和运行失败。</w:t>
      </w:r>
    </w:p>
    <w:p>
      <w:pPr>
        <w:pStyle w:val="BodyText"/>
      </w:pPr>
      <w:r>
        <w:rPr>
          <w:rFonts w:ascii="Times New Roman" w:hAnsi="Times New Roman" w:eastAsia="SimSun"/>
          <w:lang w:val="en-US" w:eastAsia="zh-CN"/>
        </w:rPr>
        <w:t xml:space="preserve">ARGUS 和 AuthGraph 两项 2026 年预印本与来源感知授权更直接重叠。ARGUS 为依赖上下文的决策构建影响—来源图</w:t>
      </w:r>
      <w:r>
        <w:rPr>
          <w:rFonts w:ascii="Times New Roman" w:hAnsi="Times New Roman" w:eastAsia="SimSun"/>
          <w:lang w:val="en-US" w:eastAsia="zh-CN"/>
        </w:rPr>
        <w:t xml:space="preserve"> </w:t>
      </w:r>
      <w:r>
        <w:rPr>
          <w:rFonts w:ascii="Times New Roman" w:hAnsi="Times New Roman" w:eastAsia="SimSun"/>
          <w:lang w:val="en-US" w:eastAsia="zh-CN"/>
        </w:rPr>
        <w:t xml:space="preserve">(Weng et al. 2026)</w:t>
      </w:r>
      <w:r>
        <w:rPr>
          <w:rFonts w:ascii="Times New Roman" w:hAnsi="Times New Roman" w:eastAsia="SimSun"/>
          <w:lang w:val="en-US" w:eastAsia="zh-CN"/>
        </w:rPr>
        <w:t xml:space="preserve">；AuthGraph 比较隔离上下文中得到的授权图与参数来源执行图</w:t>
      </w:r>
      <w:r>
        <w:rPr>
          <w:rFonts w:ascii="Times New Roman" w:hAnsi="Times New Roman" w:eastAsia="SimSun"/>
          <w:lang w:val="en-US" w:eastAsia="zh-CN"/>
        </w:rPr>
        <w:t xml:space="preserve"> </w:t>
      </w:r>
      <w:r>
        <w:rPr>
          <w:rFonts w:ascii="Times New Roman" w:hAnsi="Times New Roman" w:eastAsia="SimSun"/>
          <w:lang w:val="en-US" w:eastAsia="zh-CN"/>
        </w:rPr>
        <w:t xml:space="preserve">(P. Wang, Li, and Tian 2026)</w:t>
      </w:r>
      <w:r>
        <w:rPr>
          <w:rFonts w:ascii="Times New Roman" w:hAnsi="Times New Roman" w:eastAsia="SimSun"/>
          <w:lang w:val="en-US" w:eastAsia="zh-CN"/>
        </w:rPr>
        <w:t xml:space="preserve">。因此，M3 不能被描述为首个参数来源或来源感知授权防御。由于二者在本文中不被视为已同行评审工作，其报告结果只用于界定当代主张边界。</w:t>
      </w:r>
    </w:p>
    <w:p>
      <w:pPr>
        <w:pStyle w:val="BodyText"/>
      </w:pPr>
      <w:r>
        <w:rPr>
          <w:rFonts w:ascii="Times New Roman" w:hAnsi="Times New Roman" w:eastAsia="SimSun"/>
          <w:lang w:val="en-US" w:eastAsia="zh-CN"/>
        </w:rPr>
        <w:t xml:space="preserve">《Auditing Provenance Sensitivity in LLM Agent Action Selection》是尤其接近的 2026 年测量工作：它保持任务内容和策略不变，仅改变来源权限，并测量动作选择是否变化</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。该设计比本文的执行效应研究更窄，却再次说明必须区分证据相关性与授权。本文把这一问题扩展到完整工具轨迹、配对 Guard 条件、良性效用、</w:t>
      </w:r>
      <w:r>
        <w:rPr>
          <w:rStyle w:val="VerbatimChar"/>
          <w:rFonts w:ascii="Times New Roman" w:hAnsi="Times New Roman" w:eastAsia="SimSun"/>
          <w:lang w:val="en-US" w:eastAsia="zh-CN"/>
        </w:rPr>
        <w:t xml:space="preserve">ASK/DENY</w:t>
      </w:r>
      <w:r>
        <w:rPr>
          <w:rFonts w:ascii="Times New Roman" w:hAnsi="Times New Roman" w:eastAsia="SimSun"/>
          <w:lang w:val="en-US" w:eastAsia="zh-CN"/>
        </w:rPr>
        <w:t xml:space="preserve"> </w:t>
      </w:r>
      <w:r>
        <w:rPr>
          <w:rFonts w:ascii="Times New Roman" w:hAnsi="Times New Roman" w:eastAsia="SimSun"/>
          <w:lang w:val="en-US" w:eastAsia="zh-CN"/>
        </w:rPr>
        <w:t xml:space="preserve">负担和运行失败。</w:t>
      </w:r>
    </w:p>
    <w:p>
      <w:pPr>
        <w:pStyle w:val="BodyText"/>
      </w:pPr>
      <w:r>
        <w:rPr>
          <w:rFonts w:ascii="Times New Roman" w:hAnsi="Times New Roman" w:eastAsia="SimSun"/>
          <w:lang w:val="en-US" w:eastAsia="zh-CN"/>
        </w:rPr>
        <w:t xml:space="preserve">因此，当前可辩护的贡献主要是方法与实证：检验授权信息本身是否改变所测安全与效用；通过运行时投影排除评估字段；在配对条件下比较 policy-only 与完整来源/时序/确认机制；并在统一证据契约下量化</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、运行失败和执行效应。</w:t>
      </w:r>
    </w:p>
    <w:bookmarkEnd w:id="29"/>
    <w:bookmarkStart w:id="30" w:name="提示层防御与执行层结果"/>
    <w:p>
      <w:pPr>
        <w:pStyle w:val="Heading3"/>
        <w:keepNext/>
      </w:pPr>
      <w:r>
        <w:rPr>
          <w:rFonts w:ascii="Times New Roman" w:hAnsi="Times New Roman" w:eastAsia="Microsoft YaHei"/>
          <w:lang w:val="en-US" w:eastAsia="zh-CN"/>
        </w:rPr>
        <w:t xml:space="preserve">2.3 提示层防御与执行层结果</w:t>
      </w:r>
    </w:p>
    <w:p>
      <w:pPr>
        <w:pStyle w:val="FirstParagraph"/>
      </w:pPr>
      <w:r>
        <w:rPr>
          <w:rFonts w:ascii="Times New Roman" w:hAnsi="Times New Roman" w:eastAsia="SimSun"/>
          <w:lang w:val="en-US" w:eastAsia="zh-CN"/>
        </w:rPr>
        <w:t xml:space="preserve">结构化查询、spotlighting、指令层级和注入检测器作用于提示、表示或模型输出层</w:t>
      </w:r>
      <w:r>
        <w:rPr>
          <w:rFonts w:ascii="Times New Roman" w:hAnsi="Times New Roman" w:eastAsia="SimSun"/>
          <w:lang w:val="en-US" w:eastAsia="zh-CN"/>
        </w:rPr>
        <w:t xml:space="preserve"> </w:t>
      </w:r>
      <w:r>
        <w:rPr>
          <w:rFonts w:ascii="Times New Roman" w:hAnsi="Times New Roman" w:eastAsia="SimSun"/>
          <w:lang w:val="en-US" w:eastAsia="zh-CN"/>
        </w:rPr>
        <w:t xml:space="preserve">(S. Chen et al. 2025; Hines et al. 2024; Wallace et al. 2024; Y. Chen et al. 2025)</w:t>
      </w:r>
      <w:r>
        <w:rPr>
          <w:rFonts w:ascii="Times New Roman" w:hAnsi="Times New Roman" w:eastAsia="SimSun"/>
          <w:lang w:val="en-US" w:eastAsia="zh-CN"/>
        </w:rPr>
        <w:t xml:space="preserve">。这些方法是相关基线，但检测分数与模型服从程度不等同于执行效应。本文记录动作是否越过运行时边界并改变沙箱状态，同时保留良性任务完成率。否则，系统可能因拒绝有用动作或在尝试效应前失败而看似安全。</w:t>
      </w:r>
    </w:p>
    <w:bookmarkEnd w:id="30"/>
    <w:bookmarkStart w:id="31" w:name="基准与自适应评估"/>
    <w:p>
      <w:pPr>
        <w:pStyle w:val="Heading3"/>
        <w:keepNext/>
      </w:pPr>
      <w:r>
        <w:rPr>
          <w:rFonts w:ascii="Times New Roman" w:hAnsi="Times New Roman" w:eastAsia="Microsoft YaHei"/>
          <w:lang w:val="en-US" w:eastAsia="zh-CN"/>
        </w:rPr>
        <w:t xml:space="preserve">2.4 基准与自适应评估</w:t>
      </w:r>
    </w:p>
    <w:p>
      <w:pPr>
        <w:pStyle w:val="FirstParagraph"/>
      </w:pPr>
      <w:r>
        <w:rPr>
          <w:rFonts w:ascii="Times New Roman" w:hAnsi="Times New Roman" w:eastAsia="SimSun"/>
          <w:lang w:val="en-US" w:eastAsia="zh-CN"/>
        </w:rPr>
        <w:t xml:space="preserve">AgentDojo 提供动态安全和效用任务，是本文的主要公共基准</w:t>
      </w:r>
      <w:r>
        <w:rPr>
          <w:rFonts w:ascii="Times New Roman" w:hAnsi="Times New Roman" w:eastAsia="SimSun"/>
          <w:lang w:val="en-US" w:eastAsia="zh-CN"/>
        </w:rPr>
        <w:t xml:space="preserve"> </w:t>
      </w:r>
      <w:r>
        <w:rPr>
          <w:rFonts w:ascii="Times New Roman" w:hAnsi="Times New Roman" w:eastAsia="SimSun"/>
          <w:lang w:val="en-US" w:eastAsia="zh-CN"/>
        </w:rPr>
        <w:t xml:space="preserve">(Debenedetti et al. 2024)</w:t>
      </w:r>
      <w:r>
        <w:rPr>
          <w:rFonts w:ascii="Times New Roman" w:hAnsi="Times New Roman" w:eastAsia="SimSun"/>
          <w:lang w:val="en-US" w:eastAsia="zh-CN"/>
        </w:rPr>
        <w:t xml:space="preserve">。InjecAgent 提供面向工具集成智能体的间接提示注入集合</w:t>
      </w:r>
      <w:r>
        <w:rPr>
          <w:rFonts w:ascii="Times New Roman" w:hAnsi="Times New Roman" w:eastAsia="SimSun"/>
          <w:lang w:val="en-US" w:eastAsia="zh-CN"/>
        </w:rPr>
        <w:t xml:space="preserve"> </w:t>
      </w:r>
      <w:r>
        <w:rPr>
          <w:rFonts w:ascii="Times New Roman" w:hAnsi="Times New Roman" w:eastAsia="SimSun"/>
          <w:lang w:val="en-US" w:eastAsia="zh-CN"/>
        </w:rPr>
        <w:t xml:space="preserve">(Zhan et al. 2024)</w:t>
      </w:r>
      <w:r>
        <w:rPr>
          <w:rFonts w:ascii="Times New Roman" w:hAnsi="Times New Roman" w:eastAsia="SimSun"/>
          <w:lang w:val="en-US" w:eastAsia="zh-CN"/>
        </w:rPr>
        <w:t xml:space="preserve">，ASB 则扩展了场景和防御方法分类</w:t>
      </w:r>
      <w:r>
        <w:rPr>
          <w:rFonts w:ascii="Times New Roman" w:hAnsi="Times New Roman" w:eastAsia="SimSun"/>
          <w:lang w:val="en-US" w:eastAsia="zh-CN"/>
        </w:rPr>
        <w:t xml:space="preserve"> </w:t>
      </w:r>
      <w:r>
        <w:rPr>
          <w:rFonts w:ascii="Times New Roman" w:hAnsi="Times New Roman" w:eastAsia="SimSun"/>
          <w:lang w:val="en-US" w:eastAsia="zh-CN"/>
        </w:rPr>
        <w:t xml:space="preserve">(H. Zhang et al. 2025)</w:t>
      </w:r>
      <w:r>
        <w:rPr>
          <w:rFonts w:ascii="Times New Roman" w:hAnsi="Times New Roman" w:eastAsia="SimSun"/>
          <w:lang w:val="en-US" w:eastAsia="zh-CN"/>
        </w:rPr>
        <w:t xml:space="preserve">。公共扩展保留基准的唯一任务身份，不通过复制良性案例制造更大的分母。</w:t>
      </w:r>
    </w:p>
    <w:p>
      <w:pPr>
        <w:pStyle w:val="BodyText"/>
      </w:pPr>
      <w:r>
        <w:rPr>
          <w:rFonts w:ascii="Times New Roman" w:hAnsi="Times New Roman" w:eastAsia="SimSun"/>
          <w:lang w:val="en-US" w:eastAsia="zh-CN"/>
        </w:rPr>
        <w:t xml:space="preserve">静态攻击不足以支撑稳健性主张。《The Attacker Moves Second》认为，防御感知攻击者应针对防御设计优化，而不是重复固定攻击集合</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。本文的自适应面板只公开</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ALLOW/ASK/DENY</w:t>
      </w:r>
      <w:r>
        <w:rPr>
          <w:rFonts w:ascii="Times New Roman" w:hAnsi="Times New Roman" w:eastAsia="SimSun"/>
          <w:lang w:val="en-US" w:eastAsia="zh-CN"/>
        </w:rPr>
        <w:t xml:space="preserve"> </w:t>
      </w:r>
      <w:r>
        <w:rPr>
          <w:rFonts w:ascii="Times New Roman" w:hAnsi="Times New Roman" w:eastAsia="SimSun"/>
          <w:lang w:val="en-US" w:eastAsia="zh-CN"/>
        </w:rPr>
        <w:t xml:space="preserve">和执行后不安全效应反馈，在冻结任务与预设查询预算下搜索并报告首个成功分布。由于该工作仍为预印本，本文只把它作为协议动机，不将其表述为同行评审定理。</w:t>
      </w:r>
    </w:p>
    <w:bookmarkEnd w:id="31"/>
    <w:bookmarkStart w:id="32" w:name="定位小结"/>
    <w:p>
      <w:pPr>
        <w:pStyle w:val="Heading3"/>
        <w:keepNext/>
      </w:pPr>
      <w:r>
        <w:rPr>
          <w:rFonts w:ascii="Times New Roman" w:hAnsi="Times New Roman" w:eastAsia="Microsoft YaHei"/>
          <w:lang w:val="en-US" w:eastAsia="zh-CN"/>
        </w:rPr>
        <w:t xml:space="preserve">2.5 定位小结</w:t>
      </w:r>
    </w:p>
    <w:p>
      <w:pPr>
        <w:pStyle w:val="FirstParagraph"/>
      </w:pPr>
      <w:r>
        <w:rPr>
          <w:rFonts w:ascii="Times New Roman" w:hAnsi="Times New Roman" w:eastAsia="SimSun"/>
          <w:lang w:val="en-US" w:eastAsia="zh-CN"/>
        </w:rPr>
        <w:t xml:space="preserve">M3 不被定位为首个运行时 Guard、首个来源系统或最先进防御。中型实验已经表明，M3-full 在安全性上没有优于 M3 policy-only，并且未满足良性工具任务的非劣要求。本文的重点转为研究非 oracle 授权、来源感知执行、确认、运行失败处理、基准选择和自适应攻击预算如何共同塑造安全—效用前沿。</w:t>
      </w:r>
    </w:p>
    <w:bookmarkEnd w:id="32"/>
    <w:bookmarkEnd w:id="33"/>
    <w:bookmarkStart w:id="47" w:name="方法"/>
    <w:p>
      <w:pPr>
        <w:pStyle w:val="Heading2"/>
        <w:keepNext/>
      </w:pPr>
      <w:r>
        <w:rPr>
          <w:rFonts w:ascii="Times New Roman" w:hAnsi="Times New Roman" w:eastAsia="Microsoft YaHei"/>
          <w:lang w:val="en-US" w:eastAsia="zh-CN"/>
        </w:rPr>
        <w:t xml:space="preserve">3. 方法</w:t>
      </w:r>
    </w:p>
    <w:bookmarkStart w:id="34" w:name="研究设计与研究问题"/>
    <w:p>
      <w:pPr>
        <w:pStyle w:val="Heading3"/>
        <w:keepNext/>
      </w:pPr>
      <w:r>
        <w:rPr>
          <w:rFonts w:ascii="Times New Roman" w:hAnsi="Times New Roman" w:eastAsia="Microsoft YaHei"/>
          <w:lang w:val="en-US" w:eastAsia="zh-CN"/>
        </w:rPr>
        <w:t xml:space="preserve">3.1 研究设计与研究问题</w:t>
      </w:r>
    </w:p>
    <w:p>
      <w:pPr>
        <w:pStyle w:val="FirstParagraph"/>
      </w:pPr>
      <w:r>
        <w:rPr>
          <w:rFonts w:ascii="Times New Roman" w:hAnsi="Times New Roman" w:eastAsia="SimSun"/>
          <w:lang w:val="en-US" w:eastAsia="zh-CN"/>
        </w:rPr>
        <w:t xml:space="preserve">本文对工具型语言模型智能体的运行时授权开展配对实证研究。设计首先分离提供给在线 Guard 的信息与离线评分字段，再在保持任务、攻击、服务商、模型、工具环境和评估器不变的条件下改变授权制度与 Guard 机制。</w:t>
      </w:r>
    </w:p>
    <w:p>
      <w:pPr>
        <w:pStyle w:val="BodyText"/>
      </w:pPr>
      <w:r>
        <w:rPr>
          <w:rFonts w:ascii="Times New Roman" w:hAnsi="Times New Roman" w:eastAsia="SimSun"/>
          <w:lang w:val="en-US" w:eastAsia="zh-CN"/>
        </w:rPr>
        <w:t xml:space="preserve">研究问题与第 1.3 节一致：RQ1 关注授权制度，RQ2 关注完整机制相对 policy-only 的增量价值与代价，RQ3 关注跨基准、跨模型和预算 50/200 的方向稳定性。正面结果不是停止或结项条件；即使</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影响很小、M3-full 低于 policy-only，或第二厂商方向不同，预定分析仍会保留。</w:t>
      </w:r>
    </w:p>
    <w:bookmarkEnd w:id="34"/>
    <w:bookmarkStart w:id="35" w:name="威胁模型与安全边界"/>
    <w:p>
      <w:pPr>
        <w:pStyle w:val="Heading3"/>
        <w:keepNext/>
      </w:pPr>
      <w:r>
        <w:rPr>
          <w:rFonts w:ascii="Times New Roman" w:hAnsi="Times New Roman" w:eastAsia="Microsoft YaHei"/>
          <w:lang w:val="en-US" w:eastAsia="zh-CN"/>
        </w:rPr>
        <w:t xml:space="preserve">3.2 威胁模型与安全边界</w:t>
      </w:r>
    </w:p>
    <w:p>
      <w:pPr>
        <w:pStyle w:val="FirstParagraph"/>
      </w:pPr>
      <w:r>
        <w:rPr>
          <w:rFonts w:ascii="Times New Roman" w:hAnsi="Times New Roman" w:eastAsia="SimSun"/>
          <w:lang w:val="en-US" w:eastAsia="zh-CN"/>
        </w:rPr>
        <w:t xml:space="preserve">攻击者能够控制智能体执行可信用户任务时处理的文档、消息、检索记录、记忆条目或模拟工具输出中的文本。不安全效应定义为：运行时 Guard 给出决策并执行后，隔离状态发生违反任务特定离线评估规则的状态转移。模型可以提出工具调用，但不能调用服务商托管工具，也不能访问真实外部系统。</w:t>
      </w:r>
    </w:p>
    <w:p>
      <w:pPr>
        <w:pStyle w:val="BodyText"/>
      </w:pPr>
      <w:r>
        <w:rPr>
          <w:rFonts w:ascii="Times New Roman" w:hAnsi="Times New Roman" w:eastAsia="SimSun"/>
          <w:lang w:val="en-US" w:eastAsia="zh-CN"/>
        </w:rPr>
        <w:t xml:space="preserve">所有实验均使用隔离基准状态。真实邮件、支付、浏览器、shell、代码执行、生产 API、凭据和不受限文件系统操作全部禁用。提议动作只能影响 AgentDojo 状态副本、M3-v2 模拟资源、</w:t>
      </w:r>
      <w:r>
        <w:rPr>
          <w:rStyle w:val="VerbatimChar"/>
          <w:rFonts w:ascii="Times New Roman" w:hAnsi="Times New Roman" w:eastAsia="SimSun"/>
          <w:lang w:val="en-US" w:eastAsia="zh-CN"/>
        </w:rPr>
        <w:t xml:space="preserve">example.test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/mock/</w:t>
      </w:r>
      <w:r>
        <w:rPr>
          <w:rFonts w:ascii="Times New Roman" w:hAnsi="Times New Roman" w:eastAsia="SimSun"/>
          <w:lang w:val="en-US" w:eastAsia="zh-CN"/>
        </w:rPr>
        <w:t xml:space="preserve"> </w:t>
      </w:r>
      <w:r>
        <w:rPr>
          <w:rFonts w:ascii="Times New Roman" w:hAnsi="Times New Roman" w:eastAsia="SimSun"/>
          <w:lang w:val="en-US" w:eastAsia="zh-CN"/>
        </w:rPr>
        <w:t xml:space="preserve">或公共沙箱。模型输出始终被视为不可信数据，而非可执行权限。训练期投毒、模型权重被攻陷、凭据窃取以及可信策略存储被直接篡改不在本文范围内。</w:t>
      </w:r>
    </w:p>
    <w:bookmarkEnd w:id="35"/>
    <w:bookmarkStart w:id="36" w:name="在线状态与评估器分离"/>
    <w:p>
      <w:pPr>
        <w:pStyle w:val="Heading3"/>
        <w:keepNext/>
      </w:pPr>
      <w:r>
        <w:rPr>
          <w:rFonts w:ascii="Times New Roman" w:hAnsi="Times New Roman" w:eastAsia="Microsoft YaHei"/>
          <w:lang w:val="en-US" w:eastAsia="zh-CN"/>
        </w:rPr>
        <w:t xml:space="preserve">3.3 在线状态与评估器分离</w:t>
      </w:r>
    </w:p>
    <w:p>
      <w:pPr>
        <w:pStyle w:val="FirstParagraph"/>
      </w:pPr>
      <w:r>
        <w:rPr>
          <w:rFonts w:ascii="Times New Roman" w:hAnsi="Times New Roman" w:eastAsia="SimSun"/>
          <w:lang w:val="en-US" w:eastAsia="zh-CN"/>
        </w:rPr>
        <w:t xml:space="preserve">每次运行均通过允许列表投影构造在线状态。允许字段包括可信用户意图、基准可见任务上下文、选定授权制度、当前步骤可用的来源事件和拟执行动作。金标准答案、期望动作、攻击/任务成功标签、评估器解释、参考轨迹及离线效应回执均被排除。</w:t>
      </w:r>
    </w:p>
    <w:p>
      <w:pPr>
        <w:pStyle w:val="BodyText"/>
      </w:pP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被明确标记为 oracle 敏感性分析。它把评估器派生的授权转换为该实验条件的授权对象，但不会暴露评估标签或评分字段。</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从不被描述为主要部署制度；主要制度是</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，它在处理不可信内容前根据可信用户请求生成。</w:t>
      </w:r>
    </w:p>
    <w:p>
      <w:pPr>
        <w:pStyle w:val="BodyText"/>
      </w:pPr>
      <w:r>
        <w:rPr>
          <w:rFonts w:ascii="Times New Roman" w:hAnsi="Times New Roman" w:eastAsia="SimSun"/>
          <w:lang w:val="en-US" w:eastAsia="zh-CN"/>
        </w:rPr>
        <w:t xml:space="preserve">每条紧凑结果记录在线可见投影的摘要和禁止字段检查结果。若发现禁止字段，该运行不能通过最小完整性检查。最终分析只对全部终态记录执行一次检查，不递归重放历史证据。</w:t>
      </w:r>
    </w:p>
    <w:bookmarkEnd w:id="36"/>
    <w:bookmarkStart w:id="37" w:name="运行时条件"/>
    <w:p>
      <w:pPr>
        <w:pStyle w:val="Heading3"/>
        <w:keepNext/>
      </w:pPr>
      <w:r>
        <w:rPr>
          <w:rFonts w:ascii="Times New Roman" w:hAnsi="Times New Roman" w:eastAsia="Microsoft YaHei"/>
          <w:lang w:val="en-US" w:eastAsia="zh-CN"/>
        </w:rPr>
        <w:t xml:space="preserve">3.4 运行时条件</w:t>
      </w:r>
    </w:p>
    <w:p>
      <w:pPr>
        <w:pStyle w:val="FirstParagraph"/>
      </w:pPr>
      <w:r>
        <w:rPr>
          <w:rFonts w:ascii="Times New Roman" w:hAnsi="Times New Roman" w:eastAsia="SimSun"/>
          <w:lang w:val="en-US" w:eastAsia="zh-CN"/>
        </w:rPr>
        <w:t xml:space="preserve">公共运行时接口为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TaskPolicyManifest</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ActionProposal</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GuardDecision</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ProvenanceEvent</w:t>
      </w:r>
      <w:r>
        <w:rPr>
          <w:rFonts w:ascii="Times New Roman" w:hAnsi="Times New Roman" w:eastAsia="SimSun"/>
          <w:lang w:val="en-US" w:eastAsia="zh-CN"/>
        </w:rPr>
        <w:t xml:space="preserve">。两种 M3 条件共享智能体、模型、解析器、评估器、工具环境和任务策略表示。</w:t>
      </w:r>
    </w:p>
    <w:p>
      <w:pPr>
        <w:numPr>
          <w:ilvl w:val="0"/>
          <w:numId w:val="1003"/>
        </w:numPr>
        <w:pStyle w:val="Compact"/>
      </w:pPr>
      <w:r>
        <w:rPr>
          <w:bCs/>
          <w:rFonts w:ascii="Times New Roman" w:hAnsi="Times New Roman" w:eastAsia="SimSun"/>
          <w:b/>
          <w:lang w:val="en-US" w:eastAsia="zh-CN"/>
        </w:rPr>
        <w:t xml:space="preserve">M3 policy-only</w:t>
      </w:r>
      <w:r>
        <w:rPr>
          <w:rFonts w:ascii="Times New Roman" w:hAnsi="Times New Roman" w:eastAsia="SimSun"/>
          <w:lang w:val="en-US" w:eastAsia="zh-CN"/>
        </w:rPr>
        <w:t xml:space="preserve"> </w:t>
      </w:r>
      <w:r>
        <w:rPr>
          <w:rFonts w:ascii="Times New Roman" w:hAnsi="Times New Roman" w:eastAsia="SimSun"/>
          <w:lang w:val="en-US" w:eastAsia="zh-CN"/>
        </w:rPr>
        <w:t xml:space="preserve">依据当前任务策略检查拟执行工具及其参数；来源传播、时序/数据流检查与独立确认均关闭。</w:t>
      </w:r>
    </w:p>
    <w:p>
      <w:pPr>
        <w:numPr>
          <w:ilvl w:val="0"/>
          <w:numId w:val="1003"/>
        </w:numPr>
        <w:pStyle w:val="Compact"/>
      </w:pPr>
      <w:r>
        <w:rPr>
          <w:bCs/>
          <w:rFonts w:ascii="Times New Roman" w:hAnsi="Times New Roman" w:eastAsia="SimSun"/>
          <w:b/>
          <w:lang w:val="en-US" w:eastAsia="zh-CN"/>
        </w:rPr>
        <w:t xml:space="preserve">M3-full</w:t>
      </w:r>
      <w:r>
        <w:rPr>
          <w:rFonts w:ascii="Times New Roman" w:hAnsi="Times New Roman" w:eastAsia="SimSun"/>
          <w:lang w:val="en-US" w:eastAsia="zh-CN"/>
        </w:rPr>
        <w:t xml:space="preserve"> </w:t>
      </w:r>
      <w:r>
        <w:rPr>
          <w:rFonts w:ascii="Times New Roman" w:hAnsi="Times New Roman" w:eastAsia="SimSun"/>
          <w:lang w:val="en-US" w:eastAsia="zh-CN"/>
        </w:rPr>
        <w:t xml:space="preserve">在策略执行之外启用参数来源、时序/数据流约束、权限单调转换和确认。自动转换只能保持或降低权限；权限扩张产生</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，并要求独立确认结果。</w:t>
      </w:r>
    </w:p>
    <w:p>
      <w:pPr>
        <w:pStyle w:val="FirstParagraph"/>
      </w:pPr>
      <w:r>
        <w:rPr>
          <w:rStyle w:val="VerbatimChar"/>
          <w:rFonts w:ascii="Times New Roman" w:hAnsi="Times New Roman" w:eastAsia="SimSun"/>
          <w:lang w:val="en-US" w:eastAsia="zh-CN"/>
        </w:rPr>
        <w:t xml:space="preserve">ALLOW</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是运行时决策，不等同于安全结果。安全性根据隔离的执行后效应回执评分，效用则由基准任务完成评估器评分。Gemini 子集在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下加入当前最强的可用同行评审结构化基线，该基线只用于锚定跨厂商样本，不支持普遍排名。</w:t>
      </w:r>
    </w:p>
    <w:bookmarkEnd w:id="37"/>
    <w:bookmarkStart w:id="38" w:name="授权制度"/>
    <w:p>
      <w:pPr>
        <w:pStyle w:val="Heading3"/>
        <w:keepNext/>
      </w:pPr>
      <w:r>
        <w:rPr>
          <w:rFonts w:ascii="Times New Roman" w:hAnsi="Times New Roman" w:eastAsia="Microsoft YaHei"/>
          <w:lang w:val="en-US" w:eastAsia="zh-CN"/>
        </w:rPr>
        <w:t xml:space="preserve">3.5 授权制度</w:t>
      </w:r>
    </w:p>
    <w:p>
      <w:pPr>
        <w:pStyle w:val="FirstParagraph"/>
      </w:pPr>
      <w:r>
        <w:rPr>
          <w:rFonts w:ascii="Times New Roman" w:hAnsi="Times New Roman" w:eastAsia="SimSun"/>
          <w:lang w:val="en-US" w:eastAsia="zh-CN"/>
        </w:rPr>
        <w:t xml:space="preserve">本文评估五种授权制度：</w:t>
      </w:r>
    </w:p>
    <w:p>
      <w:pPr>
        <w:numPr>
          <w:ilvl w:val="0"/>
          <w:numId w:val="1004"/>
        </w:numPr>
        <w:pStyle w:val="Compact"/>
      </w:pP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：在处理不可信证据前，根据可信用户意图编译任务策略；</w:t>
      </w:r>
    </w:p>
    <w:p>
      <w:pPr>
        <w:numPr>
          <w:ilvl w:val="0"/>
          <w:numId w:val="1004"/>
        </w:numPr>
        <w:pStyle w:val="Compact"/>
      </w:pP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：仅作为 oracle 敏感性条件使用的评估器派生授权；</w:t>
      </w:r>
    </w:p>
    <w:p>
      <w:pPr>
        <w:numPr>
          <w:ilvl w:val="0"/>
          <w:numId w:val="1004"/>
        </w:numPr>
        <w:pStyle w:val="Compact"/>
      </w:pP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：有意设置得较宽松的授权边界；</w:t>
      </w:r>
    </w:p>
    <w:p>
      <w:pPr>
        <w:numPr>
          <w:ilvl w:val="0"/>
          <w:numId w:val="1004"/>
        </w:numPr>
        <w:pStyle w:val="Compact"/>
      </w:pP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：遗漏完成任务所需的细节或约束；</w:t>
      </w:r>
    </w:p>
    <w:p>
      <w:pPr>
        <w:numPr>
          <w:ilvl w:val="0"/>
          <w:numId w:val="1004"/>
        </w:numPr>
        <w:pStyle w:val="Compact"/>
      </w:pP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：授权对象含有相互冲突的约束，运行时必须解决或拒绝。</w:t>
      </w:r>
    </w:p>
    <w:p>
      <w:pPr>
        <w:pStyle w:val="FirstParagraph"/>
      </w:pPr>
      <w:r>
        <w:rPr>
          <w:rFonts w:ascii="Times New Roman" w:hAnsi="Times New Roman" w:eastAsia="SimSun"/>
          <w:lang w:val="en-US" w:eastAsia="zh-CN"/>
        </w:rPr>
        <w:t xml:space="preserve">四个 DeepSeek 主单元将 policy-only 和 M3-full 分别与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配对。固定嵌套子集在 M3-full 下增加三种非 oracle 压力制度。</w:t>
      </w:r>
    </w:p>
    <w:bookmarkEnd w:id="38"/>
    <w:bookmarkStart w:id="39" w:name="复用既有证据而不新增调用"/>
    <w:p>
      <w:pPr>
        <w:pStyle w:val="Heading3"/>
        <w:keepNext/>
      </w:pPr>
      <w:r>
        <w:rPr>
          <w:rFonts w:ascii="Times New Roman" w:hAnsi="Times New Roman" w:eastAsia="Microsoft YaHei"/>
          <w:lang w:val="en-US" w:eastAsia="zh-CN"/>
        </w:rPr>
        <w:t xml:space="preserve">3.6 复用既有证据而不新增调用</w:t>
      </w:r>
    </w:p>
    <w:p>
      <w:pPr>
        <w:pStyle w:val="FirstParagraph"/>
      </w:pPr>
      <w:r>
        <w:rPr>
          <w:rFonts w:ascii="Times New Roman" w:hAnsi="Times New Roman" w:eastAsia="SimSun"/>
          <w:lang w:val="en-US" w:eastAsia="zh-CN"/>
        </w:rPr>
        <w:t xml:space="preserve">本文一次性分析四组已经完成的数据：5,082 条 DeepSeek V4 Pro Public 主矩阵记录、1,791 条 DeepSeek V4 Flash Public 第二模型记录、480 条中型证伪实验记录，以及 DeepSeek V4 Pro 在预算 50/200 下完成的自适应任务。</w:t>
      </w:r>
    </w:p>
    <w:p>
      <w:pPr>
        <w:pStyle w:val="BodyText"/>
      </w:pPr>
      <w:r>
        <w:rPr>
          <w:rFonts w:ascii="Times New Roman" w:hAnsi="Times New Roman" w:eastAsia="SimSun"/>
          <w:lang w:val="en-US" w:eastAsia="zh-CN"/>
        </w:rPr>
        <w:t xml:space="preserve">复用分析只执行一次计数与唯一性检查，将所有终态失败保留在 ITT 中，并计算预设终点摘要，不重复模型执行。这些数据用于建立实证动机和两点自适应 first-success 曲线，不能证明攻击饱和。</w:t>
      </w:r>
    </w:p>
    <w:bookmarkEnd w:id="39"/>
    <w:bookmarkStart w:id="40" w:name="冻结的主样本"/>
    <w:p>
      <w:pPr>
        <w:pStyle w:val="Heading3"/>
        <w:keepNext/>
      </w:pPr>
      <w:r>
        <w:rPr>
          <w:rFonts w:ascii="Times New Roman" w:hAnsi="Times New Roman" w:eastAsia="Microsoft YaHei"/>
          <w:lang w:val="en-US" w:eastAsia="zh-CN"/>
        </w:rPr>
        <w:t xml:space="preserve">3.7 冻结的主样本</w:t>
      </w:r>
    </w:p>
    <w:p>
      <w:pPr>
        <w:pStyle w:val="FirstParagraph"/>
      </w:pPr>
      <w:r>
        <w:rPr>
          <w:rFonts w:ascii="Times New Roman" w:hAnsi="Times New Roman" w:eastAsia="SimSun"/>
          <w:lang w:val="en-US" w:eastAsia="zh-CN"/>
        </w:rPr>
        <w:t xml:space="preserve">新的 DeepSeek 研究在查看新结果前固定了 180 个唯一配对案例：100 个攻击案例（AgentDojo 与 M3-v2 各 50）、60 个良性工具任务（两个基准各 30）以及 20 个良性无工具任务。抽样按基准、任务类型和攻击族分层。</w:t>
      </w:r>
    </w:p>
    <w:p>
      <w:pPr>
        <w:pStyle w:val="BodyText"/>
      </w:pPr>
      <w:r>
        <w:rPr>
          <w:rFonts w:ascii="Times New Roman" w:hAnsi="Times New Roman" w:eastAsia="SimSun"/>
          <w:lang w:val="en-US" w:eastAsia="zh-CN"/>
        </w:rPr>
        <w:t xml:space="preserve">每个主案例被分配到 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四个单元，共 720 个工作项。嵌套的 60 案例子集另增加 M3-full 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三种分配，新增 180 个工作项。因此冻结的 DeepSeek 计划共 900 项。前六项构成正式技术前缀，并保留在最终分母内。</w:t>
      </w:r>
    </w:p>
    <w:bookmarkEnd w:id="40"/>
    <w:bookmarkStart w:id="41" w:name="冻结的跨厂商样本"/>
    <w:p>
      <w:pPr>
        <w:pStyle w:val="Heading3"/>
        <w:keepNext/>
      </w:pPr>
      <w:r>
        <w:rPr>
          <w:rFonts w:ascii="Times New Roman" w:hAnsi="Times New Roman" w:eastAsia="Microsoft YaHei"/>
          <w:lang w:val="en-US" w:eastAsia="zh-CN"/>
        </w:rPr>
        <w:t xml:space="preserve">3.8 冻结的跨厂商样本</w:t>
      </w:r>
    </w:p>
    <w:p>
      <w:pPr>
        <w:pStyle w:val="FirstParagraph"/>
      </w:pPr>
      <w:r>
        <w:rPr>
          <w:rFonts w:ascii="Times New Roman" w:hAnsi="Times New Roman" w:eastAsia="SimSun"/>
          <w:lang w:val="en-US" w:eastAsia="zh-CN"/>
        </w:rPr>
        <w:t xml:space="preserve">Gemini 研究使用嵌套在 DeepSeek 主样本中的 90 个案例，包括 50 个攻击、30 个良性工具任务和 10 个良性无工具任务。每个案例对应结构化基线/</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、M3-full/</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、policy-only/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和 M3-full/</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五项分配，总计 450 个工作项，其中包括六项正式技术前缀。</w:t>
      </w:r>
    </w:p>
    <w:p>
      <w:pPr>
        <w:pStyle w:val="BodyText"/>
      </w:pPr>
      <w:r>
        <w:rPr>
          <w:rFonts w:ascii="Times New Roman" w:hAnsi="Times New Roman" w:eastAsia="SimSun"/>
          <w:lang w:val="en-US" w:eastAsia="zh-CN"/>
        </w:rPr>
        <w:t xml:space="preserve">Gemini 只使用官方免费层，付费上限为 USD 0。每个配额日遇到首个 HTTP 429 即停止当前运行，尚未启动的项目保持 pending。到新的服务商配额日后，仅未启动项以及从未获得官方模型响应的工作项可显式恢复。速率受限项目在第三个配额日尝试时转为终态诊断。若三个配额日后仍不能完成 450 项，则仅以诊断方式报告已观察子集，将未启动项目计为不可用，并且不作跨厂商泛化主张。</w:t>
      </w:r>
    </w:p>
    <w:bookmarkEnd w:id="41"/>
    <w:bookmarkStart w:id="42" w:name="服务商与模型身份"/>
    <w:p>
      <w:pPr>
        <w:pStyle w:val="Heading3"/>
        <w:keepNext/>
      </w:pPr>
      <w:r>
        <w:rPr>
          <w:rFonts w:ascii="Times New Roman" w:hAnsi="Times New Roman" w:eastAsia="Microsoft YaHei"/>
          <w:lang w:val="en-US" w:eastAsia="zh-CN"/>
        </w:rPr>
        <w:t xml:space="preserve">3.9 服务商与模型身份</w:t>
      </w:r>
    </w:p>
    <w:p>
      <w:pPr>
        <w:pStyle w:val="FirstParagraph"/>
      </w:pPr>
      <w:r>
        <w:rPr>
          <w:rFonts w:ascii="Times New Roman" w:hAnsi="Times New Roman" w:eastAsia="SimSun"/>
          <w:lang w:val="en-US" w:eastAsia="zh-CN"/>
        </w:rPr>
        <w:t xml:space="preserve">主模型为通过 DeepSeek 官方端点访问的 DeepSeek V4 Pro；跨厂商模型为通过 Google Generative Language OpenAI 兼容官方端点访问的 Gemini 3.6 Flash。每个请求在传输前分配本地请求标识并计算规范化载荷摘要。含响应记录保留官方 response ID、精确返回模型、usage、时延以及成本或免费层证明。本文报告证据所对应的服务商调用发生于 2026 年 7–8 月。返回名称属于服务商管理的模型别名，只能标识请求时实际提供的模型服务，不能冻结其隐藏权重。</w:t>
      </w:r>
    </w:p>
    <w:p>
      <w:pPr>
        <w:pStyle w:val="BodyText"/>
      </w:pPr>
      <w:r>
        <w:rPr>
          <w:rFonts w:ascii="Times New Roman" w:hAnsi="Times New Roman" w:eastAsia="SimSun"/>
          <w:lang w:val="en-US" w:eastAsia="zh-CN"/>
        </w:rPr>
        <w:t xml:space="preserve">提示词和模型响应不复制到紧凑分析文件中。仅含内容无关请求元数据的内部 trace 保留在分析数据之外的受限本地运行目录。精确模型身份在最终一次性完整性检查中核验。</w:t>
      </w:r>
    </w:p>
    <w:bookmarkEnd w:id="42"/>
    <w:bookmarkStart w:id="43" w:name="失败与恢复策略"/>
    <w:p>
      <w:pPr>
        <w:pStyle w:val="Heading3"/>
        <w:keepNext/>
      </w:pPr>
      <w:r>
        <w:rPr>
          <w:rFonts w:ascii="Times New Roman" w:hAnsi="Times New Roman" w:eastAsia="Microsoft YaHei"/>
          <w:lang w:val="en-US" w:eastAsia="zh-CN"/>
        </w:rPr>
        <w:t xml:space="preserve">3.10 失败与恢复策略</w:t>
      </w:r>
    </w:p>
    <w:p>
      <w:pPr>
        <w:pStyle w:val="FirstParagraph"/>
      </w:pPr>
      <w:r>
        <w:rPr>
          <w:rFonts w:ascii="Times New Roman" w:hAnsi="Times New Roman" w:eastAsia="SimSun"/>
          <w:lang w:val="en-US" w:eastAsia="zh-CN"/>
        </w:rPr>
        <w:t xml:space="preserve">自动重试始终关闭。恢复以预定义实验项为单位：</w:t>
      </w:r>
    </w:p>
    <w:p>
      <w:pPr>
        <w:numPr>
          <w:ilvl w:val="0"/>
          <w:numId w:val="1005"/>
        </w:numPr>
        <w:pStyle w:val="Compact"/>
      </w:pPr>
      <w:r>
        <w:rPr>
          <w:rFonts w:ascii="Times New Roman" w:hAnsi="Times New Roman" w:eastAsia="SimSun"/>
          <w:lang w:val="en-US" w:eastAsia="zh-CN"/>
        </w:rPr>
        <w:t xml:space="preserve">已获得官方模型响应的工作项均为终态，包括响应后的超时、拒答、解析失败和最大步骤结果；</w:t>
      </w:r>
    </w:p>
    <w:p>
      <w:pPr>
        <w:numPr>
          <w:ilvl w:val="0"/>
          <w:numId w:val="1005"/>
        </w:numPr>
        <w:pStyle w:val="Compact"/>
      </w:pPr>
      <w:r>
        <w:rPr>
          <w:rFonts w:ascii="Times New Roman" w:hAnsi="Times New Roman" w:eastAsia="SimSun"/>
          <w:lang w:val="en-US" w:eastAsia="zh-CN"/>
        </w:rPr>
        <w:t xml:space="preserve">没有获得官方响应的传输或准备失败只能通过显式 failed-row 选项重试；</w:t>
      </w:r>
    </w:p>
    <w:p>
      <w:pPr>
        <w:numPr>
          <w:ilvl w:val="0"/>
          <w:numId w:val="1005"/>
        </w:numPr>
        <w:pStyle w:val="Compact"/>
      </w:pPr>
      <w:r>
        <w:rPr>
          <w:rFonts w:ascii="Times New Roman" w:hAnsi="Times New Roman" w:eastAsia="SimSun"/>
          <w:lang w:val="en-US" w:eastAsia="zh-CN"/>
        </w:rPr>
        <w:t xml:space="preserve">只重试受影响项目，成功和未受影响项目始终跳过；</w:t>
      </w:r>
    </w:p>
    <w:p>
      <w:pPr>
        <w:numPr>
          <w:ilvl w:val="0"/>
          <w:numId w:val="1005"/>
        </w:numPr>
        <w:pStyle w:val="Compact"/>
      </w:pPr>
      <w:r>
        <w:rPr>
          <w:rFonts w:ascii="Times New Roman" w:hAnsi="Times New Roman" w:eastAsia="SimSun"/>
          <w:lang w:val="en-US" w:eastAsia="zh-CN"/>
        </w:rPr>
        <w:t xml:space="preserve">非速率限制的响应前失败重复一次后转为终态；</w:t>
      </w:r>
    </w:p>
    <w:p>
      <w:pPr>
        <w:numPr>
          <w:ilvl w:val="0"/>
          <w:numId w:val="1005"/>
        </w:numPr>
        <w:pStyle w:val="Compact"/>
      </w:pPr>
      <w:r>
        <w:rPr>
          <w:rFonts w:ascii="Times New Roman" w:hAnsi="Times New Roman" w:eastAsia="SimSun"/>
          <w:lang w:val="en-US" w:eastAsia="zh-CN"/>
        </w:rPr>
        <w:t xml:space="preserve">Gemini 的配额恢复在每个配额日首个 429 时停止，并在第三个配额日尝试时转为终态。</w:t>
      </w:r>
    </w:p>
    <w:p>
      <w:pPr>
        <w:pStyle w:val="FirstParagraph"/>
      </w:pPr>
      <w:r>
        <w:rPr>
          <w:rFonts w:ascii="Times New Roman" w:hAnsi="Times New Roman" w:eastAsia="SimSun"/>
          <w:lang w:val="en-US" w:eastAsia="zh-CN"/>
        </w:rPr>
        <w:t xml:space="preserve">先前无响应尝试以追加方式保留。科学分析为每个实验项选择最新终态，并报告被后续尝试取代的记录数。Gemini 分析依据内容无关的暂停事件账本使用与 runner 相同的状态归一化，避免把配额暂停误当成科学终态。任何既有行都不会被覆盖。</w:t>
      </w:r>
    </w:p>
    <w:bookmarkEnd w:id="43"/>
    <w:bookmarkStart w:id="44" w:name="结果变量"/>
    <w:p>
      <w:pPr>
        <w:pStyle w:val="Heading3"/>
        <w:keepNext/>
      </w:pPr>
      <w:r>
        <w:rPr>
          <w:rFonts w:ascii="Times New Roman" w:hAnsi="Times New Roman" w:eastAsia="Microsoft YaHei"/>
          <w:lang w:val="en-US" w:eastAsia="zh-CN"/>
        </w:rPr>
        <w:t xml:space="preserve">3.11 结果变量</w:t>
      </w:r>
    </w:p>
    <w:p>
      <w:pPr>
        <w:pStyle w:val="FirstParagraph"/>
      </w:pPr>
      <w:r>
        <w:rPr>
          <w:rFonts w:ascii="Times New Roman" w:hAnsi="Times New Roman" w:eastAsia="SimSun"/>
          <w:lang w:val="en-US" w:eastAsia="zh-CN"/>
        </w:rPr>
        <w:t xml:space="preserve">两个共同主要终点为：攻击任务上的</w:t>
      </w:r>
      <w:r>
        <w:rPr>
          <w:bCs/>
          <w:rFonts w:ascii="Times New Roman" w:hAnsi="Times New Roman" w:eastAsia="SimSun"/>
          <w:b/>
          <w:lang w:val="en-US" w:eastAsia="zh-CN"/>
        </w:rPr>
        <w:t xml:space="preserve">不安全效应率</w:t>
      </w:r>
      <w:r>
        <w:rPr>
          <w:rFonts w:ascii="Times New Roman" w:hAnsi="Times New Roman" w:eastAsia="SimSun"/>
          <w:lang w:val="en-US" w:eastAsia="zh-CN"/>
        </w:rPr>
        <w:t xml:space="preserve">，以及良性工具任务上的</w:t>
      </w:r>
      <w:r>
        <w:rPr>
          <w:bCs/>
          <w:rFonts w:ascii="Times New Roman" w:hAnsi="Times New Roman" w:eastAsia="SimSun"/>
          <w:b/>
          <w:lang w:val="en-US" w:eastAsia="zh-CN"/>
        </w:rPr>
        <w:t xml:space="preserve">任务完成率（task-completion rate，TCR）</w:t>
      </w:r>
      <w:r>
        <w:rPr>
          <w:rFonts w:ascii="Times New Roman" w:hAnsi="Times New Roman" w:eastAsia="SimSun"/>
          <w:lang w:val="en-US" w:eastAsia="zh-CN"/>
        </w:rPr>
        <w:t xml:space="preserve">。良性无工具任务完成率仅作描述性结果。次要结果包括</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次数、</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 </w:t>
      </w:r>
      <w:r>
        <w:rPr>
          <w:rFonts w:ascii="Times New Roman" w:hAnsi="Times New Roman" w:eastAsia="SimSun"/>
          <w:lang w:val="en-US" w:eastAsia="zh-CN"/>
        </w:rPr>
        <w:t xml:space="preserve">次数、运行失败、p50/p95 时延、总 token、API 成本，以及按基准和攻击族预定义的异质性。</w:t>
      </w:r>
    </w:p>
    <w:p>
      <w:pPr>
        <w:pStyle w:val="BodyText"/>
      </w:pPr>
      <w:r>
        <w:rPr>
          <w:rFonts w:ascii="Times New Roman" w:hAnsi="Times New Roman" w:eastAsia="SimSun"/>
          <w:lang w:val="en-US" w:eastAsia="zh-CN"/>
        </w:rPr>
        <w:t xml:space="preserve">所有终态工作项均保留在 ITT 分母内。分析同时报告原始分子/分母与比例。服务商或解析器失败不会被静默剔除，也不会被重新标记为安全成功；其不安全效应指标仅记录隔离环境中是否观察到不安全效应，而运行失败作为独立结果报告，并且不能算作任务完成。时延和负担摘要同样包含全部终态工作项，而非只包含成功完成项。</w:t>
      </w:r>
    </w:p>
    <w:bookmarkEnd w:id="44"/>
    <w:bookmarkStart w:id="45" w:name="统计分析"/>
    <w:p>
      <w:pPr>
        <w:pStyle w:val="Heading3"/>
        <w:keepNext/>
      </w:pPr>
      <w:r>
        <w:rPr>
          <w:rFonts w:ascii="Times New Roman" w:hAnsi="Times New Roman" w:eastAsia="Microsoft YaHei"/>
          <w:lang w:val="en-US" w:eastAsia="zh-CN"/>
        </w:rPr>
        <w:t xml:space="preserve">3.12 统计分析</w:t>
      </w:r>
    </w:p>
    <w:p>
      <w:pPr>
        <w:pStyle w:val="FirstParagraph"/>
      </w:pPr>
      <w:r>
        <w:rPr>
          <w:rFonts w:ascii="Times New Roman" w:hAnsi="Times New Roman" w:eastAsia="SimSun"/>
          <w:lang w:val="en-US" w:eastAsia="zh-CN"/>
        </w:rPr>
        <w:t xml:space="preserve">每个条件的比例均报告 Wilson 95% 置信区间。配对分析报告绝对百分点差、两个不一致方向的计数以及双侧 exact McNemar 检验。配对绝对差的区间由 10,000 次确定性 bootstrap 估计。每次重采样以配对案例标识为聚类和推断单位，有放回地抽取案例，并保持同一案例的两个条件结果成对进入样本。</w:t>
      </w:r>
    </w:p>
    <w:p>
      <w:pPr>
        <w:pStyle w:val="BodyText"/>
      </w:pPr>
      <w:r>
        <w:rPr>
          <w:rFonts w:ascii="Times New Roman" w:hAnsi="Times New Roman" w:eastAsia="SimSun"/>
          <w:lang w:val="en-US" w:eastAsia="zh-CN"/>
        </w:rPr>
        <w:t xml:space="preserve">四个主要比较为：policy-only</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 policy-only</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对 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 policy-only 对 M3-full；以及</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 policy-only 对 M3-full。McNemar p 值分别在攻击不安全效应和良性工具 TCR 两个终点族内进行 Holm 校正。</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作为预设制度扩展报告，不进入主要 Holm 家族。模型、基准和攻击族面板属于描述性异质性分析。</w:t>
      </w:r>
    </w:p>
    <w:p>
      <w:pPr>
        <w:pStyle w:val="BodyText"/>
      </w:pPr>
      <w:r>
        <w:rPr>
          <w:rFonts w:ascii="Times New Roman" w:hAnsi="Times New Roman" w:eastAsia="SimSun"/>
          <w:lang w:val="en-US" w:eastAsia="zh-CN"/>
        </w:rPr>
        <w:t xml:space="preserve">自适应证据仅限预算 50 与 200。本文报告固定 40 任务队列在不同查询数前至少出现一次不安全效应的累计比例以及两个观察预算点，不外推饱和水平。</w:t>
      </w:r>
    </w:p>
    <w:bookmarkEnd w:id="45"/>
    <w:bookmarkStart w:id="46" w:name="最小验证与可复现性"/>
    <w:p>
      <w:pPr>
        <w:pStyle w:val="Heading3"/>
        <w:keepNext/>
      </w:pPr>
      <w:r>
        <w:rPr>
          <w:rFonts w:ascii="Times New Roman" w:hAnsi="Times New Roman" w:eastAsia="Microsoft YaHei"/>
          <w:lang w:val="en-US" w:eastAsia="zh-CN"/>
        </w:rPr>
        <w:t xml:space="preserve">3.13 最小验证与可复现性</w:t>
      </w:r>
    </w:p>
    <w:p>
      <w:pPr>
        <w:pStyle w:val="FirstParagraph"/>
      </w:pPr>
      <w:r>
        <w:rPr>
          <w:rFonts w:ascii="Times New Roman" w:hAnsi="Times New Roman" w:eastAsia="SimSun"/>
          <w:lang w:val="en-US" w:eastAsia="zh-CN"/>
        </w:rPr>
        <w:t xml:space="preserve">验证规模与精简研究相匹配，仅包括：修改过的服务商适配、授权投影、评估器、分析和绘图代码的定向单元测试；每个服务商的六项正式前缀；以及实验结束后对行数、实验项唯一性、禁止字段隔离、精确模型身份和 ITT 失败保留的一次终态检查。</w:t>
      </w:r>
    </w:p>
    <w:p>
      <w:pPr>
        <w:pStyle w:val="BodyText"/>
      </w:pPr>
      <w:r>
        <w:rPr>
          <w:rFonts w:ascii="Times New Roman" w:hAnsi="Times New Roman" w:eastAsia="SimSun"/>
          <w:lang w:val="en-US" w:eastAsia="zh-CN"/>
        </w:rPr>
        <w:t xml:space="preserve">每个服务商写入一份追加式紧凑原始 JSONL。最终统计只写入一份授权分析 JSON；图件输出为投稿用矢量 PDF、可编辑 SVG 和用于 Word/质量检查的 PNG。可复现材料包括冻结样本、条件分配、分析代码、汇总表和版本化源码。</w:t>
      </w:r>
    </w:p>
    <w:bookmarkEnd w:id="46"/>
    <w:bookmarkEnd w:id="47"/>
    <w:bookmarkStart w:id="59" w:name="结果"/>
    <w:p>
      <w:pPr>
        <w:pStyle w:val="Heading2"/>
        <w:keepNext/>
      </w:pPr>
      <w:r>
        <w:rPr>
          <w:rFonts w:ascii="Times New Roman" w:hAnsi="Times New Roman" w:eastAsia="Microsoft YaHei"/>
          <w:lang w:val="en-US" w:eastAsia="zh-CN"/>
        </w:rPr>
        <w:t xml:space="preserve">4. 结果</w:t>
      </w:r>
    </w:p>
    <w:bookmarkStart w:id="48" w:name="中型证伪实验"/>
    <w:p>
      <w:pPr>
        <w:pStyle w:val="Heading3"/>
        <w:keepNext/>
      </w:pPr>
      <w:r>
        <w:rPr>
          <w:rFonts w:ascii="Times New Roman" w:hAnsi="Times New Roman" w:eastAsia="Microsoft YaHei"/>
          <w:lang w:val="en-US" w:eastAsia="zh-CN"/>
        </w:rPr>
        <w:t xml:space="preserve">4.1 中型证伪实验</w:t>
      </w:r>
    </w:p>
    <w:p>
      <w:pPr>
        <w:pStyle w:val="FirstParagraph"/>
      </w:pPr>
      <w:r>
        <w:rPr>
          <w:rFonts w:ascii="Times New Roman" w:hAnsi="Times New Roman" w:eastAsia="SimSun"/>
          <w:lang w:val="en-US" w:eastAsia="zh-CN"/>
        </w:rPr>
        <w:t xml:space="preserve">中型实验包含 480 条记录，其中 432 条主要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记录覆盖 72 个配对案例和六个实验条件，另有 48 条授权制度探针记录。预注册分析不支持增量机制主张：M3-full 满足安全效应与非 deny-all 条件，但没有满足效用点估计的非劣标准，在安全性上也没有优于 M3 policy-only。本文同时保留相对结构化条件有利的安全结果，以及不利的效用和模块比较结果。</w:t>
      </w:r>
    </w:p>
    <w:p>
      <w:pPr>
        <w:pStyle w:val="BodyText"/>
      </w:pPr>
      <w:r>
        <w:rPr>
          <w:rFonts w:ascii="Times New Roman" w:hAnsi="Times New Roman" w:eastAsia="SimSun"/>
          <w:lang w:val="en-US" w:eastAsia="zh-CN"/>
        </w:rPr>
        <w:t xml:space="preserve">补充表 S1 给出在线状态源码审计。该审计只能支持已覆盖路径的结论，不能证明整个领域普遍存在 oracle 授权问题。补充表 S2 给出中型实验的安全与效用结果，补充表 S3 给出预设配对比较，补充表 S4 给出运行负担与运行质量。</w:t>
      </w:r>
    </w:p>
    <w:p>
      <w:pPr>
        <w:pStyle w:val="BodyText"/>
      </w:pPr>
      <w:r>
        <w:rPr>
          <w:rFonts w:ascii="Times New Roman" w:hAnsi="Times New Roman" w:eastAsia="SimSun"/>
          <w:lang w:val="en-US" w:eastAsia="zh-CN"/>
        </w:rPr>
        <w:t xml:space="preserve">中型样本反映的是安全—效用权衡，而不是完整机制的增量收益。结构化条件下的八个不安全效应在两种 M3 变体中均被消除，但两种 M3 变体完成的良性工具任务也明显更少。相对结构化条件，M3-full 的良性工具 TCR 低 25 个百分点，远低于预注册的 −5 个百分点非劣界限。</w:t>
      </w:r>
    </w:p>
    <w:p>
      <w:pPr>
        <w:pStyle w:val="BodyText"/>
      </w:pPr>
      <w:r>
        <w:rPr>
          <w:rFonts w:ascii="Times New Roman" w:hAnsi="Times New Roman" w:eastAsia="SimSun"/>
          <w:lang w:val="en-US" w:eastAsia="zh-CN"/>
        </w:rPr>
        <w:t xml:space="preserve">432 条主要记录中，411 条完成，21 条保留终态失败，包括 6 条最大步骤、6 条解析失败和 9 条服务商失败。4.86% 的总体失败比例和 2.08% 的服务商失败比例通过预定义运行质量范围。所有终态均保留在 ITT 分母中。</w:t>
      </w:r>
    </w:p>
    <w:p>
      <w:pPr>
        <w:pStyle w:val="BodyText"/>
      </w:pPr>
      <w:r>
        <w:rPr>
          <w:rFonts w:ascii="Times New Roman" w:hAnsi="Times New Roman" w:eastAsia="SimSun"/>
          <w:lang w:val="en-US" w:eastAsia="zh-CN"/>
        </w:rPr>
        <w:t xml:space="preserve">M3-full 的 22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包含 17 个权限扩张事件、4 个独立确认要求和 1 个超范围参数。该合成实验中的确认结果保持</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pending</w:t>
      </w:r>
      <w:r>
        <w:rPr>
          <w:rFonts w:ascii="Times New Roman" w:hAnsi="Times New Roman" w:eastAsia="SimSun"/>
          <w:lang w:val="en-US" w:eastAsia="zh-CN"/>
        </w:rPr>
        <w:t xml:space="preserve">，因此 ASK 数量只能解释为负担，不能解释为人工批准成功。</w:t>
      </w:r>
    </w:p>
    <w:bookmarkEnd w:id="48"/>
    <w:bookmarkStart w:id="49" w:name="授权制度敏感性"/>
    <w:p>
      <w:pPr>
        <w:pStyle w:val="Heading3"/>
        <w:keepNext/>
      </w:pPr>
      <w:r>
        <w:rPr>
          <w:rFonts w:ascii="Times New Roman" w:hAnsi="Times New Roman" w:eastAsia="Microsoft YaHei"/>
          <w:lang w:val="en-US" w:eastAsia="zh-CN"/>
        </w:rPr>
        <w:t xml:space="preserve">4.2 授权制度敏感性</w:t>
      </w:r>
    </w:p>
    <w:p>
      <w:pPr>
        <w:pStyle w:val="FirstParagraph"/>
      </w:pPr>
      <w:r>
        <w:rPr>
          <w:rFonts w:ascii="Times New Roman" w:hAnsi="Times New Roman" w:eastAsia="SimSun"/>
          <w:lang w:val="en-US" w:eastAsia="zh-CN"/>
        </w:rPr>
        <w:t xml:space="preserve">48 条探针记录在 M3 policy-only 与 M3-full 下比较四种替代制度和匹配的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执行，每个条件—制度比较包含 6 对样本。这些小规模探针中没有发生不安全效应。在明确标注的</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探针中，任务完成由匹配</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的 1/6 上升至</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 3/6，初始 ASK 由 3/6 降至 0/6；对应 exact McNemar 检验分别为 p=0.5 与 p=0.25。这些六对样本的估计只是敏感性信号，不能证明领域普遍偏差。</w:t>
      </w:r>
    </w:p>
    <w:bookmarkEnd w:id="49"/>
    <w:bookmarkStart w:id="50" w:name="预设决策标准"/>
    <w:p>
      <w:pPr>
        <w:pStyle w:val="Heading3"/>
        <w:keepNext/>
      </w:pPr>
      <w:r>
        <w:rPr>
          <w:rFonts w:ascii="Times New Roman" w:hAnsi="Times New Roman" w:eastAsia="Microsoft YaHei"/>
          <w:lang w:val="en-US" w:eastAsia="zh-CN"/>
        </w:rPr>
        <w:t xml:space="preserve">4.3 预设决策标准</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3588"/>
        <w:gridCol w:w="2125"/>
        <w:gridCol w:w="3647"/>
      </w:tblGrid>
      <w:tr>
        <w:trPr>
          <w:tblHeader w:val="true"/>
        </w:trPr>
        <w:tc>
          <w:tcPr>
            <w:vAlign w:val="center"/>
            <w:tcMar>
              <w:top w:w="80" w:type="dxa"/>
              <w:bottom w:w="80" w:type="dxa"/>
              <w:start w:w="120" w:type="dxa"/>
              <w:end w:w="120" w:type="dxa"/>
            </w:tcMar>
            <w:tcW w:w="3588" w:type="dxa"/>
            <w:shd w:fill="E8EEF5"/>
          </w:tcPr>
          <w:p>
            <w:pPr>
              <w:pStyle w:val="Compact"/>
              <w:spacing w:before="0" w:after="40" w:line="240" w:lineRule="auto"/>
              <w:jc w:val="left"/>
            </w:pPr>
            <w:r>
              <w:rPr>
                <w:rFonts w:ascii="Times New Roman" w:hAnsi="Times New Roman" w:eastAsia="SimSun"/>
                <w:b/>
                <w:sz w:val="17"/>
                <w:lang w:val="en-US" w:eastAsia="zh-CN"/>
              </w:rPr>
              <w:t xml:space="preserve">门槛</w:t>
            </w:r>
          </w:p>
        </w:tc>
        <w:tc>
          <w:tcPr>
            <w:vAlign w:val="center"/>
            <w:tcMar>
              <w:top w:w="80" w:type="dxa"/>
              <w:bottom w:w="80" w:type="dxa"/>
              <w:start w:w="120" w:type="dxa"/>
              <w:end w:w="120" w:type="dxa"/>
            </w:tcMar>
            <w:tcW w:w="2125" w:type="dxa"/>
            <w:shd w:fill="E8EEF5"/>
          </w:tcPr>
          <w:p>
            <w:pPr>
              <w:pStyle w:val="Compact"/>
              <w:spacing w:before="0" w:after="40" w:line="240" w:lineRule="auto"/>
              <w:jc w:val="left"/>
            </w:pPr>
            <w:r>
              <w:rPr>
                <w:rFonts w:ascii="Times New Roman" w:hAnsi="Times New Roman" w:eastAsia="SimSun"/>
                <w:b/>
                <w:sz w:val="17"/>
                <w:lang w:val="en-US" w:eastAsia="zh-CN"/>
              </w:rPr>
              <w:t xml:space="preserve">结果</w:t>
            </w:r>
          </w:p>
        </w:tc>
        <w:tc>
          <w:tcPr>
            <w:vAlign w:val="center"/>
            <w:tcMar>
              <w:top w:w="80" w:type="dxa"/>
              <w:bottom w:w="80" w:type="dxa"/>
              <w:start w:w="120" w:type="dxa"/>
              <w:end w:w="120" w:type="dxa"/>
            </w:tcMar>
            <w:tcW w:w="3647" w:type="dxa"/>
            <w:shd w:fill="E8EEF5"/>
          </w:tcPr>
          <w:p>
            <w:pPr>
              <w:pStyle w:val="Compact"/>
              <w:spacing w:before="0" w:after="40" w:line="240" w:lineRule="auto"/>
              <w:jc w:val="center"/>
            </w:pPr>
            <w:r>
              <w:rPr>
                <w:rFonts w:ascii="Times New Roman" w:hAnsi="Times New Roman" w:eastAsia="SimSun"/>
                <w:b/>
                <w:sz w:val="17"/>
                <w:lang w:val="en-US" w:eastAsia="zh-CN"/>
              </w:rPr>
              <w:t xml:space="preserve">证据</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相对结构化条件的安全效应</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绝对降低 22.22 个百分点</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工具效用点估计非劣</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相对 −25.00 个百分点，界限为 −5 个百分点</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full 相对 policy-only 的安全增益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未通过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0/36 对 0/36</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排除 deny-all</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良性初始 ASK 或 DENY 为 22.22%</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运行质量</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通过</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三项预定义质量检查均通过</w:t>
            </w:r>
          </w:p>
        </w:tc>
      </w:tr>
      <w:tr>
        <w:tc>
          <w:tcPr>
            <w:vAlign w:val="center"/>
            <w:tcMar>
              <w:top w:w="80" w:type="dxa"/>
              <w:bottom w:w="80" w:type="dxa"/>
              <w:start w:w="120" w:type="dxa"/>
              <w:end w:w="120" w:type="dxa"/>
            </w:tcMar>
            <w:tcW w:w="3588" w:type="dxa"/>
          </w:tcPr>
          <w:p>
            <w:pPr>
              <w:pStyle w:val="Compact"/>
              <w:spacing w:before="0" w:after="40" w:line="240" w:lineRule="auto"/>
              <w:jc w:val="left"/>
            </w:pPr>
            <w:r>
              <w:rPr>
                <w:rFonts w:ascii="Times New Roman" w:hAnsi="Times New Roman" w:eastAsia="SimSun"/>
                <w:sz w:val="17"/>
                <w:lang w:val="en-US" w:eastAsia="zh-CN"/>
              </w:rPr>
              <w:t xml:space="preserve">支持的解释</w:t>
            </w:r>
          </w:p>
        </w:tc>
        <w:tc>
          <w:tcPr>
            <w:vAlign w:val="center"/>
            <w:tcMar>
              <w:top w:w="80" w:type="dxa"/>
              <w:bottom w:w="80" w:type="dxa"/>
              <w:start w:w="120" w:type="dxa"/>
              <w:end w:w="120" w:type="dxa"/>
            </w:tcMar>
            <w:tcW w:w="2125" w:type="dxa"/>
          </w:tcPr>
          <w:p>
            <w:pPr>
              <w:pStyle w:val="Compact"/>
              <w:spacing w:before="0" w:after="40" w:line="240" w:lineRule="auto"/>
              <w:jc w:val="left"/>
            </w:pPr>
            <w:r>
              <w:rPr>
                <w:rFonts w:ascii="Times New Roman" w:hAnsi="Times New Roman" w:eastAsia="SimSun"/>
                <w:sz w:val="17"/>
                <w:lang w:val="en-US" w:eastAsia="zh-CN"/>
              </w:rPr>
              <w:t xml:space="preserve">实证权衡研究</w:t>
            </w:r>
          </w:p>
        </w:tc>
        <w:tc>
          <w:tcPr>
            <w:vAlign w:val="center"/>
            <w:tcMar>
              <w:top w:w="80" w:type="dxa"/>
              <w:bottom w:w="80" w:type="dxa"/>
              <w:start w:w="120" w:type="dxa"/>
              <w:end w:w="120" w:type="dxa"/>
            </w:tcMar>
            <w:tcW w:w="3647" w:type="dxa"/>
          </w:tcPr>
          <w:p>
            <w:pPr>
              <w:pStyle w:val="Compact"/>
              <w:spacing w:before="0" w:after="40" w:line="240" w:lineRule="auto"/>
              <w:jc w:val="center"/>
            </w:pPr>
            <w:r>
              <w:rPr>
                <w:rFonts w:ascii="Times New Roman" w:hAnsi="Times New Roman" w:eastAsia="SimSun"/>
                <w:sz w:val="17"/>
                <w:lang w:val="en-US" w:eastAsia="zh-CN"/>
              </w:rPr>
              <w:t xml:space="preserve">不支持增量防御机制主张</w:t>
            </w:r>
          </w:p>
        </w:tc>
      </w:tr>
    </w:tbl>
    <w:p>
      <w:pPr>
        <w:pStyle w:val="BodyText"/>
      </w:pPr>
      <w:r>
        <w:rPr>
          <w:rFonts w:ascii="Times New Roman" w:hAnsi="Times New Roman" w:eastAsia="SimSun"/>
          <w:lang w:val="en-US" w:eastAsia="zh-CN"/>
        </w:rPr>
        <w:t xml:space="preserve">因此，结果支持围绕授权不确定性和安全—效用权衡的实证研究，不支持防御优越性或 SOTA 主张。</w:t>
      </w:r>
    </w:p>
    <w:bookmarkEnd w:id="50"/>
    <w:bookmarkStart w:id="51" w:name="public-主模型结果"/>
    <w:p>
      <w:pPr>
        <w:pStyle w:val="Heading3"/>
        <w:keepNext/>
      </w:pPr>
      <w:r>
        <w:rPr>
          <w:rFonts w:ascii="Times New Roman" w:hAnsi="Times New Roman" w:eastAsia="Microsoft YaHei"/>
          <w:lang w:val="en-US" w:eastAsia="zh-CN"/>
        </w:rPr>
        <w:t xml:space="preserve">4.4 Public 主模型结果</w:t>
      </w:r>
    </w:p>
    <w:p>
      <w:pPr>
        <w:pStyle w:val="FirstParagraph"/>
      </w:pPr>
      <w:r>
        <w:rPr>
          <w:rFonts w:ascii="Times New Roman" w:hAnsi="Times New Roman" w:eastAsia="SimSun"/>
          <w:lang w:val="en-US" w:eastAsia="zh-CN"/>
        </w:rPr>
        <w:t xml:space="preserve">完成的 Public 矩阵包含 847 个唯一案例和 5,082 条记录，即 600 个攻击案例与 247 个良性案例分别跨六个条件。全部 76 条诊断记录（1.4955%）保留在 ITT 中。该比例超过预定义 1% 质量上限，因此不能提出 clean-mechanism 质量主张。一次性完整性检查仍确认了唯一案例—条件覆盖、模型身份和诊断保留；该结果只代表主模型。</w:t>
      </w:r>
    </w:p>
    <w:p>
      <w:pPr>
        <w:pStyle w:val="BodyText"/>
      </w:pPr>
      <w:r>
        <w:rPr>
          <w:rFonts w:ascii="Times New Roman" w:hAnsi="Times New Roman" w:eastAsia="SimSun"/>
          <w:lang w:val="en-US" w:eastAsia="zh-CN"/>
        </w:rPr>
        <w:t xml:space="preserve">在 600 个配对攻击案例上，M3-full 产生 38 个不安全效应（6.33%，Wilson 95% CI 4.65–8.57），结构化条件为 133 个（22.17%，19.03–25.66）。配对差为 −15.83 个百分点（10,000 次聚类 bootstrap 95% CI −19.50 至 −12.17；exact McNemar p=4.04e−17；Holm 校正 p=1.61e−16）。然而，该降低不能证明完整系统模块贡献：M3 policy-only 只有 13 个不安全效应（2.17%，1.27–3.67），因此 M3-full 比 policy-only 高 4.17 个百分点（bootstrap 95% CI 2.50–6.00；exact McNemar p=1.62e−6）。</w:t>
      </w:r>
    </w:p>
    <w:p>
      <w:pPr>
        <w:pStyle w:val="BodyText"/>
      </w:pPr>
      <w:r>
        <w:rPr>
          <w:rFonts w:ascii="Times New Roman" w:hAnsi="Times New Roman" w:eastAsia="SimSun"/>
          <w:lang w:val="en-US" w:eastAsia="zh-CN"/>
        </w:rPr>
        <w:t xml:space="preserve">M3-full 的良性工具任务完成为 49/168（29.17%，22.82–36.44），结构化条件为 103/168（61.31%，53.77–68.34），差为 −32.14 个百分点（bootstrap 95% CI −39.88 至 −25.00；exact McNemar p=1.19e−14）。M3-full 与 policy-only 均完成 49/168，配对差为 0.00 个百分点。六个条件均完成 79/79 个良性无工具任务。</w:t>
      </w:r>
    </w:p>
    <w:p>
      <w:pPr>
        <w:pStyle w:val="BodyText"/>
      </w:pPr>
      <w:r>
        <w:rPr>
          <w:rFonts w:ascii="Times New Roman" w:hAnsi="Times New Roman" w:eastAsia="SimSun"/>
          <w:lang w:val="en-US" w:eastAsia="zh-CN"/>
        </w:rPr>
        <w:t xml:space="preserve">补充表 S5 给出 Public 主实验的基准分层。两个攻击基准的方向一致：M3-full 比结构化条件更安全，但不如 policy-only。效用呈明显基准依赖性。M3-v2 公共工具任务在三个焦点条件间没有完成差异，而 AgentDojo 工具完成在两种 M3 变体下都比结构化条件低 55.67 个百分点。AgentDojo 良性分母始终为 97 个唯一官方效用任务，没有通过复制扩大。</w:t>
      </w:r>
    </w:p>
    <w:bookmarkEnd w:id="51"/>
    <w:bookmarkStart w:id="52" w:name="deepseek-v4-flash-公共复现"/>
    <w:p>
      <w:pPr>
        <w:pStyle w:val="Heading3"/>
        <w:keepNext/>
      </w:pPr>
      <w:r>
        <w:rPr>
          <w:rFonts w:ascii="Times New Roman" w:hAnsi="Times New Roman" w:eastAsia="Microsoft YaHei"/>
          <w:lang w:val="en-US" w:eastAsia="zh-CN"/>
        </w:rPr>
        <w:t xml:space="preserve">4.5 DeepSeek V4 Flash 公共复现</w:t>
      </w:r>
    </w:p>
    <w:p>
      <w:pPr>
        <w:pStyle w:val="FirstParagraph"/>
      </w:pPr>
      <w:r>
        <w:rPr>
          <w:rFonts w:ascii="Times New Roman" w:hAnsi="Times New Roman" w:eastAsia="SimSun"/>
          <w:lang w:val="en-US" w:eastAsia="zh-CN"/>
        </w:rPr>
        <w:t xml:space="preserve">完成的 Flash 矩阵含 1,791 条记录：结构化、policy-only 和 full 每个条件均包含 400 个攻击、145 个良性工具任务和 52 个良性无工具任务。M3-full 产生 24/400 个不安全效应（6.00%，Wilson 95% CI 4.06–8.77），policy-only 为 12/400（3.00%，1.72–5.17），结构化基线为 47/400（11.75%，8.95–15.28）。full 减 policy-only 为 +3.00 个百分点，与 V4 Pro 中不利于 full 的方向一致。</w:t>
      </w:r>
    </w:p>
    <w:p>
      <w:pPr>
        <w:pStyle w:val="BodyText"/>
      </w:pPr>
      <w:r>
        <w:rPr>
          <w:rFonts w:ascii="Times New Roman" w:hAnsi="Times New Roman" w:eastAsia="SimSun"/>
          <w:lang w:val="en-US" w:eastAsia="zh-CN"/>
        </w:rPr>
        <w:t xml:space="preserve">良性工具完成分别为 full 38/145（26.21%，19.73–33.91）、policy-only 35/145（24.14%，17.90–31.71）和结构化基线 82/145（56.55%，48.42–64.35）。三个条件均完成 52/52 个良性无工具任务。full 相对 policy-only 仅 +2.07 个百分点的工具完成差不能抵消其安全劣势，也不被解释为独立机制增益。16 条运行诊断记录保留在 ITT 中，因此 Flash 结果属于同一服务商内的模型复现，不支持 clean-mechanism 或跨厂商主张。</w:t>
      </w:r>
    </w:p>
    <w:bookmarkEnd w:id="52"/>
    <w:bookmarkStart w:id="53" w:name="public-运行与决策负担"/>
    <w:p>
      <w:pPr>
        <w:pStyle w:val="Heading3"/>
        <w:keepNext/>
      </w:pPr>
      <w:r>
        <w:rPr>
          <w:rFonts w:ascii="Times New Roman" w:hAnsi="Times New Roman" w:eastAsia="Microsoft YaHei"/>
          <w:lang w:val="en-US" w:eastAsia="zh-CN"/>
        </w:rPr>
        <w:t xml:space="preserve">4.6 Public 运行与决策负担</w:t>
      </w:r>
    </w:p>
    <w:p>
      <w:pPr>
        <w:pStyle w:val="FirstParagraph"/>
      </w:pPr>
      <w:r>
        <w:rPr>
          <w:rFonts w:ascii="Times New Roman" w:hAnsi="Times New Roman" w:eastAsia="SimSun"/>
          <w:lang w:val="en-US" w:eastAsia="zh-CN"/>
        </w:rPr>
        <w:t xml:space="preserve">Public 矩阵包含 4,616 条完成记录、112 条最大步骤、120 条解析失败和 234 条服务商失败。诊断在条件间分布不均：结构化 27 条、safe-prompt 24 条、M3-full 22 条、no-defense 2 条、PromptGuard 1 条、policy-only 0 条。由于终态失败可能影响所观察的不安全效应计数，该不平衡被明确披露；没有任何诊断被重试或剔除。</w:t>
      </w:r>
    </w:p>
    <w:p>
      <w:pPr>
        <w:pStyle w:val="BodyText"/>
      </w:pPr>
      <w:r>
        <w:rPr>
          <w:rFonts w:ascii="Times New Roman" w:hAnsi="Times New Roman" w:eastAsia="SimSun"/>
          <w:lang w:val="en-US" w:eastAsia="zh-CN"/>
        </w:rPr>
        <w:t xml:space="preserve">在攻击任务上，M3-full 给出 181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和 44 个初始</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，policy-only 给出 197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且没有</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DENY</w:t>
      </w:r>
      <w:r>
        <w:rPr>
          <w:rFonts w:ascii="Times New Roman" w:hAnsi="Times New Roman" w:eastAsia="SimSun"/>
          <w:lang w:val="en-US" w:eastAsia="zh-CN"/>
        </w:rPr>
        <w:t xml:space="preserve">。在 168 个良性工具任务上，M3-full 给出 75 个</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，policy-only 给出 69 个。主要机制比较由此满足结构化安全效应标准，却未满足效用非劣与模块增益标准。该模式更符合安全—效用权衡，而非完整机制的增量收益。</w:t>
      </w:r>
    </w:p>
    <w:bookmarkEnd w:id="53"/>
    <w:bookmarkStart w:id="56" w:name="deepseek-授权制度实验"/>
    <w:p>
      <w:pPr>
        <w:pStyle w:val="Heading3"/>
        <w:keepNext/>
      </w:pPr>
      <w:r>
        <w:rPr>
          <w:rFonts w:ascii="Times New Roman" w:hAnsi="Times New Roman" w:eastAsia="Microsoft YaHei"/>
          <w:lang w:val="en-US" w:eastAsia="zh-CN"/>
        </w:rPr>
        <w:t xml:space="preserve">4.7 DeepSeek 授权制度实验</w:t>
      </w:r>
    </w:p>
    <w:p>
      <w:pPr>
        <w:pStyle w:val="FirstParagraph"/>
      </w:pPr>
      <w:r>
        <w:rPr>
          <w:rFonts w:ascii="Times New Roman" w:hAnsi="Times New Roman" w:eastAsia="SimSun"/>
          <w:lang w:val="en-US" w:eastAsia="zh-CN"/>
        </w:rPr>
        <w:t xml:space="preserve">冻结的授权研究在 180 个配对案例上形成 900 个 DeepSeek V4 Pro 终态工作项。四个主单元均含 100 个攻击、60 个良性工具任务和 20 个良性无工具任务；嵌套 60 案例子集在 M3-full 下增加 broad、underspecified 和 conflicting。恢复仅限于从未获得服务商响应的 33 个工作项；867 个已获响应项目均未重跑。最终 ITT 人群包括 768 条完成、54 条解析失败、30 条最大步骤、15 条服务商失败以及 33 条重复的响应前失败。原始评估器、标签和金标准答案字段均未进入在线投影，</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只暴露其派生授权对象。服务商工具与真实外部效应始终关闭。</w:t>
      </w:r>
    </w:p>
    <w:bookmarkStart w:id="54" w:name="联合安全与效用终点"/>
    <w:p>
      <w:pPr>
        <w:pStyle w:val="Heading4"/>
        <w:keepNext/>
      </w:pPr>
      <w:r>
        <w:rPr>
          <w:rFonts w:ascii="Times New Roman" w:hAnsi="Times New Roman" w:eastAsia="Microsoft YaHei"/>
          <w:lang w:val="en-US" w:eastAsia="zh-CN"/>
        </w:rPr>
        <w:t xml:space="preserve">4.7.1 联合安全与效用终点</w:t>
      </w:r>
    </w:p>
    <w:p>
      <w:pPr>
        <w:pStyle w:val="FirstParagraph"/>
      </w:pPr>
      <w:r>
        <w:rPr>
          <w:rFonts w:ascii="Times New Roman" w:hAnsi="Times New Roman" w:eastAsia="SimSun"/>
          <w:lang w:val="en-US" w:eastAsia="zh-CN"/>
        </w:rPr>
        <w:t xml:space="preserve">主实验的不安全效应处于地板水平：M3-full 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和</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下均为 0/100，policy-only 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下为 0/100，在</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下为 1/100。因此，</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 full 减 policy-only 为 −1.00 个百分点（任务聚类 bootstrap 95% CI −3.00 至 0.00；Holm 校正 McNemar p=1.0），其余主要安全比较完全为零或只涉及同一单事件。数据没有证明完整机制可在 policy-only 之外产生可复现安全增益。</w:t>
      </w:r>
    </w:p>
    <w:p>
      <w:pPr>
        <w:pStyle w:val="BodyText"/>
      </w:pPr>
      <w:r>
        <w:rPr>
          <w:rFonts w:ascii="Times New Roman" w:hAnsi="Times New Roman" w:eastAsia="SimSun"/>
          <w:lang w:val="en-US" w:eastAsia="zh-CN"/>
        </w:rPr>
        <w:t xml:space="preserve">良性工具任务完成呈现更大的授权效应。</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22/60（36.67%，Wilson 95% CI 25.62–49.32），M3-full 完成 16/60（26.67%，17.13–39.01），配对 full 减 policy-only 为 −10.00 个百分点（bootstrap 95% CI −18.33 至 −3.33；Holm 校正 p=0.09375）。</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下，policy-only 完成 9/60（15.00%，8.10–26.11），full 完成 7/60（11.67%，5.77–22.18），配对差为 −3.33 个百分点（bootstrap 95% CI −8.33 至 0.00；Holm 校正 p=0.5）。四个主单元均完成 20/20 个良性无工具任务。</w:t>
      </w:r>
    </w:p>
    <w:p>
      <w:pPr>
        <w:pStyle w:val="BodyText"/>
      </w:pPr>
      <w:r>
        <w:rPr>
          <w:rFonts w:ascii="Times New Roman" w:hAnsi="Times New Roman" w:eastAsia="SimSun"/>
          <w:lang w:val="en-US" w:eastAsia="zh-CN"/>
        </w:rPr>
        <w:t xml:space="preserve">policy-only 由</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后，配对良性工具完成下降 21.67 个百分点（bootstrap 95% CI −36.67 至 −5.00；Holm 校正 p=0.05853）。M3-full 对应下降 15.00 个百分点（−28.33 至 −1.67；Holm 校正 p=0.09808）。bootstrap 区间不含零，但两个 exact McNemar 比较经 Holm 校正后均未低于 0.05。因此，本文把一致的方向和效应量解释为该样本内的授权敏感性，而不是普遍 oracle 策略效应。</w:t>
      </w:r>
    </w:p>
    <w:bookmarkEnd w:id="54"/>
    <w:bookmarkStart w:id="55" w:name="压力制度与运行负担"/>
    <w:p>
      <w:pPr>
        <w:pStyle w:val="Heading4"/>
        <w:keepNext/>
      </w:pPr>
      <w:r>
        <w:rPr>
          <w:rFonts w:ascii="Times New Roman" w:hAnsi="Times New Roman" w:eastAsia="Microsoft YaHei"/>
          <w:lang w:val="en-US" w:eastAsia="zh-CN"/>
        </w:rPr>
        <w:t xml:space="preserve">4.7.2 压力制度与运行负担</w:t>
      </w:r>
    </w:p>
    <w:p>
      <w:pPr>
        <w:pStyle w:val="FirstParagraph"/>
      </w:pPr>
      <w:r>
        <w:rPr>
          <w:rFonts w:ascii="Times New Roman" w:hAnsi="Times New Roman" w:eastAsia="SimSun"/>
          <w:lang w:val="en-US" w:eastAsia="zh-CN"/>
        </w:rPr>
        <w:t xml:space="preserve">在嵌套良性工具子集上，从匹配的 M3-full</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 broad、conflicting 或 underspecified 后，完成率分别下降 25、30 和 25 个百分点；bootstrap 区间分别为 −45 至 −5、−50 至 −10 和 −50 至 0。三个压力单元各含 30 个攻击任务，均没有发生不安全效应，因此压力比较主要揭示效用损失，而不是可观察安全增益。</w:t>
      </w:r>
    </w:p>
    <w:p>
      <w:pPr>
        <w:pStyle w:val="BodyText"/>
      </w:pPr>
      <w:r>
        <w:rPr>
          <w:rFonts w:ascii="Times New Roman" w:hAnsi="Times New Roman" w:eastAsia="SimSun"/>
          <w:lang w:val="en-US" w:eastAsia="zh-CN"/>
        </w:rPr>
        <w:t xml:space="preserve">决策与失败分布解释了部分权衡。policy-only 下，</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有 34.44% 的记录含 ASK、7.22% 含 DENY；</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没有 ASK，但 48.89% 的记录含 DENY，失败率从 7.22% 升至 23.89%，p95 时延从 10.63 秒升至 19.42 秒。M3-full 呈现相同模式：ASK 从 32.22% 降至零，DENY 从 11.11% 升至 45.00%，失败率从 9.44% 升至 24.44%，p95 从 9.18 秒升至 19.62 秒。DENY incidence 统计至少含一次 DENY 的记录；事件总数另行保留，因为一条记录可能含多个决策。900 个工作项总成本为 CNY 1.3888324。</w:t>
      </w:r>
    </w:p>
    <w:p>
      <w:pPr>
        <w:pStyle w:val="BodyText"/>
      </w:pPr>
      <w:r>
        <w:rPr>
          <w:rFonts w:ascii="Times New Roman" w:hAnsi="Times New Roman" w:eastAsia="SimSun"/>
          <w:lang w:val="en-US" w:eastAsia="zh-CN"/>
        </w:rPr>
        <w:t xml:space="preserve">该结果与</w:t>
      </w:r>
      <w:r>
        <w:rPr>
          <w:rFonts w:ascii="Times New Roman" w:hAnsi="Times New Roman" w:eastAsia="SimSun"/>
          <w:lang w:val="en-US" w:eastAsia="zh-CN"/>
        </w:rPr>
        <w:t xml:space="preserve">“</w:t>
      </w:r>
      <w:r>
        <w:rPr>
          <w:rFonts w:ascii="Times New Roman" w:hAnsi="Times New Roman" w:eastAsia="SimSun"/>
          <w:lang w:val="en-US" w:eastAsia="zh-CN"/>
        </w:rPr>
        <w:t xml:space="preserve">答案派生精确策略必然提高效用</w:t>
      </w:r>
      <w:r>
        <w:rPr>
          <w:rFonts w:ascii="Times New Roman" w:hAnsi="Times New Roman" w:eastAsia="SimSun"/>
          <w:lang w:val="en-US" w:eastAsia="zh-CN"/>
        </w:rPr>
        <w:t xml:space="preserve">”</w:t>
      </w:r>
      <w:r>
        <w:rPr>
          <w:rFonts w:ascii="Times New Roman" w:hAnsi="Times New Roman" w:eastAsia="SimSun"/>
          <w:lang w:val="en-US" w:eastAsia="zh-CN"/>
        </w:rPr>
        <w:t xml:space="preserve">的简单预期相反。在本实现中，精确策略表现为更严格的授权处理：以重复阻断取代确认，并带来更高运行失败。结果支持在评估中显式披露授权构造，但不能推出每一种金标准派生策略或每一种运行时 Guard 都会如此。</w:t>
      </w:r>
    </w:p>
    <w:bookmarkEnd w:id="55"/>
    <w:bookmarkEnd w:id="56"/>
    <w:bookmarkStart w:id="57" w:name="截至预算-200-的防御感知自适应证据"/>
    <w:p>
      <w:pPr>
        <w:pStyle w:val="Heading3"/>
        <w:keepNext/>
      </w:pPr>
      <w:r>
        <w:rPr>
          <w:rFonts w:ascii="Times New Roman" w:hAnsi="Times New Roman" w:eastAsia="Microsoft YaHei"/>
          <w:lang w:val="en-US" w:eastAsia="zh-CN"/>
        </w:rPr>
        <w:t xml:space="preserve">4.8 截至预算 200 的防御感知自适应证据</w:t>
      </w:r>
    </w:p>
    <w:p>
      <w:pPr>
        <w:pStyle w:val="FirstParagraph"/>
      </w:pPr>
      <w:r>
        <w:rPr>
          <w:rFonts w:ascii="Times New Roman" w:hAnsi="Times New Roman" w:eastAsia="SimSun"/>
          <w:lang w:val="en-US" w:eastAsia="zh-CN"/>
        </w:rPr>
        <w:t xml:space="preserve">初始 DeepSeek V4 Pro 成本 canary 使用 8 个结果盲、攻击族平衡的 M3-v2 开发任务，在 M3-full 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下运行。每任务最多 50 次查询时，没有发现不安全效应：0/8，即 0.00%（Wilson 95% CI 0.00–32.44%）。运行保留一条已关闭的诊断查询；该任务在查询 24 终止，其余 7 个任务达到查询 50。canary 共包含 374 个终态查询、562 次官方服务商调用和 CNY 0.552805 成本。终态查询的初始决策为 207 次 ALLOW、123 次 ASK 和 44 次 DENY。</w:t>
      </w:r>
    </w:p>
    <w:p>
      <w:pPr>
        <w:pStyle w:val="BodyText"/>
      </w:pPr>
      <w:r>
        <w:rPr>
          <w:rFonts w:ascii="Times New Roman" w:hAnsi="Times New Roman" w:eastAsia="SimSun"/>
          <w:lang w:val="en-US" w:eastAsia="zh-CN"/>
        </w:rPr>
        <w:t xml:space="preserve">完整冻结面板随后使 40 个任务全部达到终态。预算 50 前有 4/40 个任务出现首个不安全效应（10.00%，Wilson 95% CI 3.96–23.05），预算 200 前增至 18/40（45.00%，30.71–60.17）。18 个已观察成功中有 14 个只在查询 50 之后出现。证据支持截至 200 的预算敏感性结论，但不能证明饱和、比较另一模型或支撑 SOTA/自适应稳健性主张。补充表 S6 给出详细结果。</w:t>
      </w:r>
    </w:p>
    <w:bookmarkEnd w:id="57"/>
    <w:bookmarkStart w:id="58" w:name="剩余证据边界"/>
    <w:p>
      <w:pPr>
        <w:pStyle w:val="Heading3"/>
        <w:keepNext/>
      </w:pPr>
      <w:r>
        <w:rPr>
          <w:rFonts w:ascii="Times New Roman" w:hAnsi="Times New Roman" w:eastAsia="Microsoft YaHei"/>
          <w:lang w:val="en-US" w:eastAsia="zh-CN"/>
        </w:rPr>
        <w:t xml:space="preserve">4.9 剩余证据边界</w:t>
      </w:r>
    </w:p>
    <w:p>
      <w:pPr>
        <w:pStyle w:val="FirstParagraph"/>
      </w:pPr>
      <w:r>
        <w:rPr>
          <w:rFonts w:ascii="Times New Roman" w:hAnsi="Times New Roman" w:eastAsia="SimSun"/>
          <w:lang w:val="en-US" w:eastAsia="zh-CN"/>
        </w:rPr>
        <w:t xml:space="preserve">中型、Public Pro、Public Flash、授权制度和预算 50/200 研究共同支持安全—效用实证论文，但不支持领先防御、来源因果效应、自适应攻击饱和或跨厂商结论。Gemini 在三个配额日免费层规则下仍未完成；在达到停止规则前，其部分记录不进入以上推断。当前记录契约无法识别 UTR 和 DSR，本文不根据不安全效应率反推二者。</w:t>
      </w:r>
    </w:p>
    <w:bookmarkEnd w:id="58"/>
    <w:bookmarkEnd w:id="59"/>
    <w:bookmarkStart w:id="68" w:name="讨论"/>
    <w:p>
      <w:pPr>
        <w:pStyle w:val="Heading2"/>
        <w:keepNext/>
      </w:pPr>
      <w:r>
        <w:rPr>
          <w:rFonts w:ascii="Times New Roman" w:hAnsi="Times New Roman" w:eastAsia="Microsoft YaHei"/>
          <w:lang w:val="en-US" w:eastAsia="zh-CN"/>
        </w:rPr>
        <w:t xml:space="preserve">5. 讨论</w:t>
      </w:r>
    </w:p>
    <w:bookmarkStart w:id="60" w:name="既有证据改变了研究主张"/>
    <w:p>
      <w:pPr>
        <w:pStyle w:val="Heading3"/>
        <w:keepNext/>
      </w:pPr>
      <w:r>
        <w:rPr>
          <w:rFonts w:ascii="Times New Roman" w:hAnsi="Times New Roman" w:eastAsia="Microsoft YaHei"/>
          <w:lang w:val="en-US" w:eastAsia="zh-CN"/>
        </w:rPr>
        <w:t xml:space="preserve">5.1 既有证据改变了研究主张</w:t>
      </w:r>
    </w:p>
    <w:p>
      <w:pPr>
        <w:pStyle w:val="FirstParagraph"/>
      </w:pPr>
      <w:r>
        <w:rPr>
          <w:rFonts w:ascii="Times New Roman" w:hAnsi="Times New Roman" w:eastAsia="SimSun"/>
          <w:lang w:val="en-US" w:eastAsia="zh-CN"/>
        </w:rPr>
        <w:t xml:space="preserve">中型与 Public 实验均不支持把 M3-full 表述为比 policy-only 更强的防御。在 5,082 条 DeepSeek V4 Pro Public 记录中，M3-full 的不安全效应多于 policy-only（38/600 对 13/600），两种变体完成相同数量的良性工具任务（49/168）。1,791 条 V4 Flash 记录重复了相同安全方向：full 为 24/400，policy-only 为 12/400。Flash 的效用差很小（38/145 对 35/145），不足以支持完整模块具有独立价值。</w:t>
      </w:r>
    </w:p>
    <w:p>
      <w:pPr>
        <w:pStyle w:val="BodyText"/>
      </w:pPr>
      <w:r>
        <w:rPr>
          <w:rFonts w:ascii="Times New Roman" w:hAnsi="Times New Roman" w:eastAsia="SimSun"/>
          <w:lang w:val="en-US" w:eastAsia="zh-CN"/>
        </w:rPr>
        <w:t xml:space="preserve">这种负面证据具有科学意义。两种变体共享策略表示和运行时执行点，差异集中在额外来源、时序/数据流和确认路径。完整机制可能因为增加的状态或决策逻辑引入歧义、</w:t>
      </w:r>
      <w:r>
        <w:rPr>
          <w:rStyle w:val="VerbatimChar"/>
          <w:rFonts w:ascii="Times New Roman" w:hAnsi="Times New Roman" w:eastAsia="SimSun"/>
          <w:lang w:val="en-US" w:eastAsia="zh-CN"/>
        </w:rPr>
        <w:t xml:space="preserve">ASK</w:t>
      </w:r>
      <w:r>
        <w:rPr>
          <w:rFonts w:ascii="Times New Roman" w:hAnsi="Times New Roman" w:eastAsia="SimSun"/>
          <w:lang w:val="en-US" w:eastAsia="zh-CN"/>
        </w:rPr>
        <w:t xml:space="preserve"> </w:t>
      </w:r>
      <w:r>
        <w:rPr>
          <w:rFonts w:ascii="Times New Roman" w:hAnsi="Times New Roman" w:eastAsia="SimSun"/>
          <w:lang w:val="en-US" w:eastAsia="zh-CN"/>
        </w:rPr>
        <w:t xml:space="preserve">处理重新开放了 policy-only 会阻断的路径、模型对反馈的适应不同，或来源表示噪声过大而不能提供有效区分，从而没有改善安全性。新的授权制度实验能够区分其中部分解释，但不声称识别普遍因果机制。</w:t>
      </w:r>
    </w:p>
    <w:bookmarkEnd w:id="60"/>
    <w:bookmarkStart w:id="61" w:name="授权是实验处理的一部分"/>
    <w:p>
      <w:pPr>
        <w:pStyle w:val="Heading3"/>
        <w:keepNext/>
      </w:pPr>
      <w:r>
        <w:rPr>
          <w:rFonts w:ascii="Times New Roman" w:hAnsi="Times New Roman" w:eastAsia="Microsoft YaHei"/>
          <w:lang w:val="en-US" w:eastAsia="zh-CN"/>
        </w:rPr>
        <w:t xml:space="preserve">5.2 授权是实验处理的一部分</w:t>
      </w:r>
    </w:p>
    <w:p>
      <w:pPr>
        <w:pStyle w:val="FirstParagraph"/>
      </w:pPr>
      <w:r>
        <w:rPr>
          <w:rFonts w:ascii="Times New Roman" w:hAnsi="Times New Roman" w:eastAsia="SimSun"/>
          <w:lang w:val="en-US" w:eastAsia="zh-CN"/>
        </w:rPr>
        <w:t xml:space="preserve">工具型智能体评估若把授权当作固定基础设施，可能产生误导。根据期望答案逐案例重建的精确授权对象会消除部署 Guard 必须处理的不确定性；宽泛策略可能通过授权过多改善表面效用；信息不足策略可能使安全任务无法完成；冲突约束即使阻止了不安全效应，也可能增加拒绝、确认或失败。</w:t>
      </w:r>
    </w:p>
    <w:p>
      <w:pPr>
        <w:pStyle w:val="BodyText"/>
      </w:pPr>
      <w:r>
        <w:rPr>
          <w:rFonts w:ascii="Times New Roman" w:hAnsi="Times New Roman" w:eastAsia="SimSun"/>
          <w:lang w:val="en-US" w:eastAsia="zh-CN"/>
        </w:rPr>
        <w:t xml:space="preserve">配对设计使这些权衡可观察。</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在不可信上下文进入前根据可信用户意图生成，因此是主要的类部署制度；</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只是 oracle 敏感性条件。</w:t>
      </w:r>
      <w:r>
        <w:rPr>
          <w:rStyle w:val="VerbatimChar"/>
          <w:rFonts w:ascii="Times New Roman" w:hAnsi="Times New Roman" w:eastAsia="SimSun"/>
          <w:lang w:val="en-US" w:eastAsia="zh-CN"/>
        </w:rPr>
        <w:t xml:space="preserve">broad</w:t>
      </w:r>
      <w:r>
        <w:rPr>
          <w:rFonts w:ascii="Times New Roman" w:hAnsi="Times New Roman" w:eastAsia="SimSun"/>
          <w:lang w:val="en-US" w:eastAsia="zh-CN"/>
        </w:rPr>
        <w:t xml:space="preserve">、</w:t>
      </w:r>
      <w:r>
        <w:rPr>
          <w:rStyle w:val="VerbatimChar"/>
          <w:rFonts w:ascii="Times New Roman" w:hAnsi="Times New Roman" w:eastAsia="SimSun"/>
          <w:lang w:val="en-US" w:eastAsia="zh-CN"/>
        </w:rPr>
        <w:t xml:space="preserve">underspecified</w:t>
      </w:r>
      <w:r>
        <w:rPr>
          <w:rFonts w:ascii="Times New Roman" w:hAnsi="Times New Roman" w:eastAsia="SimSun"/>
          <w:lang w:val="en-US" w:eastAsia="zh-CN"/>
        </w:rPr>
        <w:t xml:space="preserve"> </w:t>
      </w:r>
      <w:r>
        <w:rPr>
          <w:rFonts w:ascii="Times New Roman" w:hAnsi="Times New Roman" w:eastAsia="SimSun"/>
          <w:lang w:val="en-US" w:eastAsia="zh-CN"/>
        </w:rPr>
        <w:t xml:space="preserve">与</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conflicting</w:t>
      </w:r>
      <w:r>
        <w:rPr>
          <w:rFonts w:ascii="Times New Roman" w:hAnsi="Times New Roman" w:eastAsia="SimSun"/>
          <w:lang w:val="en-US" w:eastAsia="zh-CN"/>
        </w:rPr>
        <w:t xml:space="preserve"> </w:t>
      </w:r>
      <w:r>
        <w:rPr>
          <w:rFonts w:ascii="Times New Roman" w:hAnsi="Times New Roman" w:eastAsia="SimSun"/>
          <w:lang w:val="en-US" w:eastAsia="zh-CN"/>
        </w:rPr>
        <w:t xml:space="preserve">是固定嵌套样本上的压力测试，用于判断标题级安全数字是否对合理的策略构造误差稳定。</w:t>
      </w:r>
    </w:p>
    <w:p>
      <w:pPr>
        <w:pStyle w:val="BodyText"/>
      </w:pPr>
      <w:r>
        <w:rPr>
          <w:rFonts w:ascii="Times New Roman" w:hAnsi="Times New Roman" w:eastAsia="SimSun"/>
          <w:lang w:val="en-US" w:eastAsia="zh-CN"/>
        </w:rPr>
        <w:t xml:space="preserve">DeepSeek 配对实验没有发现</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的不安全效应优势：四个主单元中三个为 0/100，剩余 policy-only</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为 1/100。主要变化发生在效用与运行负担上。</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转为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后，policy-only 的良性工具完成下降 21.67 个百分点，full 下降 15.00 个百分点。任务聚类 bootstrap 区间均不含零，但 McNemar 比较经 Holm 校正后未保持在 0.05 以下。</w:t>
      </w:r>
    </w:p>
    <w:p>
      <w:pPr>
        <w:pStyle w:val="BodyText"/>
      </w:pPr>
      <w:r>
        <w:rPr>
          <w:rFonts w:ascii="Times New Roman" w:hAnsi="Times New Roman" w:eastAsia="SimSun"/>
          <w:lang w:val="en-US" w:eastAsia="zh-CN"/>
        </w:rPr>
        <w:t xml:space="preserve">运行变化更为明显。精确策略消除了两种 M3 变体中的 ASK，却使含 DENY 的记录比例从 policy-only 的 7.22% 升至 48.89%，从 full 的 11.11% 升至 45.00%。两个 exact 单元的失败率升至约 24%，p95 时延升至约 19.5 秒。broad、conflicting 和 underspecified 同样使嵌套良性工具子集的完成下降 25–30 个百分点，却没有改变已观察攻击地板。由此可见，即使标题级攻击率稳定，策略规范仍会改变负担和效用。</w:t>
      </w:r>
    </w:p>
    <w:bookmarkEnd w:id="61"/>
    <w:bookmarkStart w:id="62" w:name="必须联合报告执行效应与效用"/>
    <w:p>
      <w:pPr>
        <w:pStyle w:val="Heading3"/>
        <w:keepNext/>
      </w:pPr>
      <w:r>
        <w:rPr>
          <w:rFonts w:ascii="Times New Roman" w:hAnsi="Times New Roman" w:eastAsia="Microsoft YaHei"/>
          <w:lang w:val="en-US" w:eastAsia="zh-CN"/>
        </w:rPr>
        <w:t xml:space="preserve">5.3 必须联合报告执行效应与效用</w:t>
      </w:r>
    </w:p>
    <w:p>
      <w:pPr>
        <w:pStyle w:val="FirstParagraph"/>
      </w:pPr>
      <w:r>
        <w:rPr>
          <w:rFonts w:ascii="Times New Roman" w:hAnsi="Times New Roman" w:eastAsia="SimSun"/>
          <w:lang w:val="en-US" w:eastAsia="zh-CN"/>
        </w:rPr>
        <w:t xml:space="preserve">低提示注入成功率不足以证明运行时防御可用。检测器可能标记恶意文本却未阻止效应；运行时可能通过拒绝几乎所有有用动作来阻止效应；若评估器只统计成功执行，解析器或服务商失败也可能被误当成安全。本文因此把隔离的已执行效应作为安全终点，把良性工具任务完成作为共同主要终点。</w:t>
      </w:r>
    </w:p>
    <w:p>
      <w:pPr>
        <w:pStyle w:val="BodyText"/>
      </w:pPr>
      <w:r>
        <w:rPr>
          <w:rFonts w:ascii="Times New Roman" w:hAnsi="Times New Roman" w:eastAsia="SimSun"/>
          <w:lang w:val="en-US" w:eastAsia="zh-CN"/>
        </w:rPr>
        <w:t xml:space="preserve">Public 证据清楚展示了这一问题。相对结构化条件，两种 M3 变体都降低不安全效应，同时也显著降低良性工具完成。policy-only 随后在不损失更多效用的情况下优于 full 的安全性。正确解释不是</w:t>
      </w:r>
      <w:r>
        <w:rPr>
          <w:rFonts w:ascii="Times New Roman" w:hAnsi="Times New Roman" w:eastAsia="SimSun"/>
          <w:lang w:val="en-US" w:eastAsia="zh-CN"/>
        </w:rPr>
        <w:t xml:space="preserve">“</w:t>
      </w:r>
      <w:r>
        <w:rPr>
          <w:rFonts w:ascii="Times New Roman" w:hAnsi="Times New Roman" w:eastAsia="SimSun"/>
          <w:lang w:val="en-US" w:eastAsia="zh-CN"/>
        </w:rPr>
        <w:t xml:space="preserve">来源追踪本质有害</w:t>
      </w:r>
      <w:r>
        <w:rPr>
          <w:rFonts w:ascii="Times New Roman" w:hAnsi="Times New Roman" w:eastAsia="SimSun"/>
          <w:lang w:val="en-US" w:eastAsia="zh-CN"/>
        </w:rPr>
        <w:t xml:space="preserve">”</w:t>
      </w:r>
      <w:r>
        <w:rPr>
          <w:rFonts w:ascii="Times New Roman" w:hAnsi="Times New Roman" w:eastAsia="SimSun"/>
          <w:lang w:val="en-US" w:eastAsia="zh-CN"/>
        </w:rPr>
        <w:t xml:space="preserve">，而是该完整实现没有在这些任务与策略下证明其复杂度值得付出。</w:t>
      </w:r>
    </w:p>
    <w:p>
      <w:pPr>
        <w:pStyle w:val="BodyText"/>
      </w:pPr>
      <w:r>
        <w:rPr>
          <w:rFonts w:ascii="Times New Roman" w:hAnsi="Times New Roman" w:eastAsia="SimSun"/>
          <w:lang w:val="en-US" w:eastAsia="zh-CN"/>
        </w:rPr>
        <w:t xml:space="preserve">ASK、DENY、运行失败、时延、token 和成本提供必要的机制背景。某授权制度若降低不安全效应但显著增加 ASK，在高后果流程中可能可以接受，在常规自动化中却可能不可接受；若 ASK 与失败同时上升，则可能只是把不确定性外部化。本文直接报告这些负担，而不将其压缩为单一综合分数。</w:t>
      </w:r>
    </w:p>
    <w:bookmarkEnd w:id="62"/>
    <w:bookmarkStart w:id="63" w:name="自适应证据具有预算敏感性但未证明饱和"/>
    <w:p>
      <w:pPr>
        <w:pStyle w:val="Heading3"/>
        <w:keepNext/>
      </w:pPr>
      <w:r>
        <w:rPr>
          <w:rFonts w:ascii="Times New Roman" w:hAnsi="Times New Roman" w:eastAsia="Microsoft YaHei"/>
          <w:lang w:val="en-US" w:eastAsia="zh-CN"/>
        </w:rPr>
        <w:t xml:space="preserve">5.4 自适应证据具有预算敏感性，但未证明饱和</w:t>
      </w:r>
    </w:p>
    <w:p>
      <w:pPr>
        <w:pStyle w:val="FirstParagraph"/>
      </w:pPr>
      <w:r>
        <w:rPr>
          <w:rFonts w:ascii="Times New Roman" w:hAnsi="Times New Roman" w:eastAsia="SimSun"/>
          <w:lang w:val="en-US" w:eastAsia="zh-CN"/>
        </w:rPr>
        <w:t xml:space="preserve">40 任务防御感知面板在 50 次查询前发现 4/40 个首个不安全效应，在 200 次查询前发现 18/40。这意味着预算 50 的评估会漏掉后来在预算 200 中观察到的大部分成功，支持</w:t>
      </w:r>
      <w:r>
        <w:rPr>
          <w:rFonts w:ascii="Times New Roman" w:hAnsi="Times New Roman" w:eastAsia="SimSun"/>
          <w:lang w:val="en-US" w:eastAsia="zh-CN"/>
        </w:rPr>
        <w:t xml:space="preserve">“</w:t>
      </w:r>
      <w:r>
        <w:rPr>
          <w:rFonts w:ascii="Times New Roman" w:hAnsi="Times New Roman" w:eastAsia="SimSun"/>
          <w:lang w:val="en-US" w:eastAsia="zh-CN"/>
        </w:rPr>
        <w:t xml:space="preserve">静态或较弱攻击者可能高估稳健性</w:t>
      </w:r>
      <w:r>
        <w:rPr>
          <w:rFonts w:ascii="Times New Roman" w:hAnsi="Times New Roman" w:eastAsia="SimSun"/>
          <w:lang w:val="en-US" w:eastAsia="zh-CN"/>
        </w:rPr>
        <w:t xml:space="preserve">”</w:t>
      </w:r>
      <w:r>
        <w:rPr>
          <w:rFonts w:ascii="Times New Roman" w:hAnsi="Times New Roman" w:eastAsia="SimSun"/>
          <w:lang w:val="en-US" w:eastAsia="zh-CN"/>
        </w:rPr>
        <w:t xml:space="preserve">的一般警告</w:t>
      </w:r>
      <w:r>
        <w:rPr>
          <w:rFonts w:ascii="Times New Roman" w:hAnsi="Times New Roman" w:eastAsia="SimSun"/>
          <w:lang w:val="en-US" w:eastAsia="zh-CN"/>
        </w:rPr>
        <w:t xml:space="preserve"> </w:t>
      </w:r>
      <w:r>
        <w:rPr>
          <w:rFonts w:ascii="Times New Roman" w:hAnsi="Times New Roman" w:eastAsia="SimSun"/>
          <w:lang w:val="en-US" w:eastAsia="zh-CN"/>
        </w:rPr>
        <w:t xml:space="preserve">(Nasr et al. 2025)</w:t>
      </w:r>
      <w:r>
        <w:rPr>
          <w:rFonts w:ascii="Times New Roman" w:hAnsi="Times New Roman" w:eastAsia="SimSun"/>
          <w:lang w:val="en-US" w:eastAsia="zh-CN"/>
        </w:rPr>
        <w:t xml:space="preserve">。</w:t>
      </w:r>
    </w:p>
    <w:p>
      <w:pPr>
        <w:pStyle w:val="BodyText"/>
      </w:pPr>
      <w:r>
        <w:rPr>
          <w:rFonts w:ascii="Times New Roman" w:hAnsi="Times New Roman" w:eastAsia="SimSun"/>
          <w:lang w:val="en-US" w:eastAsia="zh-CN"/>
        </w:rPr>
        <w:t xml:space="preserve">证据在 200 截止，不能证明攻击成功已经饱和、不能估计渐近攻击率，也不能比较 2,000 次查询下的最难任务行为。因此，正确呈现方式是报告截至 200 的累计 first-success 曲线，并明确声明不作饱和推断。</w:t>
      </w:r>
    </w:p>
    <w:bookmarkEnd w:id="63"/>
    <w:bookmarkStart w:id="64" w:name="与近期来源和授权工作的关系"/>
    <w:p>
      <w:pPr>
        <w:pStyle w:val="Heading3"/>
        <w:keepNext/>
      </w:pPr>
      <w:r>
        <w:rPr>
          <w:rFonts w:ascii="Times New Roman" w:hAnsi="Times New Roman" w:eastAsia="Microsoft YaHei"/>
          <w:lang w:val="en-US" w:eastAsia="zh-CN"/>
        </w:rPr>
        <w:t xml:space="preserve">5.5 与近期来源和授权工作的关系</w:t>
      </w:r>
    </w:p>
    <w:p>
      <w:pPr>
        <w:pStyle w:val="FirstParagraph"/>
      </w:pPr>
      <w:r>
        <w:rPr>
          <w:rFonts w:ascii="Times New Roman" w:hAnsi="Times New Roman" w:eastAsia="SimSun"/>
          <w:lang w:val="en-US" w:eastAsia="zh-CN"/>
        </w:rPr>
        <w:t xml:space="preserve">VIGIL、DRIFT、Task Shield、IPIGuard、Progent、CaMeL、ARGUS、AuthGraph、FAVA 和来源敏感性审计覆盖了相互重叠的设计空间</w:t>
      </w:r>
      <w:r>
        <w:rPr>
          <w:rFonts w:ascii="Times New Roman" w:hAnsi="Times New Roman" w:eastAsia="SimSun"/>
          <w:lang w:val="en-US" w:eastAsia="zh-CN"/>
        </w:rPr>
        <w:t xml:space="preserve"> </w:t>
      </w:r>
      <w:r>
        <w:rPr>
          <w:rFonts w:ascii="Times New Roman" w:hAnsi="Times New Roman" w:eastAsia="SimSun"/>
          <w:lang w:val="en-US" w:eastAsia="zh-CN"/>
        </w:rPr>
        <w:t xml:space="preserve">(Lin et al. 2026; Li et al. 2025; Jia et al. 2025; Weng et al. 2026; P. Wang, Li, and Tian 2026; Shi et al. 2025; An et al. 2025; Debenedetti et al. 2025; Liao 2026; Y. Zhang et al. 2026)</w:t>
      </w:r>
      <w:r>
        <w:rPr>
          <w:rFonts w:ascii="Times New Roman" w:hAnsi="Times New Roman" w:eastAsia="SimSun"/>
          <w:lang w:val="en-US" w:eastAsia="zh-CN"/>
        </w:rPr>
        <w:t xml:space="preserve">。这些工作排除了</w:t>
      </w:r>
      <w:r>
        <w:rPr>
          <w:rFonts w:ascii="Times New Roman" w:hAnsi="Times New Roman" w:eastAsia="SimSun"/>
          <w:lang w:val="en-US" w:eastAsia="zh-CN"/>
        </w:rPr>
        <w:t xml:space="preserve">“</w:t>
      </w:r>
      <w:r>
        <w:rPr>
          <w:rFonts w:ascii="Times New Roman" w:hAnsi="Times New Roman" w:eastAsia="SimSun"/>
          <w:lang w:val="en-US" w:eastAsia="zh-CN"/>
        </w:rPr>
        <w:t xml:space="preserve">M3 是首个 verify-before-commit 系统、首个参数来源防御或首个结构化运行时授权器</w:t>
      </w:r>
      <w:r>
        <w:rPr>
          <w:rFonts w:ascii="Times New Roman" w:hAnsi="Times New Roman" w:eastAsia="SimSun"/>
          <w:lang w:val="en-US" w:eastAsia="zh-CN"/>
        </w:rPr>
        <w:t xml:space="preserve">”</w:t>
      </w:r>
      <w:r>
        <w:rPr>
          <w:rFonts w:ascii="Times New Roman" w:hAnsi="Times New Roman" w:eastAsia="SimSun"/>
          <w:lang w:val="en-US" w:eastAsia="zh-CN"/>
        </w:rPr>
        <w:t xml:space="preserve">等主张。</w:t>
      </w:r>
    </w:p>
    <w:p>
      <w:pPr>
        <w:pStyle w:val="BodyText"/>
      </w:pPr>
      <w:r>
        <w:rPr>
          <w:rFonts w:ascii="Times New Roman" w:hAnsi="Times New Roman" w:eastAsia="SimSun"/>
          <w:lang w:val="en-US" w:eastAsia="zh-CN"/>
        </w:rPr>
        <w:t xml:space="preserve">本文剩余贡献是方法与实证。研究在改变授权制度和 Guard 模块时保持任务内容固定，把评估字段留在离线侧，测量执行后的效应，将失败保留在 ITT，并报告运行负担。近期来源敏感性研究在受控的下一动作任务中改变来源权限</w:t>
      </w:r>
      <w:r>
        <w:rPr>
          <w:rFonts w:ascii="Times New Roman" w:hAnsi="Times New Roman" w:eastAsia="SimSun"/>
          <w:lang w:val="en-US" w:eastAsia="zh-CN"/>
        </w:rPr>
        <w:t xml:space="preserve"> </w:t>
      </w:r>
      <w:r>
        <w:rPr>
          <w:rFonts w:ascii="Times New Roman" w:hAnsi="Times New Roman" w:eastAsia="SimSun"/>
          <w:lang w:val="en-US" w:eastAsia="zh-CN"/>
        </w:rPr>
        <w:t xml:space="preserve">(Liao 2026)</w:t>
      </w:r>
      <w:r>
        <w:rPr>
          <w:rFonts w:ascii="Times New Roman" w:hAnsi="Times New Roman" w:eastAsia="SimSun"/>
          <w:lang w:val="en-US" w:eastAsia="zh-CN"/>
        </w:rPr>
        <w:t xml:space="preserve">；本文把该测量问题扩展到完整工具轨迹和执行效应，同时承担完整轨迹带来的额外实现复杂度和失败模式。</w:t>
      </w:r>
    </w:p>
    <w:bookmarkEnd w:id="64"/>
    <w:bookmarkStart w:id="65" w:name="跨厂商解释"/>
    <w:p>
      <w:pPr>
        <w:pStyle w:val="Heading3"/>
        <w:keepNext/>
      </w:pPr>
      <w:r>
        <w:rPr>
          <w:rFonts w:ascii="Times New Roman" w:hAnsi="Times New Roman" w:eastAsia="Microsoft YaHei"/>
          <w:lang w:val="en-US" w:eastAsia="zh-CN"/>
        </w:rPr>
        <w:t xml:space="preserve">5.6 跨厂商解释</w:t>
      </w:r>
    </w:p>
    <w:p>
      <w:pPr>
        <w:pStyle w:val="FirstParagraph"/>
      </w:pPr>
      <w:r>
        <w:rPr>
          <w:rFonts w:ascii="Times New Roman" w:hAnsi="Times New Roman" w:eastAsia="SimSun"/>
          <w:lang w:val="en-US" w:eastAsia="zh-CN"/>
        </w:rPr>
        <w:t xml:space="preserve">Gemini 样本被有意设计为更小且嵌套于 DeepSeek 样本。即使完成，它只能检验主要配对方向是否在另一服务商出现，不能证明广泛模型家族的一般性。官方免费层还带来可用性约束：每个配额日首个 429 即停止，仅在下一配额日恢复无响应或未触及工作项，三个配额日后透明降级。</w:t>
      </w:r>
    </w:p>
    <w:p>
      <w:pPr>
        <w:pStyle w:val="BodyText"/>
      </w:pPr>
      <w:r>
        <w:rPr>
          <w:rFonts w:ascii="Times New Roman" w:hAnsi="Times New Roman" w:eastAsia="SimSun"/>
          <w:lang w:val="en-US" w:eastAsia="zh-CN"/>
        </w:rPr>
        <w:t xml:space="preserve">在本次分析截止时，Gemini 样本仍未完成，其部分记录不进入推断。因此，当前外部有效性仅覆盖 DeepSeek V4 Pro 与 V4 Flash，本文不作跨厂商结论。</w:t>
      </w:r>
    </w:p>
    <w:bookmarkEnd w:id="65"/>
    <w:bookmarkStart w:id="66" w:name="局限性"/>
    <w:p>
      <w:pPr>
        <w:pStyle w:val="Heading3"/>
        <w:keepNext/>
      </w:pPr>
      <w:r>
        <w:rPr>
          <w:rFonts w:ascii="Times New Roman" w:hAnsi="Times New Roman" w:eastAsia="Microsoft YaHei"/>
          <w:lang w:val="en-US" w:eastAsia="zh-CN"/>
        </w:rPr>
        <w:t xml:space="preserve">5.7 局限性</w:t>
      </w:r>
    </w:p>
    <w:p>
      <w:pPr>
        <w:pStyle w:val="FirstParagraph"/>
      </w:pPr>
      <w:r>
        <w:rPr>
          <w:rFonts w:ascii="Times New Roman" w:hAnsi="Times New Roman" w:eastAsia="SimSun"/>
          <w:lang w:val="en-US" w:eastAsia="zh-CN"/>
        </w:rPr>
        <w:t xml:space="preserve">第一，新的主实验使用一个闭源模型和两个基准家族。模型更新、工具模式、系统提示与应用上下文均可能改变效应。较小的 Gemini 子集原本用于探查这一依赖，但只有 450 个工作项全部达到终态才提供跨厂商证据。尽管本文保留执行日期、官方 response ID 和返回模型名，服务商管理的别名仍不能使底层权重不可变。</w:t>
      </w:r>
    </w:p>
    <w:p>
      <w:pPr>
        <w:pStyle w:val="BodyText"/>
      </w:pPr>
      <w:r>
        <w:rPr>
          <w:rFonts w:ascii="Times New Roman" w:hAnsi="Times New Roman" w:eastAsia="SimSun"/>
          <w:lang w:val="en-US" w:eastAsia="zh-CN"/>
        </w:rPr>
        <w:t xml:space="preserve">第二，新授权实验的攻击终点具有明显地板效应：400 条主要攻击记录中只有一个不安全效应。它对效用和运行负担的估计比对四个主单元间微小安全差异的估计更有信息。安全方向主要来自更大的 Public 矩阵，不能只从这些近零单元推断。</w:t>
      </w:r>
    </w:p>
    <w:p>
      <w:pPr>
        <w:pStyle w:val="BodyText"/>
      </w:pPr>
      <w:r>
        <w:rPr>
          <w:rFonts w:ascii="Times New Roman" w:hAnsi="Times New Roman" w:eastAsia="SimSun"/>
          <w:lang w:val="en-US" w:eastAsia="zh-CN"/>
        </w:rPr>
        <w:t xml:space="preserve">第三，</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只代表一种策略编译器，并非人类授权的完整模型。压力制度近似常见策略错误，但不测量它们在部署系统中的出现频率。</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是有意设置的人造条件，不应被视为推荐配置。</w:t>
      </w:r>
    </w:p>
    <w:p>
      <w:pPr>
        <w:pStyle w:val="BodyText"/>
      </w:pPr>
      <w:r>
        <w:rPr>
          <w:rFonts w:ascii="Times New Roman" w:hAnsi="Times New Roman" w:eastAsia="SimSun"/>
          <w:lang w:val="en-US" w:eastAsia="zh-CN"/>
        </w:rPr>
        <w:t xml:space="preserve">第四，效应环境是隔离的。该边界可防止真实邮件、支付、浏览器、代码和生产操作，却可能遗漏真实应用中的时延、状态与恢复行为。</w:t>
      </w:r>
    </w:p>
    <w:p>
      <w:pPr>
        <w:pStyle w:val="BodyText"/>
      </w:pPr>
      <w:r>
        <w:rPr>
          <w:rFonts w:ascii="Times New Roman" w:hAnsi="Times New Roman" w:eastAsia="SimSun"/>
          <w:lang w:val="en-US" w:eastAsia="zh-CN"/>
        </w:rPr>
        <w:t xml:space="preserve">第五，自适应面板只报告截至预算 200 的结果，不能证明饱和。攻击搜索仍只代表一种防御感知优化方法，其他优化器可能发现不同故障。</w:t>
      </w:r>
    </w:p>
    <w:p>
      <w:pPr>
        <w:pStyle w:val="BodyText"/>
      </w:pPr>
      <w:r>
        <w:rPr>
          <w:rFonts w:ascii="Times New Roman" w:hAnsi="Times New Roman" w:eastAsia="SimSun"/>
          <w:lang w:val="en-US" w:eastAsia="zh-CN"/>
        </w:rPr>
        <w:t xml:space="preserve">第六，失败处理虽然保守，但并非不存在解释选择。所有含响应失败都在 ITT 中终止；无响应的传输失败可以接受有限显式恢复。本文报告原始失败和被后续尝试取代的记录，以便读者评估该选择。</w:t>
      </w:r>
    </w:p>
    <w:p>
      <w:pPr>
        <w:pStyle w:val="BodyText"/>
      </w:pPr>
      <w:r>
        <w:rPr>
          <w:rFonts w:ascii="Times New Roman" w:hAnsi="Times New Roman" w:eastAsia="SimSun"/>
          <w:lang w:val="en-US" w:eastAsia="zh-CN"/>
        </w:rPr>
        <w:t xml:space="preserve">最后，本文没有独立盲测集，也不宣称 first、only 或 SOTA。外部有效性严格限于实际评估的模型、基准、策略编译器、压力制度和攻击预算。</w:t>
      </w:r>
    </w:p>
    <w:bookmarkEnd w:id="66"/>
    <w:bookmarkStart w:id="67" w:name="实践启示"/>
    <w:p>
      <w:pPr>
        <w:pStyle w:val="Heading3"/>
        <w:keepNext/>
      </w:pPr>
      <w:r>
        <w:rPr>
          <w:rFonts w:ascii="Times New Roman" w:hAnsi="Times New Roman" w:eastAsia="Microsoft YaHei"/>
          <w:lang w:val="en-US" w:eastAsia="zh-CN"/>
        </w:rPr>
        <w:t xml:space="preserve">5.8 实践启示</w:t>
      </w:r>
    </w:p>
    <w:p>
      <w:pPr>
        <w:pStyle w:val="FirstParagraph"/>
      </w:pPr>
      <w:r>
        <w:rPr>
          <w:rFonts w:ascii="Times New Roman" w:hAnsi="Times New Roman" w:eastAsia="SimSun"/>
          <w:lang w:val="en-US" w:eastAsia="zh-CN"/>
        </w:rPr>
        <w:t xml:space="preserve">本文提出三点实践建议。第一，智能体安全基准应公开在线 Guard 可见字段，并将仅供评估的答案留在投影之外。第二，运行时防御应在相同任务上与 policy-only 变体比较，否则复杂模块可能因基础策略已经提供的行为而获得错误归功。第三，安全报告应把良性完成、确认/阻断负担、失败、时延和攻击预算与不安全效应率一并报告。</w:t>
      </w:r>
    </w:p>
    <w:p>
      <w:pPr>
        <w:pStyle w:val="BodyText"/>
      </w:pPr>
      <w:r>
        <w:rPr>
          <w:rFonts w:ascii="Times New Roman" w:hAnsi="Times New Roman" w:eastAsia="SimSun"/>
          <w:lang w:val="en-US" w:eastAsia="zh-CN"/>
        </w:rPr>
        <w:t xml:space="preserve">DeepSeek 授权制度结果为这些建议提供了观察依据：精确与压力策略在不安全效应接近零时，仍显著改变完成、阻断、失败和时延。预设 Gemini 停止规则将决定是否能获得完整跨厂商比较；不完整子集只能作诊断，不能改变或扩展 DeepSeek 发现。</w:t>
      </w:r>
    </w:p>
    <w:bookmarkEnd w:id="67"/>
    <w:bookmarkEnd w:id="68"/>
    <w:bookmarkStart w:id="69" w:name="结论"/>
    <w:p>
      <w:pPr>
        <w:pStyle w:val="Heading2"/>
        <w:keepNext/>
      </w:pPr>
      <w:r>
        <w:rPr>
          <w:rFonts w:ascii="Times New Roman" w:hAnsi="Times New Roman" w:eastAsia="Microsoft YaHei"/>
          <w:lang w:val="en-US" w:eastAsia="zh-CN"/>
        </w:rPr>
        <w:t xml:space="preserve">6. 结论</w:t>
      </w:r>
    </w:p>
    <w:p>
      <w:pPr>
        <w:pStyle w:val="FirstParagraph"/>
      </w:pPr>
      <w:r>
        <w:rPr>
          <w:rFonts w:ascii="Times New Roman" w:hAnsi="Times New Roman" w:eastAsia="SimSun"/>
          <w:lang w:val="en-US" w:eastAsia="zh-CN"/>
        </w:rPr>
        <w:t xml:space="preserve">本文把运行时授权视为实验变量，而非固定基础设施。在已经完成的中型与 Public 研究中，M3-full 相对结构化基线降低不安全效应，却没有优于 policy-only。该方向在 DeepSeek V4 Pro 与 V4 Flash 上重复出现：full 比 policy-only 产生更多不安全效应，良性工具效用相同或只存在轻微差异。因此，本文评估的来源、时序/数据流和确认扩展没有表现出足以支持领先防御主张的独立优势。</w:t>
      </w:r>
    </w:p>
    <w:p>
      <w:pPr>
        <w:pStyle w:val="BodyText"/>
      </w:pPr>
      <w:r>
        <w:rPr>
          <w:rFonts w:ascii="Times New Roman" w:hAnsi="Times New Roman" w:eastAsia="SimSun"/>
          <w:lang w:val="en-US" w:eastAsia="zh-CN"/>
        </w:rPr>
        <w:t xml:space="preserve">前瞻冻结的授权实验说明了为何安全性不能被单独作为终点。四个主单元的不安全效应均为零或近零，但</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auto_compiled</w:t>
      </w:r>
      <w:r>
        <w:rPr>
          <w:rFonts w:ascii="Times New Roman" w:hAnsi="Times New Roman" w:eastAsia="SimSun"/>
          <w:lang w:val="en-US" w:eastAsia="zh-CN"/>
        </w:rPr>
        <w:t xml:space="preserve"> </w:t>
      </w:r>
      <w:r>
        <w:rPr>
          <w:rFonts w:ascii="Times New Roman" w:hAnsi="Times New Roman" w:eastAsia="SimSun"/>
          <w:lang w:val="en-US" w:eastAsia="zh-CN"/>
        </w:rPr>
        <w:t xml:space="preserve">改为</w:t>
      </w:r>
      <w:r>
        <w:rPr>
          <w:rFonts w:ascii="Times New Roman" w:hAnsi="Times New Roman" w:eastAsia="SimSun"/>
          <w:lang w:val="en-US" w:eastAsia="zh-CN"/>
        </w:rPr>
        <w:t xml:space="preserve"> </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后，policy-only 的良性工具完成下降 21.67 个百分点，M3-full 下降 15.00 个百分点。精确授权消除了 ASK，却使 45.00%–48.89% 的记录至少出现一次 DENY，使失败率升至约 24%，并使 p95 时延接近翻倍。broad、conflicting 和 underspecified 也降低了嵌套工具任务子集的完成，而没有改变已观察攻击地板。因此，即使只看攻击的结果稳定，授权构造仍会实质改变所测安全—效用前沿。</w:t>
      </w:r>
    </w:p>
    <w:p>
      <w:pPr>
        <w:pStyle w:val="BodyText"/>
      </w:pPr>
      <w:r>
        <w:rPr>
          <w:rFonts w:ascii="Times New Roman" w:hAnsi="Times New Roman" w:eastAsia="SimSun"/>
          <w:lang w:val="en-US" w:eastAsia="zh-CN"/>
        </w:rPr>
        <w:t xml:space="preserve">自适应面板提供了另一项测量警告：查询 50 前为 4/40，查询 200 前为 18/40。单一低攻击预算会漏掉更大预算下发现的大部分成功，但两个预算点不能证明饱和。</w:t>
      </w:r>
    </w:p>
    <w:p>
      <w:pPr>
        <w:pStyle w:val="BodyText"/>
      </w:pPr>
      <w:r>
        <w:rPr>
          <w:rFonts w:ascii="Times New Roman" w:hAnsi="Times New Roman" w:eastAsia="SimSun"/>
          <w:lang w:val="en-US" w:eastAsia="zh-CN"/>
        </w:rPr>
        <w:t xml:space="preserve">综合而言，工具型智能体安全评估应满足三项要求：将仅供评估的字段排除在在线 Guard 状态之外；在相同任务上用 policy-only 消融对照复杂机制；在不安全效应之外同时报告效用、ASK/DENY 负担、失败、时延和攻击预算。结论仅适用于已测试策略、基准、运行时实现、DeepSeek 模型和预算范围。预设 Gemini 样本要么检验跨厂商方向，要么按免费层停止规则透明降级；它不能抹去或扩大已经完成的 DeepSeek 发现。</w:t>
      </w:r>
    </w:p>
    <w:bookmarkEnd w:id="69"/>
    <w:bookmarkStart w:id="75" w:name="图"/>
    <w:p>
      <w:pPr>
        <w:pStyle w:val="Heading2"/>
        <w:keepNext/>
      </w:pPr>
      <w:r>
        <w:rPr>
          <w:rFonts w:ascii="Times New Roman" w:hAnsi="Times New Roman" w:eastAsia="Microsoft YaHei"/>
          <w:lang w:val="en-US" w:eastAsia="zh-CN"/>
        </w:rPr>
        <w:t xml:space="preserve">图</w:t>
      </w:r>
    </w:p>
    <w:p>
      <w:pPr>
        <w:pStyle w:val="CaptionedFigure"/>
      </w:pPr>
      <w:r>
        <w:rPr>
          <w:rFonts w:ascii="Times New Roman" w:hAnsi="Times New Roman" w:eastAsia="SimSun"/>
          <w:lang w:val="en-US" w:eastAsia="zh-CN"/>
        </w:rPr>
        <w:drawing>
          <wp:inline>
            <wp:extent cx="5760720" cy="2619650"/>
            <wp:effectExtent b="0" l="0" r="0" t="0"/>
            <wp:docPr descr="图 1. 在线授权投影与离线评估边界。" title="" id="1" name="Picture"/>
            <a:graphic>
              <a:graphicData uri="http://schemas.openxmlformats.org/drawingml/2006/picture">
                <pic:pic>
                  <pic:nvPicPr>
                    <pic:cNvPr descr="../lean_empirical/figures_deepseek_v1/figure_1_online_field_isolation.png" id="0" name="Picture"/>
                    <pic:cNvPicPr>
                      <a:picLocks noChangeArrowheads="1" noChangeAspect="1"/>
                    </pic:cNvPicPr>
                  </pic:nvPicPr>
                  <pic:blipFill>
                    <a:blip r:embed="rId70"/>
                    <a:stretch>
                      <a:fillRect/>
                    </a:stretch>
                  </pic:blipFill>
                  <pic:spPr bwMode="auto">
                    <a:xfrm>
                      <a:off x="0" y="0"/>
                      <a:ext cx="5760720" cy="2619650"/>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1. 在线授权投影与离线评估边界。</w:t>
      </w:r>
    </w:p>
    <w:p>
      <w:pPr>
        <w:pStyle w:val="CaptionedFigure"/>
      </w:pPr>
      <w:r>
        <w:rPr>
          <w:rFonts w:ascii="Times New Roman" w:hAnsi="Times New Roman" w:eastAsia="SimSun"/>
          <w:lang w:val="en-US" w:eastAsia="zh-CN"/>
        </w:rPr>
        <w:drawing>
          <wp:inline>
            <wp:extent cx="5760720" cy="4085660"/>
            <wp:effectExtent b="0" l="0" r="0" t="0"/>
            <wp:docPr descr="图 2. 不同授权条件下的安全—效用权衡。" title="" id="1" name="Picture"/>
            <a:graphic>
              <a:graphicData uri="http://schemas.openxmlformats.org/drawingml/2006/picture">
                <pic:pic>
                  <pic:nvPicPr>
                    <pic:cNvPr descr="../lean_empirical/figures_deepseek_v1/figure_2_safety_utility_pareto.png" id="0" name="Picture"/>
                    <pic:cNvPicPr>
                      <a:picLocks noChangeArrowheads="1" noChangeAspect="1"/>
                    </pic:cNvPicPr>
                  </pic:nvPicPr>
                  <pic:blipFill>
                    <a:blip r:embed="rId71"/>
                    <a:stretch>
                      <a:fillRect/>
                    </a:stretch>
                  </pic:blipFill>
                  <pic:spPr bwMode="auto">
                    <a:xfrm>
                      <a:off x="0" y="0"/>
                      <a:ext cx="5760720" cy="4085660"/>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2. 不同授权条件下的安全—效用权衡。</w:t>
      </w:r>
    </w:p>
    <w:p>
      <w:pPr>
        <w:pStyle w:val="CaptionedFigure"/>
      </w:pPr>
      <w:r>
        <w:rPr>
          <w:rFonts w:ascii="Times New Roman" w:hAnsi="Times New Roman" w:eastAsia="SimSun"/>
          <w:lang w:val="en-US" w:eastAsia="zh-CN"/>
        </w:rPr>
        <w:drawing>
          <wp:inline>
            <wp:extent cx="5760720" cy="4306098"/>
            <wp:effectExtent b="0" l="0" r="0" t="0"/>
            <wp:docPr descr="图 3. 授权制度与 Guard 配置的配对效应。" title="" id="1" name="Picture"/>
            <a:graphic>
              <a:graphicData uri="http://schemas.openxmlformats.org/drawingml/2006/picture">
                <pic:pic>
                  <pic:nvPicPr>
                    <pic:cNvPr descr="../lean_empirical/figures_deepseek_v1/figure_3_authorization_forest.png" id="0" name="Picture"/>
                    <pic:cNvPicPr>
                      <a:picLocks noChangeArrowheads="1" noChangeAspect="1"/>
                    </pic:cNvPicPr>
                  </pic:nvPicPr>
                  <pic:blipFill>
                    <a:blip r:embed="rId72"/>
                    <a:stretch>
                      <a:fillRect/>
                    </a:stretch>
                  </pic:blipFill>
                  <pic:spPr bwMode="auto">
                    <a:xfrm>
                      <a:off x="0" y="0"/>
                      <a:ext cx="5760720" cy="4306098"/>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3. 授权制度与 Guard 配置的配对效应。</w:t>
      </w:r>
    </w:p>
    <w:p>
      <w:pPr>
        <w:pStyle w:val="CaptionedFigure"/>
      </w:pPr>
      <w:r>
        <w:rPr>
          <w:rFonts w:ascii="Times New Roman" w:hAnsi="Times New Roman" w:eastAsia="SimSun"/>
          <w:lang w:val="en-US" w:eastAsia="zh-CN"/>
        </w:rPr>
        <w:drawing>
          <wp:inline>
            <wp:extent cx="5760720" cy="3473633"/>
            <wp:effectExtent b="0" l="0" r="0" t="0"/>
            <wp:docPr descr="图 4. 运行时确认、阻断、失败与时延负担。" title="" id="1" name="Picture"/>
            <a:graphic>
              <a:graphicData uri="http://schemas.openxmlformats.org/drawingml/2006/picture">
                <pic:pic>
                  <pic:nvPicPr>
                    <pic:cNvPr descr="../lean_empirical/figures_deepseek_v1/figure_4_runtime_burden.png" id="0" name="Picture"/>
                    <pic:cNvPicPr>
                      <a:picLocks noChangeArrowheads="1" noChangeAspect="1"/>
                    </pic:cNvPicPr>
                  </pic:nvPicPr>
                  <pic:blipFill>
                    <a:blip r:embed="rId73"/>
                    <a:stretch>
                      <a:fillRect/>
                    </a:stretch>
                  </pic:blipFill>
                  <pic:spPr bwMode="auto">
                    <a:xfrm>
                      <a:off x="0" y="0"/>
                      <a:ext cx="5760720" cy="3473633"/>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4. 运行时确认、阻断、失败与时延负担。</w:t>
      </w:r>
    </w:p>
    <w:p>
      <w:pPr>
        <w:pStyle w:val="CaptionedFigure"/>
      </w:pPr>
      <w:r>
        <w:rPr>
          <w:rFonts w:ascii="Times New Roman" w:hAnsi="Times New Roman" w:eastAsia="SimSun"/>
          <w:lang w:val="en-US" w:eastAsia="zh-CN"/>
        </w:rPr>
        <w:drawing>
          <wp:inline>
            <wp:extent cx="5760720" cy="4085811"/>
            <wp:effectExtent b="0" l="0" r="0" t="0"/>
            <wp:docPr descr="图 5. 截至查询预算 200 的自适应 first-success 曲线。" title="" id="1" name="Picture"/>
            <a:graphic>
              <a:graphicData uri="http://schemas.openxmlformats.org/drawingml/2006/picture">
                <pic:pic>
                  <pic:nvPicPr>
                    <pic:cNvPr descr="../lean_empirical/figures_deepseek_v1/figure_5_adaptive_first_success.png" id="0" name="Picture"/>
                    <pic:cNvPicPr>
                      <a:picLocks noChangeArrowheads="1" noChangeAspect="1"/>
                    </pic:cNvPicPr>
                  </pic:nvPicPr>
                  <pic:blipFill>
                    <a:blip r:embed="rId74"/>
                    <a:stretch>
                      <a:fillRect/>
                    </a:stretch>
                  </pic:blipFill>
                  <pic:spPr bwMode="auto">
                    <a:xfrm>
                      <a:off x="0" y="0"/>
                      <a:ext cx="5760720" cy="4085811"/>
                    </a:xfrm>
                    <a:prstGeom prst="rect">
                      <a:avLst/>
                    </a:prstGeom>
                    <a:noFill/>
                    <a:ln w="9525">
                      <a:noFill/>
                      <a:headEnd/>
                      <a:tailEnd/>
                    </a:ln>
                  </pic:spPr>
                </pic:pic>
              </a:graphicData>
            </a:graphic>
          </wp:inline>
        </w:drawing>
      </w:r>
    </w:p>
    <w:p>
      <w:pPr>
        <w:pStyle w:val="ImageCaption"/>
      </w:pPr>
      <w:r>
        <w:rPr>
          <w:rFonts w:ascii="Times New Roman" w:hAnsi="Times New Roman" w:eastAsia="SimSun"/>
          <w:lang w:val="en-US" w:eastAsia="zh-CN"/>
        </w:rPr>
        <w:t xml:space="preserve">图 5. 截至查询预算 200 的自适应 first-success 曲线。</w:t>
      </w:r>
    </w:p>
    <w:bookmarkEnd w:id="75"/>
    <w:bookmarkStart w:id="82" w:name="表"/>
    <w:p>
      <w:pPr>
        <w:pStyle w:val="Heading2"/>
        <w:keepNext/>
      </w:pPr>
      <w:r>
        <w:rPr>
          <w:rFonts w:ascii="Times New Roman" w:hAnsi="Times New Roman" w:eastAsia="Microsoft YaHei"/>
          <w:lang w:val="en-US" w:eastAsia="zh-CN"/>
        </w:rPr>
        <w:t xml:space="preserve">表</w:t>
      </w:r>
    </w:p>
    <w:bookmarkStart w:id="76" w:name="表-1.-实验设计"/>
    <w:p>
      <w:pPr>
        <w:pStyle w:val="Heading3"/>
        <w:keepNext/>
      </w:pPr>
      <w:r>
        <w:rPr>
          <w:rFonts w:ascii="Times New Roman" w:hAnsi="Times New Roman" w:eastAsia="Microsoft YaHei"/>
          <w:lang w:val="en-US" w:eastAsia="zh-CN"/>
        </w:rPr>
        <w:t xml:space="preserve">表 1. 实验设计</w:t>
      </w:r>
    </w:p>
    <w:p>
      <w:pPr>
        <w:pStyle w:val="FirstParagraph"/>
      </w:pPr>
      <w:r>
        <w:rPr>
          <w:rFonts w:ascii="Times New Roman" w:hAnsi="Times New Roman" w:eastAsia="SimSun"/>
          <w:lang w:val="en-US" w:eastAsia="zh-CN"/>
        </w:rPr>
        <w:t xml:space="preserve">精简实证研究的服务商、基准、条件、授权制度及冻结工作项数量。Gemini 数量仍为计划值，其不完整记录不进入推断。</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527"/>
        <w:gridCol w:w="1576"/>
        <w:gridCol w:w="1963"/>
        <w:gridCol w:w="2874"/>
        <w:gridCol w:w="1420"/>
      </w:tblGrid>
      <w:tr>
        <w:trPr>
          <w:tblHeader w:val="true"/>
        </w:trPr>
        <w:tc>
          <w:tcPr>
            <w:vAlign w:val="center"/>
            <w:tcMar>
              <w:top w:w="80" w:type="dxa"/>
              <w:bottom w:w="80" w:type="dxa"/>
              <w:start w:w="120" w:type="dxa"/>
              <w:end w:w="120" w:type="dxa"/>
            </w:tcMar>
            <w:tcW w:w="1527" w:type="dxa"/>
            <w:shd w:fill="E8EEF5"/>
          </w:tcPr>
          <w:p>
            <w:pPr>
              <w:pStyle w:val="Compact"/>
              <w:spacing w:before="0" w:after="40" w:line="240" w:lineRule="auto"/>
              <w:jc w:val="left"/>
            </w:pPr>
            <w:r>
              <w:rPr>
                <w:rFonts w:ascii="Times New Roman" w:hAnsi="Times New Roman" w:eastAsia="SimSun"/>
                <w:b/>
                <w:sz w:val="17"/>
                <w:lang w:val="en-US" w:eastAsia="zh-CN"/>
              </w:rPr>
              <w:t xml:space="preserve">服务商</w:t>
            </w:r>
          </w:p>
        </w:tc>
        <w:tc>
          <w:tcPr>
            <w:vAlign w:val="center"/>
            <w:tcMar>
              <w:top w:w="80" w:type="dxa"/>
              <w:bottom w:w="80" w:type="dxa"/>
              <w:start w:w="120" w:type="dxa"/>
              <w:end w:w="120" w:type="dxa"/>
            </w:tcMar>
            <w:tcW w:w="1576" w:type="dxa"/>
            <w:shd w:fill="E8EEF5"/>
          </w:tcPr>
          <w:p>
            <w:pPr>
              <w:pStyle w:val="Compact"/>
              <w:spacing w:before="0" w:after="40" w:line="240" w:lineRule="auto"/>
              <w:jc w:val="left"/>
            </w:pPr>
            <w:r>
              <w:rPr>
                <w:rFonts w:ascii="Times New Roman" w:hAnsi="Times New Roman" w:eastAsia="SimSun"/>
                <w:b/>
                <w:sz w:val="17"/>
                <w:lang w:val="en-US" w:eastAsia="zh-CN"/>
              </w:rPr>
              <w:t xml:space="preserve">基准</w:t>
            </w:r>
          </w:p>
        </w:tc>
        <w:tc>
          <w:tcPr>
            <w:vAlign w:val="center"/>
            <w:tcMar>
              <w:top w:w="80" w:type="dxa"/>
              <w:bottom w:w="80" w:type="dxa"/>
              <w:start w:w="120" w:type="dxa"/>
              <w:end w:w="120" w:type="dxa"/>
            </w:tcMar>
            <w:tcW w:w="1963" w:type="dxa"/>
            <w:shd w:fill="E8EEF5"/>
          </w:tcPr>
          <w:p>
            <w:pPr>
              <w:pStyle w:val="Compact"/>
              <w:spacing w:before="0" w:after="40" w:line="240" w:lineRule="auto"/>
              <w:jc w:val="center"/>
            </w:pPr>
            <w:r>
              <w:rPr>
                <w:rFonts w:ascii="Times New Roman" w:hAnsi="Times New Roman" w:eastAsia="SimSun"/>
                <w:b/>
                <w:sz w:val="17"/>
                <w:lang w:val="en-US" w:eastAsia="zh-CN"/>
              </w:rPr>
              <w:t xml:space="preserve">条件</w:t>
            </w:r>
          </w:p>
        </w:tc>
        <w:tc>
          <w:tcPr>
            <w:vAlign w:val="center"/>
            <w:tcMar>
              <w:top w:w="80" w:type="dxa"/>
              <w:bottom w:w="80" w:type="dxa"/>
              <w:start w:w="120" w:type="dxa"/>
              <w:end w:w="120" w:type="dxa"/>
            </w:tcMar>
            <w:tcW w:w="2874" w:type="dxa"/>
            <w:shd w:fill="E8EEF5"/>
          </w:tcPr>
          <w:p>
            <w:pPr>
              <w:pStyle w:val="Compact"/>
              <w:spacing w:before="0" w:after="40" w:line="240" w:lineRule="auto"/>
              <w:jc w:val="center"/>
            </w:pPr>
            <w:r>
              <w:rPr>
                <w:rFonts w:ascii="Times New Roman" w:hAnsi="Times New Roman" w:eastAsia="SimSun"/>
                <w:b/>
                <w:sz w:val="17"/>
                <w:lang w:val="en-US" w:eastAsia="zh-CN"/>
              </w:rPr>
              <w:t xml:space="preserve">授权制度</w:t>
            </w:r>
          </w:p>
        </w:tc>
        <w:tc>
          <w:tcPr>
            <w:vAlign w:val="center"/>
            <w:tcMar>
              <w:top w:w="80" w:type="dxa"/>
              <w:bottom w:w="80" w:type="dxa"/>
              <w:start w:w="120" w:type="dxa"/>
              <w:end w:w="120" w:type="dxa"/>
            </w:tcMar>
            <w:tcW w:w="1420" w:type="dxa"/>
            <w:shd w:fill="E8EEF5"/>
          </w:tcPr>
          <w:p>
            <w:pPr>
              <w:pStyle w:val="Compact"/>
              <w:spacing w:before="0" w:after="40" w:line="240" w:lineRule="auto"/>
              <w:jc w:val="center"/>
            </w:pPr>
            <w:r>
              <w:rPr>
                <w:rFonts w:ascii="Times New Roman" w:hAnsi="Times New Roman" w:eastAsia="SimSun"/>
                <w:b/>
                <w:sz w:val="17"/>
                <w:lang w:val="en-US" w:eastAsia="zh-CN"/>
              </w:rPr>
              <w:t xml:space="preserve">计划 n</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left"/>
            </w:pPr>
            <w:r>
              <w:rPr>
                <w:rFonts w:ascii="Times New Roman" w:hAnsi="Times New Roman" w:eastAsia="SimSun"/>
                <w:sz w:val="17"/>
                <w:lang w:val="en-US" w:eastAsia="zh-CN"/>
              </w:rPr>
              <w:t xml:space="preserve">auto compiled、broad、conflicting、exact gold、underspecified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235</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160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left"/>
            </w:pPr>
            <w:r>
              <w:rPr>
                <w:rFonts w:ascii="Times New Roman" w:hAnsi="Times New Roman" w:eastAsia="SimSun"/>
                <w:sz w:val="17"/>
                <w:lang w:val="en-US" w:eastAsia="zh-CN"/>
              </w:rPr>
              <w:t xml:space="preserve">auto compiled、broad、conflicting、exact gold、underspecified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305</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200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80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80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AgentDojo</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Structural baseline</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40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compiled、exact gold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100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Gemini</w:t>
            </w:r>
          </w:p>
        </w:tc>
        <w:tc>
          <w:tcPr>
            <w:vAlign w:val="center"/>
            <w:tcMar>
              <w:top w:w="80" w:type="dxa"/>
              <w:bottom w:w="80" w:type="dxa"/>
              <w:start w:w="120" w:type="dxa"/>
              <w:end w:w="120" w:type="dxa"/>
            </w:tcMar>
            <w:tcW w:w="1576" w:type="dxa"/>
          </w:tcPr>
          <w:p>
            <w:pPr>
              <w:pStyle w:val="Compact"/>
              <w:spacing w:before="0" w:after="40" w:line="240" w:lineRule="auto"/>
              <w:jc w:val="left"/>
            </w:pPr>
            <w:r>
              <w:rPr>
                <w:rFonts w:ascii="Times New Roman" w:hAnsi="Times New Roman" w:eastAsia="SimSun"/>
                <w:sz w:val="17"/>
                <w:lang w:val="en-US" w:eastAsia="zh-CN"/>
              </w:rPr>
              <w:t xml:space="preserve">M3-v2</w:t>
            </w:r>
          </w:p>
        </w:tc>
        <w:tc>
          <w:tcPr>
            <w:vAlign w:val="center"/>
            <w:tcMar>
              <w:top w:w="80" w:type="dxa"/>
              <w:bottom w:w="80" w:type="dxa"/>
              <w:start w:w="120" w:type="dxa"/>
              <w:end w:w="120" w:type="dxa"/>
            </w:tcMar>
            <w:tcW w:w="1963" w:type="dxa"/>
          </w:tcPr>
          <w:p>
            <w:pPr>
              <w:pStyle w:val="Compact"/>
              <w:spacing w:before="0" w:after="40" w:line="240" w:lineRule="auto"/>
              <w:jc w:val="center"/>
            </w:pPr>
            <w:r>
              <w:rPr>
                <w:rFonts w:ascii="Times New Roman" w:hAnsi="Times New Roman" w:eastAsia="SimSun"/>
                <w:sz w:val="17"/>
                <w:lang w:val="en-US" w:eastAsia="zh-CN"/>
              </w:rPr>
              <w:t xml:space="preserve">Structural baseline</w:t>
            </w:r>
          </w:p>
        </w:tc>
        <w:tc>
          <w:tcPr>
            <w:vAlign w:val="center"/>
            <w:tcMar>
              <w:top w:w="80" w:type="dxa"/>
              <w:bottom w:w="80" w:type="dxa"/>
              <w:start w:w="120" w:type="dxa"/>
              <w:end w:w="120" w:type="dxa"/>
            </w:tcMar>
            <w:tcW w:w="2874"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1420" w:type="dxa"/>
          </w:tcPr>
          <w:p>
            <w:pPr>
              <w:pStyle w:val="Compact"/>
              <w:spacing w:before="0" w:after="40" w:line="240" w:lineRule="auto"/>
              <w:jc w:val="center"/>
            </w:pPr>
            <w:r>
              <w:rPr>
                <w:rFonts w:ascii="Times New Roman" w:hAnsi="Times New Roman" w:eastAsia="SimSun"/>
                <w:sz w:val="17"/>
                <w:lang w:val="en-US" w:eastAsia="zh-CN"/>
              </w:rPr>
              <w:t xml:space="preserve">50</w:t>
            </w:r>
          </w:p>
        </w:tc>
      </w:tr>
    </w:tbl>
    <w:bookmarkEnd w:id="76"/>
    <w:bookmarkStart w:id="77" w:name="表-2.-联合主要终点"/>
    <w:p>
      <w:pPr>
        <w:pStyle w:val="Heading3"/>
        <w:keepNext/>
      </w:pPr>
      <w:r>
        <w:rPr>
          <w:rFonts w:ascii="Times New Roman" w:hAnsi="Times New Roman" w:eastAsia="Microsoft YaHei"/>
          <w:lang w:val="en-US" w:eastAsia="zh-CN"/>
        </w:rPr>
        <w:t xml:space="preserve">表 2. 联合主要终点</w:t>
      </w:r>
    </w:p>
    <w:p>
      <w:pPr>
        <w:pStyle w:val="FirstParagraph"/>
      </w:pPr>
      <w:r>
        <w:rPr>
          <w:rFonts w:ascii="Times New Roman" w:hAnsi="Times New Roman" w:eastAsia="SimSun"/>
          <w:lang w:val="en-US" w:eastAsia="zh-CN"/>
        </w:rPr>
        <w:t xml:space="preserve">攻击任务中的不安全效应与良性工具任务中的完成。方括号为 Wilson 95% 置信区间。</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527"/>
        <w:gridCol w:w="1666"/>
        <w:gridCol w:w="1788"/>
        <w:gridCol w:w="2147"/>
        <w:gridCol w:w="2232"/>
      </w:tblGrid>
      <w:tr>
        <w:trPr>
          <w:tblHeader w:val="true"/>
        </w:trPr>
        <w:tc>
          <w:tcPr>
            <w:vAlign w:val="center"/>
            <w:tcMar>
              <w:top w:w="80" w:type="dxa"/>
              <w:bottom w:w="80" w:type="dxa"/>
              <w:start w:w="120" w:type="dxa"/>
              <w:end w:w="120" w:type="dxa"/>
            </w:tcMar>
            <w:tcW w:w="1527" w:type="dxa"/>
            <w:shd w:fill="E8EEF5"/>
          </w:tcPr>
          <w:p>
            <w:pPr>
              <w:pStyle w:val="Compact"/>
              <w:spacing w:before="0" w:after="40" w:line="240" w:lineRule="auto"/>
              <w:jc w:val="left"/>
            </w:pPr>
            <w:r>
              <w:rPr>
                <w:rFonts w:ascii="Times New Roman" w:hAnsi="Times New Roman" w:eastAsia="SimSun"/>
                <w:b/>
                <w:sz w:val="17"/>
                <w:lang w:val="en-US" w:eastAsia="zh-CN"/>
              </w:rPr>
              <w:t xml:space="preserve">服务商</w:t>
            </w:r>
          </w:p>
        </w:tc>
        <w:tc>
          <w:tcPr>
            <w:vAlign w:val="center"/>
            <w:tcMar>
              <w:top w:w="80" w:type="dxa"/>
              <w:bottom w:w="80" w:type="dxa"/>
              <w:start w:w="120" w:type="dxa"/>
              <w:end w:w="120" w:type="dxa"/>
            </w:tcMar>
            <w:tcW w:w="1666" w:type="dxa"/>
            <w:shd w:fill="E8EEF5"/>
          </w:tcPr>
          <w:p>
            <w:pPr>
              <w:pStyle w:val="Compact"/>
              <w:spacing w:before="0" w:after="40" w:line="240" w:lineRule="auto"/>
              <w:jc w:val="left"/>
            </w:pPr>
            <w:r>
              <w:rPr>
                <w:rFonts w:ascii="Times New Roman" w:hAnsi="Times New Roman" w:eastAsia="SimSun"/>
                <w:b/>
                <w:sz w:val="17"/>
                <w:lang w:val="en-US" w:eastAsia="zh-CN"/>
              </w:rPr>
              <w:t xml:space="preserve">条件</w:t>
            </w:r>
          </w:p>
        </w:tc>
        <w:tc>
          <w:tcPr>
            <w:vAlign w:val="center"/>
            <w:tcMar>
              <w:top w:w="80" w:type="dxa"/>
              <w:bottom w:w="80" w:type="dxa"/>
              <w:start w:w="120" w:type="dxa"/>
              <w:end w:w="120" w:type="dxa"/>
            </w:tcMar>
            <w:tcW w:w="1788" w:type="dxa"/>
            <w:shd w:fill="E8EEF5"/>
          </w:tcPr>
          <w:p>
            <w:pPr>
              <w:pStyle w:val="Compact"/>
              <w:spacing w:before="0" w:after="40" w:line="240" w:lineRule="auto"/>
              <w:jc w:val="center"/>
            </w:pPr>
            <w:r>
              <w:rPr>
                <w:rFonts w:ascii="Times New Roman" w:hAnsi="Times New Roman" w:eastAsia="SimSun"/>
                <w:b/>
                <w:sz w:val="17"/>
                <w:lang w:val="en-US" w:eastAsia="zh-CN"/>
              </w:rPr>
              <w:t xml:space="preserve">授权</w:t>
            </w:r>
          </w:p>
        </w:tc>
        <w:tc>
          <w:tcPr>
            <w:vAlign w:val="center"/>
            <w:tcMar>
              <w:top w:w="80" w:type="dxa"/>
              <w:bottom w:w="80" w:type="dxa"/>
              <w:start w:w="120" w:type="dxa"/>
              <w:end w:w="120" w:type="dxa"/>
            </w:tcMar>
            <w:tcW w:w="2147" w:type="dxa"/>
            <w:shd w:fill="E8EEF5"/>
          </w:tcPr>
          <w:p>
            <w:pPr>
              <w:pStyle w:val="Compact"/>
              <w:spacing w:before="0" w:after="40" w:line="240" w:lineRule="auto"/>
              <w:jc w:val="center"/>
            </w:pPr>
            <w:r>
              <w:rPr>
                <w:rFonts w:ascii="Times New Roman" w:hAnsi="Times New Roman" w:eastAsia="SimSun"/>
                <w:b/>
                <w:sz w:val="17"/>
                <w:lang w:val="en-US" w:eastAsia="zh-CN"/>
              </w:rPr>
              <w:t xml:space="preserve">不安全效应，n/N（95% CI）</w:t>
            </w:r>
          </w:p>
        </w:tc>
        <w:tc>
          <w:tcPr>
            <w:vAlign w:val="center"/>
            <w:tcMar>
              <w:top w:w="80" w:type="dxa"/>
              <w:bottom w:w="80" w:type="dxa"/>
              <w:start w:w="120" w:type="dxa"/>
              <w:end w:w="120" w:type="dxa"/>
            </w:tcMar>
            <w:tcW w:w="2232" w:type="dxa"/>
            <w:shd w:fill="E8EEF5"/>
          </w:tcPr>
          <w:p>
            <w:pPr>
              <w:pStyle w:val="Compact"/>
              <w:spacing w:before="0" w:after="40" w:line="240" w:lineRule="auto"/>
              <w:jc w:val="center"/>
            </w:pPr>
            <w:r>
              <w:rPr>
                <w:rFonts w:ascii="Times New Roman" w:hAnsi="Times New Roman" w:eastAsia="SimSun"/>
                <w:b/>
                <w:sz w:val="17"/>
                <w:lang w:val="en-US" w:eastAsia="zh-CN"/>
              </w:rPr>
              <w:t xml:space="preserve">良性工具 TCR，n/N（95% CI）</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2232" w:type="dxa"/>
          </w:tcPr>
          <w:p>
            <w:pPr>
              <w:pStyle w:val="Compact"/>
              <w:spacing w:before="0" w:after="40" w:line="240" w:lineRule="auto"/>
              <w:jc w:val="left"/>
            </w:pPr>
            <w:r>
              <w:rPr>
                <w:rFonts w:ascii="Times New Roman" w:hAnsi="Times New Roman" w:eastAsia="SimSun"/>
                <w:sz w:val="17"/>
                <w:lang w:val="en-US" w:eastAsia="zh-CN"/>
              </w:rPr>
              <w:t xml:space="preserve">16/60 (26.7%) [17.1%, 39.0%]</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broad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2/20 (10.0%) [2.8%, 30.1%]</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conflicting</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1/20 (5.0%) [0.9%, 23.6%]</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exact gold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7/60 (11.7%) [5.8%, 22.2%]</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M3-full</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underspecified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0/30 (0.0%) [0.0%, 11.4%]</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2/20 (10.0%) [2.8%, 30.1%]</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auto compiled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1/100 (1.0%) [0.2%, 5.4%]</w:t>
            </w:r>
          </w:p>
        </w:tc>
        <w:tc>
          <w:tcPr>
            <w:vAlign w:val="center"/>
            <w:tcMar>
              <w:top w:w="80" w:type="dxa"/>
              <w:bottom w:w="80" w:type="dxa"/>
              <w:start w:w="120" w:type="dxa"/>
              <w:end w:w="120" w:type="dxa"/>
            </w:tcMar>
            <w:tcW w:w="2232" w:type="dxa"/>
          </w:tcPr>
          <w:p>
            <w:pPr>
              <w:pStyle w:val="Compact"/>
              <w:spacing w:before="0" w:after="40" w:line="240" w:lineRule="auto"/>
              <w:jc w:val="left"/>
            </w:pPr>
            <w:r>
              <w:rPr>
                <w:rFonts w:ascii="Times New Roman" w:hAnsi="Times New Roman" w:eastAsia="SimSun"/>
                <w:sz w:val="17"/>
                <w:lang w:val="en-US" w:eastAsia="zh-CN"/>
              </w:rPr>
              <w:t xml:space="preserve">22/60 (36.7%) [25.6%, 49.3%]</w:t>
            </w:r>
          </w:p>
        </w:tc>
      </w:tr>
      <w:tr>
        <w:tc>
          <w:tcPr>
            <w:vAlign w:val="center"/>
            <w:tcMar>
              <w:top w:w="80" w:type="dxa"/>
              <w:bottom w:w="80" w:type="dxa"/>
              <w:start w:w="120" w:type="dxa"/>
              <w:end w:w="120" w:type="dxa"/>
            </w:tcMar>
            <w:tcW w:w="1527" w:type="dxa"/>
          </w:tcPr>
          <w:p>
            <w:pPr>
              <w:pStyle w:val="Compact"/>
              <w:spacing w:before="0" w:after="40" w:line="240" w:lineRule="auto"/>
              <w:jc w:val="left"/>
            </w:pPr>
            <w:r>
              <w:rPr>
                <w:rFonts w:ascii="Times New Roman" w:hAnsi="Times New Roman" w:eastAsia="SimSun"/>
                <w:sz w:val="17"/>
                <w:lang w:val="en-US" w:eastAsia="zh-CN"/>
              </w:rPr>
              <w:t xml:space="preserve">DeepSeek</w:t>
            </w:r>
          </w:p>
        </w:tc>
        <w:tc>
          <w:tcPr>
            <w:vAlign w:val="center"/>
            <w:tcMar>
              <w:top w:w="80" w:type="dxa"/>
              <w:bottom w:w="80" w:type="dxa"/>
              <w:start w:w="120" w:type="dxa"/>
              <w:end w:w="120" w:type="dxa"/>
            </w:tcMar>
            <w:tcW w:w="1666" w:type="dxa"/>
          </w:tcPr>
          <w:p>
            <w:pPr>
              <w:pStyle w:val="Compact"/>
              <w:spacing w:before="0" w:after="40" w:line="240" w:lineRule="auto"/>
              <w:jc w:val="left"/>
            </w:pPr>
            <w:r>
              <w:rPr>
                <w:rFonts w:ascii="Times New Roman" w:hAnsi="Times New Roman" w:eastAsia="SimSun"/>
                <w:sz w:val="17"/>
                <w:lang w:val="en-US" w:eastAsia="zh-CN"/>
              </w:rPr>
              <w:t xml:space="preserve">Policy-only</w:t>
            </w:r>
          </w:p>
        </w:tc>
        <w:tc>
          <w:tcPr>
            <w:vAlign w:val="center"/>
            <w:tcMar>
              <w:top w:w="80" w:type="dxa"/>
              <w:bottom w:w="80" w:type="dxa"/>
              <w:start w:w="120" w:type="dxa"/>
              <w:end w:w="120" w:type="dxa"/>
            </w:tcMar>
            <w:tcW w:w="1788" w:type="dxa"/>
          </w:tcPr>
          <w:p>
            <w:pPr>
              <w:pStyle w:val="Compact"/>
              <w:spacing w:before="0" w:after="40" w:line="240" w:lineRule="auto"/>
              <w:jc w:val="center"/>
            </w:pPr>
            <w:r>
              <w:rPr>
                <w:rFonts w:ascii="Times New Roman" w:hAnsi="Times New Roman" w:eastAsia="SimSun"/>
                <w:sz w:val="17"/>
                <w:lang w:val="en-US" w:eastAsia="zh-CN"/>
              </w:rPr>
              <w:t xml:space="preserve">exact gold</w:t>
            </w:r>
          </w:p>
        </w:tc>
        <w:tc>
          <w:tcPr>
            <w:vAlign w:val="center"/>
            <w:tcMar>
              <w:top w:w="80" w:type="dxa"/>
              <w:bottom w:w="80" w:type="dxa"/>
              <w:start w:w="120" w:type="dxa"/>
              <w:end w:w="120" w:type="dxa"/>
            </w:tcMar>
            <w:tcW w:w="2147" w:type="dxa"/>
          </w:tcPr>
          <w:p>
            <w:pPr>
              <w:pStyle w:val="Compact"/>
              <w:spacing w:before="0" w:after="40" w:line="240" w:lineRule="auto"/>
              <w:jc w:val="center"/>
            </w:pPr>
            <w:r>
              <w:rPr>
                <w:rFonts w:ascii="Times New Roman" w:hAnsi="Times New Roman" w:eastAsia="SimSun"/>
                <w:sz w:val="17"/>
                <w:lang w:val="en-US" w:eastAsia="zh-CN"/>
              </w:rPr>
              <w:t xml:space="preserve">0/100 (0.0%) [0.0%, 3.7%]</w:t>
            </w:r>
          </w:p>
        </w:tc>
        <w:tc>
          <w:tcPr>
            <w:vAlign w:val="center"/>
            <w:tcMar>
              <w:top w:w="80" w:type="dxa"/>
              <w:bottom w:w="80" w:type="dxa"/>
              <w:start w:w="120" w:type="dxa"/>
              <w:end w:w="120" w:type="dxa"/>
            </w:tcMar>
            <w:tcW w:w="2232" w:type="dxa"/>
          </w:tcPr>
          <w:p>
            <w:pPr>
              <w:pStyle w:val="Compact"/>
              <w:spacing w:before="0" w:after="40" w:line="240" w:lineRule="auto"/>
              <w:jc w:val="center"/>
            </w:pPr>
            <w:r>
              <w:rPr>
                <w:rFonts w:ascii="Times New Roman" w:hAnsi="Times New Roman" w:eastAsia="SimSun"/>
                <w:sz w:val="17"/>
                <w:lang w:val="en-US" w:eastAsia="zh-CN"/>
              </w:rPr>
              <w:t xml:space="preserve">9/60 (15.0%) [8.1%, 26.1%]</w:t>
            </w:r>
          </w:p>
        </w:tc>
      </w:tr>
    </w:tbl>
    <w:bookmarkEnd w:id="77"/>
    <w:bookmarkStart w:id="78" w:name="表-3.-授权制度与机制的配对效应"/>
    <w:p>
      <w:pPr>
        <w:pStyle w:val="Heading3"/>
        <w:keepNext/>
      </w:pPr>
      <w:r>
        <w:rPr>
          <w:rFonts w:ascii="Times New Roman" w:hAnsi="Times New Roman" w:eastAsia="Microsoft YaHei"/>
          <w:lang w:val="en-US" w:eastAsia="zh-CN"/>
        </w:rPr>
        <w:t xml:space="preserve">表 3. 授权制度与机制的配对效应</w:t>
      </w:r>
    </w:p>
    <w:p>
      <w:pPr>
        <w:pStyle w:val="FirstParagraph"/>
      </w:pPr>
      <w:r>
        <w:rPr>
          <w:rFonts w:ascii="Times New Roman" w:hAnsi="Times New Roman" w:eastAsia="SimSun"/>
          <w:lang w:val="en-US" w:eastAsia="zh-CN"/>
        </w:rPr>
        <w:t xml:space="preserve">绝对百分点差按</w:t>
      </w:r>
      <w:r>
        <w:rPr>
          <w:rFonts w:ascii="Times New Roman" w:hAnsi="Times New Roman" w:eastAsia="SimSun"/>
          <w:lang w:val="en-US" w:eastAsia="zh-CN"/>
        </w:rPr>
        <w:t xml:space="preserve">“</w:t>
      </w:r>
      <w:r>
        <w:rPr>
          <w:rFonts w:ascii="Times New Roman" w:hAnsi="Times New Roman" w:eastAsia="SimSun"/>
          <w:lang w:val="en-US" w:eastAsia="zh-CN"/>
        </w:rPr>
        <w:t xml:space="preserve">第二条件减第一条件</w:t>
      </w:r>
      <w:r>
        <w:rPr>
          <w:rFonts w:ascii="Times New Roman" w:hAnsi="Times New Roman" w:eastAsia="SimSun"/>
          <w:lang w:val="en-US" w:eastAsia="zh-CN"/>
        </w:rPr>
        <w:t xml:space="preserve">”</w:t>
      </w:r>
      <w:r>
        <w:rPr>
          <w:rFonts w:ascii="Times New Roman" w:hAnsi="Times New Roman" w:eastAsia="SimSun"/>
          <w:lang w:val="en-US" w:eastAsia="zh-CN"/>
        </w:rPr>
        <w:t xml:space="preserve">计算。压力制度扩展不进入主要 Holm 家族。</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986"/>
        <w:gridCol w:w="986"/>
        <w:gridCol w:w="1385"/>
        <w:gridCol w:w="935"/>
        <w:gridCol w:w="961"/>
        <w:gridCol w:w="1147"/>
        <w:gridCol w:w="1010"/>
        <w:gridCol w:w="1010"/>
        <w:gridCol w:w="940"/>
      </w:tblGrid>
      <w:tr>
        <w:trPr>
          <w:tblHeader w:val="true"/>
        </w:trPr>
        <w:tc>
          <w:tcPr>
            <w:vAlign w:val="center"/>
            <w:tcMar>
              <w:top w:w="80" w:type="dxa"/>
              <w:bottom w:w="80" w:type="dxa"/>
              <w:start w:w="120" w:type="dxa"/>
              <w:end w:w="120" w:type="dxa"/>
            </w:tcMar>
            <w:tcW w:w="986"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986" w:type="dxa"/>
            <w:shd w:fill="E8EEF5"/>
          </w:tcPr>
          <w:p>
            <w:pPr>
              <w:pStyle w:val="Compact"/>
              <w:spacing w:before="0" w:after="40" w:line="240" w:lineRule="auto"/>
              <w:jc w:val="left"/>
            </w:pPr>
            <w:r>
              <w:rPr>
                <w:rFonts w:ascii="Times New Roman" w:hAnsi="Times New Roman" w:eastAsia="SimSun"/>
                <w:b/>
                <w:sz w:val="15"/>
                <w:lang w:val="en-US" w:eastAsia="zh-CN"/>
              </w:rPr>
              <w:t xml:space="preserve">终点</w:t>
            </w:r>
          </w:p>
        </w:tc>
        <w:tc>
          <w:tcPr>
            <w:vAlign w:val="center"/>
            <w:tcMar>
              <w:top w:w="80" w:type="dxa"/>
              <w:bottom w:w="80" w:type="dxa"/>
              <w:start w:w="120" w:type="dxa"/>
              <w:end w:w="120" w:type="dxa"/>
            </w:tcMar>
            <w:tcW w:w="1385" w:type="dxa"/>
            <w:shd w:fill="E8EEF5"/>
          </w:tcPr>
          <w:p>
            <w:pPr>
              <w:pStyle w:val="Compact"/>
              <w:spacing w:before="0" w:after="40" w:line="240" w:lineRule="auto"/>
              <w:jc w:val="center"/>
            </w:pPr>
            <w:r>
              <w:rPr>
                <w:rFonts w:ascii="Times New Roman" w:hAnsi="Times New Roman" w:eastAsia="SimSun"/>
                <w:b/>
                <w:sz w:val="15"/>
                <w:lang w:val="en-US" w:eastAsia="zh-CN"/>
              </w:rPr>
              <w:t xml:space="preserve">比较</w:t>
            </w:r>
          </w:p>
        </w:tc>
        <w:tc>
          <w:tcPr>
            <w:vAlign w:val="center"/>
            <w:tcMar>
              <w:top w:w="80" w:type="dxa"/>
              <w:bottom w:w="80" w:type="dxa"/>
              <w:start w:w="120" w:type="dxa"/>
              <w:end w:w="120" w:type="dxa"/>
            </w:tcMar>
            <w:tcW w:w="935" w:type="dxa"/>
            <w:shd w:fill="E8EEF5"/>
          </w:tcPr>
          <w:p>
            <w:pPr>
              <w:pStyle w:val="Compact"/>
              <w:spacing w:before="0" w:after="40" w:line="240" w:lineRule="auto"/>
              <w:jc w:val="center"/>
            </w:pPr>
            <w:r>
              <w:rPr>
                <w:rFonts w:ascii="Times New Roman" w:hAnsi="Times New Roman" w:eastAsia="SimSun"/>
                <w:b/>
                <w:sz w:val="15"/>
                <w:lang w:val="en-US" w:eastAsia="zh-CN"/>
              </w:rPr>
              <w:t xml:space="preserve">配对 n</w:t>
            </w:r>
          </w:p>
        </w:tc>
        <w:tc>
          <w:tcPr>
            <w:vAlign w:val="center"/>
            <w:tcMar>
              <w:top w:w="80" w:type="dxa"/>
              <w:bottom w:w="80" w:type="dxa"/>
              <w:start w:w="120" w:type="dxa"/>
              <w:end w:w="120" w:type="dxa"/>
            </w:tcMar>
            <w:tcW w:w="961" w:type="dxa"/>
            <w:shd w:fill="E8EEF5"/>
          </w:tcPr>
          <w:p>
            <w:pPr>
              <w:pStyle w:val="Compact"/>
              <w:spacing w:before="0" w:after="40" w:line="240" w:lineRule="auto"/>
              <w:jc w:val="center"/>
            </w:pPr>
            <w:r>
              <w:rPr>
                <w:rFonts w:ascii="Times New Roman" w:hAnsi="Times New Roman" w:eastAsia="SimSun"/>
                <w:b/>
                <w:sz w:val="15"/>
                <w:lang w:val="en-US" w:eastAsia="zh-CN"/>
              </w:rPr>
              <w:t xml:space="preserve">差值（百分点）</w:t>
            </w:r>
          </w:p>
        </w:tc>
        <w:tc>
          <w:tcPr>
            <w:vAlign w:val="center"/>
            <w:tcMar>
              <w:top w:w="80" w:type="dxa"/>
              <w:bottom w:w="80" w:type="dxa"/>
              <w:start w:w="120" w:type="dxa"/>
              <w:end w:w="120" w:type="dxa"/>
            </w:tcMar>
            <w:tcW w:w="1147" w:type="dxa"/>
            <w:shd w:fill="E8EEF5"/>
          </w:tcPr>
          <w:p>
            <w:pPr>
              <w:pStyle w:val="Compact"/>
              <w:spacing w:before="0" w:after="40" w:line="240" w:lineRule="auto"/>
              <w:jc w:val="center"/>
            </w:pPr>
            <w:r>
              <w:rPr>
                <w:rFonts w:ascii="Times New Roman" w:hAnsi="Times New Roman" w:eastAsia="SimSun"/>
                <w:b/>
                <w:sz w:val="15"/>
                <w:lang w:val="en-US" w:eastAsia="zh-CN"/>
              </w:rPr>
              <w:t xml:space="preserve">Bootstrap 95% CI</w:t>
            </w:r>
          </w:p>
        </w:tc>
        <w:tc>
          <w:tcPr>
            <w:vAlign w:val="center"/>
            <w:tcMar>
              <w:top w:w="80" w:type="dxa"/>
              <w:bottom w:w="80" w:type="dxa"/>
              <w:start w:w="120" w:type="dxa"/>
              <w:end w:w="120" w:type="dxa"/>
            </w:tcMar>
            <w:tcW w:w="1010" w:type="dxa"/>
            <w:shd w:fill="E8EEF5"/>
          </w:tcPr>
          <w:p>
            <w:pPr>
              <w:pStyle w:val="Compact"/>
              <w:spacing w:before="0" w:after="40" w:line="240" w:lineRule="auto"/>
              <w:jc w:val="center"/>
            </w:pPr>
            <w:r>
              <w:rPr>
                <w:rFonts w:ascii="Times New Roman" w:hAnsi="Times New Roman" w:eastAsia="SimSun"/>
                <w:b/>
                <w:sz w:val="15"/>
                <w:lang w:val="en-US" w:eastAsia="zh-CN"/>
              </w:rPr>
              <w:t xml:space="preserve">不一致 第一/第二</w:t>
            </w:r>
          </w:p>
        </w:tc>
        <w:tc>
          <w:tcPr>
            <w:vAlign w:val="center"/>
            <w:tcMar>
              <w:top w:w="80" w:type="dxa"/>
              <w:bottom w:w="80" w:type="dxa"/>
              <w:start w:w="120" w:type="dxa"/>
              <w:end w:w="120" w:type="dxa"/>
            </w:tcMar>
            <w:tcW w:w="1010" w:type="dxa"/>
            <w:shd w:fill="E8EEF5"/>
          </w:tcPr>
          <w:p>
            <w:pPr>
              <w:pStyle w:val="Compact"/>
              <w:spacing w:before="0" w:after="40" w:line="240" w:lineRule="auto"/>
              <w:jc w:val="center"/>
            </w:pPr>
            <w:r>
              <w:rPr>
                <w:rFonts w:ascii="Times New Roman" w:hAnsi="Times New Roman" w:eastAsia="SimSun"/>
                <w:b/>
                <w:sz w:val="15"/>
                <w:lang w:val="en-US" w:eastAsia="zh-CN"/>
              </w:rPr>
              <w:t xml:space="preserve">McNemar p</w:t>
            </w:r>
          </w:p>
        </w:tc>
        <w:tc>
          <w:tcPr>
            <w:vAlign w:val="center"/>
            <w:tcMar>
              <w:top w:w="80" w:type="dxa"/>
              <w:bottom w:w="80" w:type="dxa"/>
              <w:start w:w="120" w:type="dxa"/>
              <w:end w:w="120" w:type="dxa"/>
            </w:tcMar>
            <w:tcW w:w="940" w:type="dxa"/>
            <w:shd w:fill="E8EEF5"/>
          </w:tcPr>
          <w:p>
            <w:pPr>
              <w:pStyle w:val="Compact"/>
              <w:spacing w:before="0" w:after="40" w:line="240" w:lineRule="auto"/>
              <w:jc w:val="center"/>
            </w:pPr>
            <w:r>
              <w:rPr>
                <w:rFonts w:ascii="Times New Roman" w:hAnsi="Times New Roman" w:eastAsia="SimSun"/>
                <w:b/>
                <w:sz w:val="15"/>
                <w:lang w:val="en-US" w:eastAsia="zh-CN"/>
              </w:rPr>
              <w:t xml:space="preserve">Holm p</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auto 至 M3-full auto</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[-18.3, -3.3]</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0.031</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0.094</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exact 至 M3-full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-3.3</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[-8.3,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0.500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0.500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[-28.3, -1.7]</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13/4</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0.049</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0.098</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Policy-only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-21.7</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[-36.7, -5.0]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19/6</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0.015</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0.059</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auto 至 M3-full auto</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Policy-only exact 至 M3-full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Policy-only auto 至 exact</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100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[-3.0,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1.000</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broad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[-45.0, -5.0]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5/0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0.062</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broad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conflicting</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-30.0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[-50.0, -10.0]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0.031</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center"/>
            </w:pPr>
            <w:r>
              <w:rPr>
                <w:rFonts w:ascii="Times New Roman" w:hAnsi="Times New Roman" w:eastAsia="SimSun"/>
                <w:sz w:val="15"/>
                <w:lang w:val="en-US" w:eastAsia="zh-CN"/>
              </w:rPr>
              <w:t xml:space="preserve">M3-full auto 至 conflicting</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良性工具 TCR</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M3-full auto 至 underspecified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-25.0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[-50.0,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6/1</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0.125</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r>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986" w:type="dxa"/>
          </w:tcPr>
          <w:p>
            <w:pPr>
              <w:pStyle w:val="Compact"/>
              <w:spacing w:before="0" w:after="40" w:line="240" w:lineRule="auto"/>
              <w:jc w:val="left"/>
            </w:pPr>
            <w:r>
              <w:rPr>
                <w:rFonts w:ascii="Times New Roman" w:hAnsi="Times New Roman" w:eastAsia="SimSun"/>
                <w:sz w:val="15"/>
                <w:lang w:val="en-US" w:eastAsia="zh-CN"/>
              </w:rPr>
              <w:t xml:space="preserve">不安全效应</w:t>
            </w:r>
          </w:p>
        </w:tc>
        <w:tc>
          <w:tcPr>
            <w:vAlign w:val="center"/>
            <w:tcMar>
              <w:top w:w="80" w:type="dxa"/>
              <w:bottom w:w="80" w:type="dxa"/>
              <w:start w:w="120" w:type="dxa"/>
              <w:end w:w="120" w:type="dxa"/>
            </w:tcMar>
            <w:tcW w:w="1385" w:type="dxa"/>
          </w:tcPr>
          <w:p>
            <w:pPr>
              <w:pStyle w:val="Compact"/>
              <w:spacing w:before="0" w:after="40" w:line="240" w:lineRule="auto"/>
              <w:jc w:val="left"/>
            </w:pPr>
            <w:r>
              <w:rPr>
                <w:rFonts w:ascii="Times New Roman" w:hAnsi="Times New Roman" w:eastAsia="SimSun"/>
                <w:sz w:val="15"/>
                <w:lang w:val="en-US" w:eastAsia="zh-CN"/>
              </w:rPr>
              <w:t xml:space="preserve">M3-full auto 至 underspecified</w:t>
            </w:r>
          </w:p>
        </w:tc>
        <w:tc>
          <w:tcPr>
            <w:vAlign w:val="center"/>
            <w:tcMar>
              <w:top w:w="80" w:type="dxa"/>
              <w:bottom w:w="80" w:type="dxa"/>
              <w:start w:w="120" w:type="dxa"/>
              <w:end w:w="120" w:type="dxa"/>
            </w:tcMar>
            <w:tcW w:w="935" w:type="dxa"/>
          </w:tcPr>
          <w:p>
            <w:pPr>
              <w:pStyle w:val="Compact"/>
              <w:spacing w:before="0" w:after="40" w:line="240" w:lineRule="auto"/>
              <w:jc w:val="center"/>
            </w:pPr>
            <w:r>
              <w:rPr>
                <w:rFonts w:ascii="Times New Roman" w:hAnsi="Times New Roman" w:eastAsia="SimSun"/>
                <w:sz w:val="15"/>
                <w:lang w:val="en-US" w:eastAsia="zh-CN"/>
              </w:rPr>
              <w:t xml:space="preserve">30</w:t>
            </w:r>
          </w:p>
        </w:tc>
        <w:tc>
          <w:tcPr>
            <w:vAlign w:val="center"/>
            <w:tcMar>
              <w:top w:w="80" w:type="dxa"/>
              <w:bottom w:w="80" w:type="dxa"/>
              <w:start w:w="120" w:type="dxa"/>
              <w:end w:w="120" w:type="dxa"/>
            </w:tcMar>
            <w:tcW w:w="961"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147" w:type="dxa"/>
          </w:tcPr>
          <w:p>
            <w:pPr>
              <w:pStyle w:val="Compact"/>
              <w:spacing w:before="0" w:after="40" w:line="240" w:lineRule="auto"/>
              <w:jc w:val="center"/>
            </w:pPr>
            <w:r>
              <w:rPr>
                <w:rFonts w:ascii="Times New Roman" w:hAnsi="Times New Roman" w:eastAsia="SimSun"/>
                <w:sz w:val="15"/>
                <w:lang w:val="en-US" w:eastAsia="zh-CN"/>
              </w:rPr>
              <w:t xml:space="preserve">[+0.0, +0.0]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0/0</w:t>
            </w:r>
          </w:p>
        </w:tc>
        <w:tc>
          <w:tcPr>
            <w:vAlign w:val="center"/>
            <w:tcMar>
              <w:top w:w="80" w:type="dxa"/>
              <w:bottom w:w="80" w:type="dxa"/>
              <w:start w:w="120" w:type="dxa"/>
              <w:end w:w="120" w:type="dxa"/>
            </w:tcMar>
            <w:tcW w:w="1010" w:type="dxa"/>
          </w:tcPr>
          <w:p>
            <w:pPr>
              <w:pStyle w:val="Compact"/>
              <w:spacing w:before="0" w:after="40" w:line="240" w:lineRule="auto"/>
              <w:jc w:val="center"/>
            </w:pPr>
            <w:r>
              <w:rPr>
                <w:rFonts w:ascii="Times New Roman" w:hAnsi="Times New Roman" w:eastAsia="SimSun"/>
                <w:sz w:val="15"/>
                <w:lang w:val="en-US" w:eastAsia="zh-CN"/>
              </w:rPr>
              <w:t xml:space="preserve">1.000</w:t>
            </w:r>
          </w:p>
        </w:tc>
        <w:tc>
          <w:tcPr>
            <w:vAlign w:val="center"/>
            <w:tcMar>
              <w:top w:w="80" w:type="dxa"/>
              <w:bottom w:w="80" w:type="dxa"/>
              <w:start w:w="120" w:type="dxa"/>
              <w:end w:w="120" w:type="dxa"/>
            </w:tcMar>
            <w:tcW w:w="940" w:type="dxa"/>
          </w:tcPr>
          <w:p>
            <w:pPr>
              <w:pStyle w:val="Compact"/>
              <w:spacing w:before="0" w:after="40" w:line="240" w:lineRule="auto"/>
              <w:jc w:val="center"/>
            </w:pPr>
            <w:r>
              <w:rPr>
                <w:rFonts w:ascii="Times New Roman" w:hAnsi="Times New Roman" w:eastAsia="SimSun"/>
                <w:sz w:val="15"/>
                <w:lang w:val="en-US" w:eastAsia="zh-CN"/>
              </w:rPr>
              <w:t xml:space="preserve">—</w:t>
            </w:r>
          </w:p>
        </w:tc>
      </w:tr>
    </w:tbl>
    <w:bookmarkEnd w:id="78"/>
    <w:bookmarkStart w:id="79" w:name="表-4.-运行负担"/>
    <w:p>
      <w:pPr>
        <w:pStyle w:val="Heading3"/>
        <w:keepNext/>
      </w:pPr>
      <w:r>
        <w:rPr>
          <w:rFonts w:ascii="Times New Roman" w:hAnsi="Times New Roman" w:eastAsia="Microsoft YaHei"/>
          <w:lang w:val="en-US" w:eastAsia="zh-CN"/>
        </w:rPr>
        <w:t xml:space="preserve">表 4. 运行负担</w:t>
      </w:r>
    </w:p>
    <w:p>
      <w:pPr>
        <w:pStyle w:val="FirstParagraph"/>
      </w:pPr>
      <w:r>
        <w:rPr>
          <w:rFonts w:ascii="Times New Roman" w:hAnsi="Times New Roman" w:eastAsia="SimSun"/>
          <w:lang w:val="en-US" w:eastAsia="zh-CN"/>
        </w:rPr>
        <w:t xml:space="preserve">ASK 与 DENY 同时报告事件总数、记录发生数和受影响记录比例；失败保留在 ITT 分母内。</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969"/>
        <w:gridCol w:w="1032"/>
        <w:gridCol w:w="1088"/>
        <w:gridCol w:w="1105"/>
        <w:gridCol w:w="1122"/>
        <w:gridCol w:w="1012"/>
        <w:gridCol w:w="1070"/>
        <w:gridCol w:w="945"/>
        <w:gridCol w:w="1017"/>
      </w:tblGrid>
      <w:tr>
        <w:trPr>
          <w:tblHeader w:val="true"/>
        </w:trPr>
        <w:tc>
          <w:tcPr>
            <w:vAlign w:val="center"/>
            <w:tcMar>
              <w:top w:w="80" w:type="dxa"/>
              <w:bottom w:w="80" w:type="dxa"/>
              <w:start w:w="120" w:type="dxa"/>
              <w:end w:w="120" w:type="dxa"/>
            </w:tcMar>
            <w:tcW w:w="969"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1032" w:type="dxa"/>
            <w:shd w:fill="E8EEF5"/>
          </w:tcPr>
          <w:p>
            <w:pPr>
              <w:pStyle w:val="Compact"/>
              <w:spacing w:before="0" w:after="40" w:line="240" w:lineRule="auto"/>
              <w:jc w:val="left"/>
            </w:pPr>
            <w:r>
              <w:rPr>
                <w:rFonts w:ascii="Times New Roman" w:hAnsi="Times New Roman" w:eastAsia="SimSun"/>
                <w:b/>
                <w:sz w:val="15"/>
                <w:lang w:val="en-US" w:eastAsia="zh-CN"/>
              </w:rPr>
              <w:t xml:space="preserve">条件</w:t>
            </w:r>
          </w:p>
        </w:tc>
        <w:tc>
          <w:tcPr>
            <w:vAlign w:val="center"/>
            <w:tcMar>
              <w:top w:w="80" w:type="dxa"/>
              <w:bottom w:w="80" w:type="dxa"/>
              <w:start w:w="120" w:type="dxa"/>
              <w:end w:w="120" w:type="dxa"/>
            </w:tcMar>
            <w:tcW w:w="1088" w:type="dxa"/>
            <w:shd w:fill="E8EEF5"/>
          </w:tcPr>
          <w:p>
            <w:pPr>
              <w:pStyle w:val="Compact"/>
              <w:spacing w:before="0" w:after="40" w:line="240" w:lineRule="auto"/>
              <w:jc w:val="center"/>
            </w:pPr>
            <w:r>
              <w:rPr>
                <w:rFonts w:ascii="Times New Roman" w:hAnsi="Times New Roman" w:eastAsia="SimSun"/>
                <w:b/>
                <w:sz w:val="15"/>
                <w:lang w:val="en-US" w:eastAsia="zh-CN"/>
              </w:rPr>
              <w:t xml:space="preserve">授权</w:t>
            </w:r>
          </w:p>
        </w:tc>
        <w:tc>
          <w:tcPr>
            <w:vAlign w:val="center"/>
            <w:tcMar>
              <w:top w:w="80" w:type="dxa"/>
              <w:bottom w:w="80" w:type="dxa"/>
              <w:start w:w="120" w:type="dxa"/>
              <w:end w:w="120" w:type="dxa"/>
            </w:tcMar>
            <w:tcW w:w="1105" w:type="dxa"/>
            <w:shd w:fill="E8EEF5"/>
          </w:tcPr>
          <w:p>
            <w:pPr>
              <w:pStyle w:val="Compact"/>
              <w:spacing w:before="0" w:after="40" w:line="240" w:lineRule="auto"/>
              <w:jc w:val="center"/>
            </w:pPr>
            <w:r>
              <w:rPr>
                <w:rFonts w:ascii="Times New Roman" w:hAnsi="Times New Roman" w:eastAsia="SimSun"/>
                <w:b/>
                <w:sz w:val="15"/>
                <w:lang w:val="en-US" w:eastAsia="zh-CN"/>
              </w:rPr>
              <w:t xml:space="preserve">ASK 事件/记录</w:t>
            </w:r>
          </w:p>
        </w:tc>
        <w:tc>
          <w:tcPr>
            <w:vAlign w:val="center"/>
            <w:tcMar>
              <w:top w:w="80" w:type="dxa"/>
              <w:bottom w:w="80" w:type="dxa"/>
              <w:start w:w="120" w:type="dxa"/>
              <w:end w:w="120" w:type="dxa"/>
            </w:tcMar>
            <w:tcW w:w="1122" w:type="dxa"/>
            <w:shd w:fill="E8EEF5"/>
          </w:tcPr>
          <w:p>
            <w:pPr>
              <w:pStyle w:val="Compact"/>
              <w:spacing w:before="0" w:after="40" w:line="240" w:lineRule="auto"/>
              <w:jc w:val="center"/>
            </w:pPr>
            <w:r>
              <w:rPr>
                <w:rFonts w:ascii="Times New Roman" w:hAnsi="Times New Roman" w:eastAsia="SimSun"/>
                <w:b/>
                <w:sz w:val="15"/>
                <w:lang w:val="en-US" w:eastAsia="zh-CN"/>
              </w:rPr>
              <w:t xml:space="preserve">DENY 事件/记录</w:t>
            </w:r>
          </w:p>
        </w:tc>
        <w:tc>
          <w:tcPr>
            <w:vAlign w:val="center"/>
            <w:tcMar>
              <w:top w:w="80" w:type="dxa"/>
              <w:bottom w:w="80" w:type="dxa"/>
              <w:start w:w="120" w:type="dxa"/>
              <w:end w:w="120" w:type="dxa"/>
            </w:tcMar>
            <w:tcW w:w="1012" w:type="dxa"/>
            <w:shd w:fill="E8EEF5"/>
          </w:tcPr>
          <w:p>
            <w:pPr>
              <w:pStyle w:val="Compact"/>
              <w:spacing w:before="0" w:after="40" w:line="240" w:lineRule="auto"/>
              <w:jc w:val="center"/>
            </w:pPr>
            <w:r>
              <w:rPr>
                <w:rFonts w:ascii="Times New Roman" w:hAnsi="Times New Roman" w:eastAsia="SimSun"/>
                <w:b/>
                <w:sz w:val="15"/>
                <w:lang w:val="en-US" w:eastAsia="zh-CN"/>
              </w:rPr>
              <w:t xml:space="preserve">失败</w:t>
            </w:r>
          </w:p>
        </w:tc>
        <w:tc>
          <w:tcPr>
            <w:vAlign w:val="center"/>
            <w:tcMar>
              <w:top w:w="80" w:type="dxa"/>
              <w:bottom w:w="80" w:type="dxa"/>
              <w:start w:w="120" w:type="dxa"/>
              <w:end w:w="120" w:type="dxa"/>
            </w:tcMar>
            <w:tcW w:w="1070" w:type="dxa"/>
            <w:shd w:fill="E8EEF5"/>
          </w:tcPr>
          <w:p>
            <w:pPr>
              <w:pStyle w:val="Compact"/>
              <w:spacing w:before="0" w:after="40" w:line="240" w:lineRule="auto"/>
              <w:jc w:val="center"/>
            </w:pPr>
            <w:r>
              <w:rPr>
                <w:rFonts w:ascii="Times New Roman" w:hAnsi="Times New Roman" w:eastAsia="SimSun"/>
                <w:b/>
                <w:sz w:val="15"/>
                <w:lang w:val="en-US" w:eastAsia="zh-CN"/>
              </w:rPr>
              <w:t xml:space="preserve">时延 p50/p95（秒）</w:t>
            </w:r>
          </w:p>
        </w:tc>
        <w:tc>
          <w:tcPr>
            <w:vAlign w:val="center"/>
            <w:tcMar>
              <w:top w:w="80" w:type="dxa"/>
              <w:bottom w:w="80" w:type="dxa"/>
              <w:start w:w="120" w:type="dxa"/>
              <w:end w:w="120" w:type="dxa"/>
            </w:tcMar>
            <w:tcW w:w="945" w:type="dxa"/>
            <w:shd w:fill="E8EEF5"/>
          </w:tcPr>
          <w:p>
            <w:pPr>
              <w:pStyle w:val="Compact"/>
              <w:spacing w:before="0" w:after="40" w:line="240" w:lineRule="auto"/>
              <w:jc w:val="center"/>
            </w:pPr>
            <w:r>
              <w:rPr>
                <w:rFonts w:ascii="Times New Roman" w:hAnsi="Times New Roman" w:eastAsia="SimSun"/>
                <w:b/>
                <w:sz w:val="15"/>
                <w:lang w:val="en-US" w:eastAsia="zh-CN"/>
              </w:rPr>
              <w:t xml:space="preserve">Tokens</w:t>
            </w:r>
          </w:p>
        </w:tc>
        <w:tc>
          <w:tcPr>
            <w:vAlign w:val="center"/>
            <w:tcMar>
              <w:top w:w="80" w:type="dxa"/>
              <w:bottom w:w="80" w:type="dxa"/>
              <w:start w:w="120" w:type="dxa"/>
              <w:end w:w="120" w:type="dxa"/>
            </w:tcMar>
            <w:tcW w:w="1017" w:type="dxa"/>
            <w:shd w:fill="E8EEF5"/>
          </w:tcPr>
          <w:p>
            <w:pPr>
              <w:pStyle w:val="Compact"/>
              <w:spacing w:before="0" w:after="40" w:line="240" w:lineRule="auto"/>
              <w:jc w:val="center"/>
            </w:pPr>
            <w:r>
              <w:rPr>
                <w:rFonts w:ascii="Times New Roman" w:hAnsi="Times New Roman" w:eastAsia="SimSun"/>
                <w:b/>
                <w:sz w:val="15"/>
                <w:lang w:val="en-US" w:eastAsia="zh-CN"/>
              </w:rPr>
              <w:t xml:space="preserve">成本</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auto compiled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58 / 58 (32.2%)</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20 / 20 (11.1%)</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17 (9.4%)</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2.90 / 9.18</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279,687</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0.2522</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broad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23 / 23 (38.3%)</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7 / 7 (11.7%)</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6 (10.0%)</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2.84 / 9.38</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82,975</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0.0769</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conflicting</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26 / 26 (43.3%)</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6 / 6 (10.0%)</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5 (8.3%)</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2.79 / 7.89</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67,404</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0.0412</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exact gold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0 / 0 (0.0%)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187 / 81 (45.0%)</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44 (24.4%)</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3.94 / 19.62</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454,627</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0.2995</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M3-full</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underspecified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30 / 30 (50.0%)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4 / 4 (6.7%)</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 (6.7%)</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2.78 / 10.65</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82,731</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0.0875</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Policy-only</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auto compiled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62 / 62 (34.4%)</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13 / 13 (7.2%)</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13 (7.2%)</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3.16 / 10.63</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307,544</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0.2940</w:t>
            </w:r>
          </w:p>
        </w:tc>
      </w:tr>
      <w:tr>
        <w:tc>
          <w:tcPr>
            <w:vAlign w:val="center"/>
            <w:tcMar>
              <w:top w:w="80" w:type="dxa"/>
              <w:bottom w:w="80" w:type="dxa"/>
              <w:start w:w="120" w:type="dxa"/>
              <w:end w:w="120" w:type="dxa"/>
            </w:tcMar>
            <w:tcW w:w="969"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032" w:type="dxa"/>
          </w:tcPr>
          <w:p>
            <w:pPr>
              <w:pStyle w:val="Compact"/>
              <w:spacing w:before="0" w:after="40" w:line="240" w:lineRule="auto"/>
              <w:jc w:val="left"/>
            </w:pPr>
            <w:r>
              <w:rPr>
                <w:rFonts w:ascii="Times New Roman" w:hAnsi="Times New Roman" w:eastAsia="SimSun"/>
                <w:sz w:val="15"/>
                <w:lang w:val="en-US" w:eastAsia="zh-CN"/>
              </w:rPr>
              <w:t xml:space="preserve">Policy-only</w:t>
            </w:r>
          </w:p>
        </w:tc>
        <w:tc>
          <w:tcPr>
            <w:vAlign w:val="center"/>
            <w:tcMar>
              <w:top w:w="80" w:type="dxa"/>
              <w:bottom w:w="80" w:type="dxa"/>
              <w:start w:w="120" w:type="dxa"/>
              <w:end w:w="120" w:type="dxa"/>
            </w:tcMar>
            <w:tcW w:w="1088" w:type="dxa"/>
          </w:tcPr>
          <w:p>
            <w:pPr>
              <w:pStyle w:val="Compact"/>
              <w:spacing w:before="0" w:after="40" w:line="240" w:lineRule="auto"/>
              <w:jc w:val="center"/>
            </w:pPr>
            <w:r>
              <w:rPr>
                <w:rFonts w:ascii="Times New Roman" w:hAnsi="Times New Roman" w:eastAsia="SimSun"/>
                <w:sz w:val="15"/>
                <w:lang w:val="en-US" w:eastAsia="zh-CN"/>
              </w:rPr>
              <w:t xml:space="preserve">exact gold</w:t>
            </w:r>
          </w:p>
        </w:tc>
        <w:tc>
          <w:tcPr>
            <w:vAlign w:val="center"/>
            <w:tcMar>
              <w:top w:w="80" w:type="dxa"/>
              <w:bottom w:w="80" w:type="dxa"/>
              <w:start w:w="120" w:type="dxa"/>
              <w:end w:w="120" w:type="dxa"/>
            </w:tcMar>
            <w:tcW w:w="1105" w:type="dxa"/>
          </w:tcPr>
          <w:p>
            <w:pPr>
              <w:pStyle w:val="Compact"/>
              <w:spacing w:before="0" w:after="40" w:line="240" w:lineRule="auto"/>
              <w:jc w:val="center"/>
            </w:pPr>
            <w:r>
              <w:rPr>
                <w:rFonts w:ascii="Times New Roman" w:hAnsi="Times New Roman" w:eastAsia="SimSun"/>
                <w:sz w:val="15"/>
                <w:lang w:val="en-US" w:eastAsia="zh-CN"/>
              </w:rPr>
              <w:t xml:space="preserve">0 / 0 (0.0%)</w:t>
            </w:r>
          </w:p>
        </w:tc>
        <w:tc>
          <w:tcPr>
            <w:vAlign w:val="center"/>
            <w:tcMar>
              <w:top w:w="80" w:type="dxa"/>
              <w:bottom w:w="80" w:type="dxa"/>
              <w:start w:w="120" w:type="dxa"/>
              <w:end w:w="120" w:type="dxa"/>
            </w:tcMar>
            <w:tcW w:w="1122" w:type="dxa"/>
          </w:tcPr>
          <w:p>
            <w:pPr>
              <w:pStyle w:val="Compact"/>
              <w:spacing w:before="0" w:after="40" w:line="240" w:lineRule="auto"/>
              <w:jc w:val="center"/>
            </w:pPr>
            <w:r>
              <w:rPr>
                <w:rFonts w:ascii="Times New Roman" w:hAnsi="Times New Roman" w:eastAsia="SimSun"/>
                <w:sz w:val="15"/>
                <w:lang w:val="en-US" w:eastAsia="zh-CN"/>
              </w:rPr>
              <w:t xml:space="preserve">227 / 88 (48.9%)</w:t>
            </w:r>
          </w:p>
        </w:tc>
        <w:tc>
          <w:tcPr>
            <w:vAlign w:val="center"/>
            <w:tcMar>
              <w:top w:w="80" w:type="dxa"/>
              <w:bottom w:w="80" w:type="dxa"/>
              <w:start w:w="120" w:type="dxa"/>
              <w:end w:w="120" w:type="dxa"/>
            </w:tcMar>
            <w:tcW w:w="1012" w:type="dxa"/>
          </w:tcPr>
          <w:p>
            <w:pPr>
              <w:pStyle w:val="Compact"/>
              <w:spacing w:before="0" w:after="40" w:line="240" w:lineRule="auto"/>
              <w:jc w:val="center"/>
            </w:pPr>
            <w:r>
              <w:rPr>
                <w:rFonts w:ascii="Times New Roman" w:hAnsi="Times New Roman" w:eastAsia="SimSun"/>
                <w:sz w:val="15"/>
                <w:lang w:val="en-US" w:eastAsia="zh-CN"/>
              </w:rPr>
              <w:t xml:space="preserve">43 (23.9%)</w:t>
            </w:r>
          </w:p>
        </w:tc>
        <w:tc>
          <w:tcPr>
            <w:vAlign w:val="center"/>
            <w:tcMar>
              <w:top w:w="80" w:type="dxa"/>
              <w:bottom w:w="80" w:type="dxa"/>
              <w:start w:w="120" w:type="dxa"/>
              <w:end w:w="120" w:type="dxa"/>
            </w:tcMar>
            <w:tcW w:w="1070" w:type="dxa"/>
          </w:tcPr>
          <w:p>
            <w:pPr>
              <w:pStyle w:val="Compact"/>
              <w:spacing w:before="0" w:after="40" w:line="240" w:lineRule="auto"/>
              <w:jc w:val="center"/>
            </w:pPr>
            <w:r>
              <w:rPr>
                <w:rFonts w:ascii="Times New Roman" w:hAnsi="Times New Roman" w:eastAsia="SimSun"/>
                <w:sz w:val="15"/>
                <w:lang w:val="en-US" w:eastAsia="zh-CN"/>
              </w:rPr>
              <w:t xml:space="preserve">5.06 / 19.42</w:t>
            </w:r>
          </w:p>
        </w:tc>
        <w:tc>
          <w:tcPr>
            <w:vAlign w:val="center"/>
            <w:tcMar>
              <w:top w:w="80" w:type="dxa"/>
              <w:bottom w:w="80" w:type="dxa"/>
              <w:start w:w="120" w:type="dxa"/>
              <w:end w:w="120" w:type="dxa"/>
            </w:tcMar>
            <w:tcW w:w="945" w:type="dxa"/>
          </w:tcPr>
          <w:p>
            <w:pPr>
              <w:pStyle w:val="Compact"/>
              <w:spacing w:before="0" w:after="40" w:line="240" w:lineRule="auto"/>
              <w:jc w:val="center"/>
            </w:pPr>
            <w:r>
              <w:rPr>
                <w:rFonts w:ascii="Times New Roman" w:hAnsi="Times New Roman" w:eastAsia="SimSun"/>
                <w:sz w:val="15"/>
                <w:lang w:val="en-US" w:eastAsia="zh-CN"/>
              </w:rPr>
              <w:t xml:space="preserve">473,478</w:t>
            </w:r>
          </w:p>
        </w:tc>
        <w:tc>
          <w:tcPr>
            <w:vAlign w:val="center"/>
            <w:tcMar>
              <w:top w:w="80" w:type="dxa"/>
              <w:bottom w:w="80" w:type="dxa"/>
              <w:start w:w="120" w:type="dxa"/>
              <w:end w:w="120" w:type="dxa"/>
            </w:tcMar>
            <w:tcW w:w="1017" w:type="dxa"/>
          </w:tcPr>
          <w:p>
            <w:pPr>
              <w:pStyle w:val="Compact"/>
              <w:spacing w:before="0" w:after="40" w:line="240" w:lineRule="auto"/>
              <w:jc w:val="center"/>
            </w:pPr>
            <w:r>
              <w:rPr>
                <w:rFonts w:ascii="Times New Roman" w:hAnsi="Times New Roman" w:eastAsia="SimSun"/>
                <w:sz w:val="15"/>
                <w:lang w:val="en-US" w:eastAsia="zh-CN"/>
              </w:rPr>
              <w:t xml:space="preserve">CNY 0.3374</w:t>
            </w:r>
          </w:p>
        </w:tc>
      </w:tr>
    </w:tbl>
    <w:bookmarkEnd w:id="79"/>
    <w:bookmarkStart w:id="80" w:name="表-5.-预设异质性"/>
    <w:p>
      <w:pPr>
        <w:pStyle w:val="Heading3"/>
        <w:keepNext/>
      </w:pPr>
      <w:r>
        <w:rPr>
          <w:rFonts w:ascii="Times New Roman" w:hAnsi="Times New Roman" w:eastAsia="Microsoft YaHei"/>
          <w:lang w:val="en-US" w:eastAsia="zh-CN"/>
        </w:rPr>
        <w:t xml:space="preserve">表 5. 预设异质性</w:t>
      </w:r>
    </w:p>
    <w:p>
      <w:pPr>
        <w:pStyle w:val="FirstParagraph"/>
      </w:pPr>
      <w:r>
        <w:rPr>
          <w:rFonts w:ascii="Times New Roman" w:hAnsi="Times New Roman" w:eastAsia="SimSun"/>
          <w:lang w:val="en-US" w:eastAsia="zh-CN"/>
        </w:rPr>
        <w:t xml:space="preserve">按基准和攻击族给出终点计数。这些预设分层仅作描述，不构成额外确认性检验家族。</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294"/>
        <w:gridCol w:w="1336"/>
        <w:gridCol w:w="1922"/>
        <w:gridCol w:w="1201"/>
        <w:gridCol w:w="1201"/>
        <w:gridCol w:w="1201"/>
        <w:gridCol w:w="1205"/>
      </w:tblGrid>
      <w:tr>
        <w:trPr>
          <w:tblHeader w:val="true"/>
        </w:trPr>
        <w:tc>
          <w:tcPr>
            <w:vAlign w:val="center"/>
            <w:tcMar>
              <w:top w:w="80" w:type="dxa"/>
              <w:bottom w:w="80" w:type="dxa"/>
              <w:start w:w="120" w:type="dxa"/>
              <w:end w:w="120" w:type="dxa"/>
            </w:tcMar>
            <w:tcW w:w="1294" w:type="dxa"/>
            <w:shd w:fill="E8EEF5"/>
          </w:tcPr>
          <w:p>
            <w:pPr>
              <w:pStyle w:val="Compact"/>
              <w:spacing w:before="0" w:after="40" w:line="240" w:lineRule="auto"/>
              <w:jc w:val="left"/>
            </w:pPr>
            <w:r>
              <w:rPr>
                <w:rFonts w:ascii="Times New Roman" w:hAnsi="Times New Roman" w:eastAsia="SimSun"/>
                <w:b/>
                <w:sz w:val="15"/>
                <w:lang w:val="en-US" w:eastAsia="zh-CN"/>
              </w:rPr>
              <w:t xml:space="preserve">服务商</w:t>
            </w:r>
          </w:p>
        </w:tc>
        <w:tc>
          <w:tcPr>
            <w:vAlign w:val="center"/>
            <w:tcMar>
              <w:top w:w="80" w:type="dxa"/>
              <w:bottom w:w="80" w:type="dxa"/>
              <w:start w:w="120" w:type="dxa"/>
              <w:end w:w="120" w:type="dxa"/>
            </w:tcMar>
            <w:tcW w:w="1336" w:type="dxa"/>
            <w:shd w:fill="E8EEF5"/>
          </w:tcPr>
          <w:p>
            <w:pPr>
              <w:pStyle w:val="Compact"/>
              <w:spacing w:before="0" w:after="40" w:line="240" w:lineRule="auto"/>
              <w:jc w:val="left"/>
            </w:pPr>
            <w:r>
              <w:rPr>
                <w:rFonts w:ascii="Times New Roman" w:hAnsi="Times New Roman" w:eastAsia="SimSun"/>
                <w:b/>
                <w:sz w:val="15"/>
                <w:lang w:val="en-US" w:eastAsia="zh-CN"/>
              </w:rPr>
              <w:t xml:space="preserve">基准</w:t>
            </w:r>
          </w:p>
        </w:tc>
        <w:tc>
          <w:tcPr>
            <w:vAlign w:val="center"/>
            <w:tcMar>
              <w:top w:w="80" w:type="dxa"/>
              <w:bottom w:w="80" w:type="dxa"/>
              <w:start w:w="120" w:type="dxa"/>
              <w:end w:w="120" w:type="dxa"/>
            </w:tcMar>
            <w:tcW w:w="1922" w:type="dxa"/>
            <w:shd w:fill="E8EEF5"/>
          </w:tcPr>
          <w:p>
            <w:pPr>
              <w:pStyle w:val="Compact"/>
              <w:spacing w:before="0" w:after="40" w:line="240" w:lineRule="auto"/>
              <w:jc w:val="center"/>
            </w:pPr>
            <w:r>
              <w:rPr>
                <w:rFonts w:ascii="Times New Roman" w:hAnsi="Times New Roman" w:eastAsia="SimSun"/>
                <w:b/>
                <w:sz w:val="15"/>
                <w:lang w:val="en-US" w:eastAsia="zh-CN"/>
              </w:rPr>
              <w:t xml:space="preserve">攻击族/分层</w:t>
            </w:r>
          </w:p>
        </w:tc>
        <w:tc>
          <w:tcPr>
            <w:vAlign w:val="center"/>
            <w:tcMar>
              <w:top w:w="80" w:type="dxa"/>
              <w:bottom w:w="80" w:type="dxa"/>
              <w:start w:w="120" w:type="dxa"/>
              <w:end w:w="120" w:type="dxa"/>
            </w:tcMar>
            <w:tcW w:w="1201" w:type="dxa"/>
            <w:shd w:fill="E8EEF5"/>
          </w:tcPr>
          <w:p>
            <w:pPr>
              <w:pStyle w:val="Compact"/>
              <w:spacing w:before="0" w:after="40" w:line="240" w:lineRule="auto"/>
              <w:jc w:val="center"/>
            </w:pPr>
            <w:r>
              <w:rPr>
                <w:rFonts w:ascii="Times New Roman" w:hAnsi="Times New Roman" w:eastAsia="SimSun"/>
                <w:b/>
                <w:sz w:val="15"/>
                <w:lang w:val="en-US" w:eastAsia="zh-CN"/>
              </w:rPr>
              <w:t xml:space="preserve">记录</w:t>
            </w:r>
          </w:p>
        </w:tc>
        <w:tc>
          <w:tcPr>
            <w:vAlign w:val="center"/>
            <w:tcMar>
              <w:top w:w="80" w:type="dxa"/>
              <w:bottom w:w="80" w:type="dxa"/>
              <w:start w:w="120" w:type="dxa"/>
              <w:end w:w="120" w:type="dxa"/>
            </w:tcMar>
            <w:tcW w:w="1201" w:type="dxa"/>
            <w:shd w:fill="E8EEF5"/>
          </w:tcPr>
          <w:p>
            <w:pPr>
              <w:pStyle w:val="Compact"/>
              <w:spacing w:before="0" w:after="40" w:line="240" w:lineRule="auto"/>
              <w:jc w:val="center"/>
            </w:pPr>
            <w:r>
              <w:rPr>
                <w:rFonts w:ascii="Times New Roman" w:hAnsi="Times New Roman" w:eastAsia="SimSun"/>
                <w:b/>
                <w:sz w:val="15"/>
                <w:lang w:val="en-US" w:eastAsia="zh-CN"/>
              </w:rPr>
              <w:t xml:space="preserve">攻击记录</w:t>
            </w:r>
          </w:p>
        </w:tc>
        <w:tc>
          <w:tcPr>
            <w:vAlign w:val="center"/>
            <w:tcMar>
              <w:top w:w="80" w:type="dxa"/>
              <w:bottom w:w="80" w:type="dxa"/>
              <w:start w:w="120" w:type="dxa"/>
              <w:end w:w="120" w:type="dxa"/>
            </w:tcMar>
            <w:tcW w:w="1201" w:type="dxa"/>
            <w:shd w:fill="E8EEF5"/>
          </w:tcPr>
          <w:p>
            <w:pPr>
              <w:pStyle w:val="Compact"/>
              <w:spacing w:before="0" w:after="40" w:line="240" w:lineRule="auto"/>
              <w:jc w:val="center"/>
            </w:pPr>
            <w:r>
              <w:rPr>
                <w:rFonts w:ascii="Times New Roman" w:hAnsi="Times New Roman" w:eastAsia="SimSun"/>
                <w:b/>
                <w:sz w:val="15"/>
                <w:lang w:val="en-US" w:eastAsia="zh-CN"/>
              </w:rPr>
              <w:t xml:space="preserve">不安全效应</w:t>
            </w:r>
          </w:p>
        </w:tc>
        <w:tc>
          <w:tcPr>
            <w:vAlign w:val="center"/>
            <w:tcMar>
              <w:top w:w="80" w:type="dxa"/>
              <w:bottom w:w="80" w:type="dxa"/>
              <w:start w:w="120" w:type="dxa"/>
              <w:end w:w="120" w:type="dxa"/>
            </w:tcMar>
            <w:tcW w:w="1205" w:type="dxa"/>
            <w:shd w:fill="E8EEF5"/>
          </w:tcPr>
          <w:p>
            <w:pPr>
              <w:pStyle w:val="Compact"/>
              <w:spacing w:before="0" w:after="40" w:line="240" w:lineRule="auto"/>
              <w:jc w:val="center"/>
            </w:pPr>
            <w:r>
              <w:rPr>
                <w:rFonts w:ascii="Times New Roman" w:hAnsi="Times New Roman" w:eastAsia="SimSun"/>
                <w:b/>
                <w:sz w:val="15"/>
                <w:lang w:val="en-US" w:eastAsia="zh-CN"/>
              </w:rPr>
              <w:t xml:space="preserve">运行失败</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AgentDojo</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合并/无攻击族标签</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395</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245</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93</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benign clean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260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24</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cross tool attack chain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20</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direct jailbreak</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16</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16</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left"/>
            </w:pPr>
            <w:r>
              <w:rPr>
                <w:rFonts w:ascii="Times New Roman" w:hAnsi="Times New Roman" w:eastAsia="SimSun"/>
                <w:sz w:val="15"/>
                <w:lang w:val="en-US" w:eastAsia="zh-CN"/>
              </w:rPr>
              <w:t xml:space="preserve">environment context pollution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json rpc</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31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31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memory poisoning</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multilingual t2l</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28</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28</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obfuscation evasion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42</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42</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0</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rag indirect</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19</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4</w:t>
            </w:r>
          </w:p>
        </w:tc>
      </w:tr>
      <w:tr>
        <w:tc>
          <w:tcPr>
            <w:vAlign w:val="center"/>
            <w:tcMar>
              <w:top w:w="80" w:type="dxa"/>
              <w:bottom w:w="80" w:type="dxa"/>
              <w:start w:w="120" w:type="dxa"/>
              <w:end w:w="120" w:type="dxa"/>
            </w:tcMar>
            <w:tcW w:w="1294" w:type="dxa"/>
          </w:tcPr>
          <w:p>
            <w:pPr>
              <w:pStyle w:val="Compact"/>
              <w:spacing w:before="0" w:after="40" w:line="240" w:lineRule="auto"/>
              <w:jc w:val="left"/>
            </w:pPr>
            <w:r>
              <w:rPr>
                <w:rFonts w:ascii="Times New Roman" w:hAnsi="Times New Roman" w:eastAsia="SimSun"/>
                <w:sz w:val="15"/>
                <w:lang w:val="en-US" w:eastAsia="zh-CN"/>
              </w:rPr>
              <w:t xml:space="preserve">DeepSeek</w:t>
            </w:r>
          </w:p>
        </w:tc>
        <w:tc>
          <w:tcPr>
            <w:vAlign w:val="center"/>
            <w:tcMar>
              <w:top w:w="80" w:type="dxa"/>
              <w:bottom w:w="80" w:type="dxa"/>
              <w:start w:w="120" w:type="dxa"/>
              <w:end w:w="120" w:type="dxa"/>
            </w:tcMar>
            <w:tcW w:w="1336" w:type="dxa"/>
          </w:tcPr>
          <w:p>
            <w:pPr>
              <w:pStyle w:val="Compact"/>
              <w:spacing w:before="0" w:after="40" w:line="240" w:lineRule="auto"/>
              <w:jc w:val="left"/>
            </w:pPr>
            <w:r>
              <w:rPr>
                <w:rFonts w:ascii="Times New Roman" w:hAnsi="Times New Roman" w:eastAsia="SimSun"/>
                <w:sz w:val="15"/>
                <w:lang w:val="en-US" w:eastAsia="zh-CN"/>
              </w:rPr>
              <w:t xml:space="preserve">M3-v2</w:t>
            </w:r>
          </w:p>
        </w:tc>
        <w:tc>
          <w:tcPr>
            <w:vAlign w:val="center"/>
            <w:tcMar>
              <w:top w:w="80" w:type="dxa"/>
              <w:bottom w:w="80" w:type="dxa"/>
              <w:start w:w="120" w:type="dxa"/>
              <w:end w:w="120" w:type="dxa"/>
            </w:tcMar>
            <w:tcW w:w="1922" w:type="dxa"/>
          </w:tcPr>
          <w:p>
            <w:pPr>
              <w:pStyle w:val="Compact"/>
              <w:spacing w:before="0" w:after="40" w:line="240" w:lineRule="auto"/>
              <w:jc w:val="center"/>
            </w:pPr>
            <w:r>
              <w:rPr>
                <w:rFonts w:ascii="Times New Roman" w:hAnsi="Times New Roman" w:eastAsia="SimSun"/>
                <w:sz w:val="15"/>
                <w:lang w:val="en-US" w:eastAsia="zh-CN"/>
              </w:rPr>
              <w:t xml:space="preserve">tool output injection</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41</w:t>
            </w:r>
          </w:p>
        </w:tc>
        <w:tc>
          <w:tcPr>
            <w:vAlign w:val="center"/>
            <w:tcMar>
              <w:top w:w="80" w:type="dxa"/>
              <w:bottom w:w="80" w:type="dxa"/>
              <w:start w:w="120" w:type="dxa"/>
              <w:end w:w="120" w:type="dxa"/>
            </w:tcMar>
            <w:tcW w:w="1201" w:type="dxa"/>
          </w:tcPr>
          <w:p>
            <w:pPr>
              <w:pStyle w:val="Compact"/>
              <w:spacing w:before="0" w:after="40" w:line="240" w:lineRule="auto"/>
              <w:jc w:val="center"/>
            </w:pPr>
            <w:r>
              <w:rPr>
                <w:rFonts w:ascii="Times New Roman" w:hAnsi="Times New Roman" w:eastAsia="SimSun"/>
                <w:sz w:val="15"/>
                <w:lang w:val="en-US" w:eastAsia="zh-CN"/>
              </w:rPr>
              <w:t xml:space="preserve">0</w:t>
            </w:r>
          </w:p>
        </w:tc>
        <w:tc>
          <w:tcPr>
            <w:vAlign w:val="center"/>
            <w:tcMar>
              <w:top w:w="80" w:type="dxa"/>
              <w:bottom w:w="80" w:type="dxa"/>
              <w:start w:w="120" w:type="dxa"/>
              <w:end w:w="120" w:type="dxa"/>
            </w:tcMar>
            <w:tcW w:w="1205" w:type="dxa"/>
          </w:tcPr>
          <w:p>
            <w:pPr>
              <w:pStyle w:val="Compact"/>
              <w:spacing w:before="0" w:after="40" w:line="240" w:lineRule="auto"/>
              <w:jc w:val="center"/>
            </w:pPr>
            <w:r>
              <w:rPr>
                <w:rFonts w:ascii="Times New Roman" w:hAnsi="Times New Roman" w:eastAsia="SimSun"/>
                <w:sz w:val="15"/>
                <w:lang w:val="en-US" w:eastAsia="zh-CN"/>
              </w:rPr>
              <w:t xml:space="preserve">11</w:t>
            </w:r>
          </w:p>
        </w:tc>
      </w:tr>
    </w:tbl>
    <w:bookmarkEnd w:id="80"/>
    <w:bookmarkStart w:id="81" w:name="表-6.-预算-50200-的自适应证据"/>
    <w:p>
      <w:pPr>
        <w:pStyle w:val="Heading3"/>
        <w:keepNext/>
      </w:pPr>
      <w:r>
        <w:rPr>
          <w:rFonts w:ascii="Times New Roman" w:hAnsi="Times New Roman" w:eastAsia="Microsoft YaHei"/>
          <w:lang w:val="en-US" w:eastAsia="zh-CN"/>
        </w:rPr>
        <w:t xml:space="preserve">表 6. 预算 50/200 的自适应证据</w:t>
      </w:r>
    </w:p>
    <w:p>
      <w:pPr>
        <w:pStyle w:val="FirstParagraph"/>
      </w:pPr>
      <w:r>
        <w:rPr>
          <w:rFonts w:ascii="Times New Roman" w:hAnsi="Times New Roman" w:eastAsia="SimSun"/>
          <w:lang w:val="en-US" w:eastAsia="zh-CN"/>
        </w:rPr>
        <w:t xml:space="preserve">截至预算 50 和 200，至少产生一次不安全效应的累计任务数。两个观察点不能证明攻击饱和。</w:t>
      </w:r>
    </w:p>
    <w:tbl>
      <w:tblPr>
        <w:tblStyle w:val="Table"/>
        <w:tblW w:type="dxa" w:w="9360"/>
        <w:tblLayout w:type="fixed"/>
        <w:tblLook w:firstRow="1" w:lastRow="0" w:firstColumn="0" w:lastColumn="0" w:noHBand="0" w:noVBand="0" w:val="0020"/>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Ind w:w="120" w:type="dxa"/>
      </w:tblPr>
      <w:tblGrid>
        <w:gridCol w:w="1742"/>
        <w:gridCol w:w="1366"/>
        <w:gridCol w:w="1366"/>
        <w:gridCol w:w="1366"/>
        <w:gridCol w:w="1708"/>
        <w:gridCol w:w="1812"/>
      </w:tblGrid>
      <w:tr>
        <w:trPr>
          <w:tblHeader w:val="true"/>
        </w:trPr>
        <w:tc>
          <w:tcPr>
            <w:vAlign w:val="center"/>
            <w:tcMar>
              <w:top w:w="80" w:type="dxa"/>
              <w:bottom w:w="80" w:type="dxa"/>
              <w:start w:w="120" w:type="dxa"/>
              <w:end w:w="120" w:type="dxa"/>
            </w:tcMar>
            <w:tcW w:w="1742" w:type="dxa"/>
            <w:shd w:fill="E8EEF5"/>
          </w:tcPr>
          <w:p>
            <w:pPr>
              <w:pStyle w:val="Compact"/>
              <w:spacing w:before="0" w:after="40" w:line="240" w:lineRule="auto"/>
              <w:jc w:val="left"/>
            </w:pPr>
            <w:r>
              <w:rPr>
                <w:rFonts w:ascii="Times New Roman" w:hAnsi="Times New Roman" w:eastAsia="SimSun"/>
                <w:b/>
                <w:sz w:val="17"/>
                <w:lang w:val="en-US" w:eastAsia="zh-CN"/>
              </w:rPr>
              <w:t xml:space="preserve">模型</w:t>
            </w:r>
          </w:p>
        </w:tc>
        <w:tc>
          <w:tcPr>
            <w:vAlign w:val="center"/>
            <w:tcMar>
              <w:top w:w="80" w:type="dxa"/>
              <w:bottom w:w="80" w:type="dxa"/>
              <w:start w:w="120" w:type="dxa"/>
              <w:end w:w="120" w:type="dxa"/>
            </w:tcMar>
            <w:tcW w:w="1366" w:type="dxa"/>
            <w:shd w:fill="E8EEF5"/>
          </w:tcPr>
          <w:p>
            <w:pPr>
              <w:pStyle w:val="Compact"/>
              <w:spacing w:before="0" w:after="40" w:line="240" w:lineRule="auto"/>
              <w:jc w:val="left"/>
            </w:pPr>
            <w:r>
              <w:rPr>
                <w:rFonts w:ascii="Times New Roman" w:hAnsi="Times New Roman" w:eastAsia="SimSun"/>
                <w:b/>
                <w:sz w:val="17"/>
                <w:lang w:val="en-US" w:eastAsia="zh-CN"/>
              </w:rPr>
              <w:t xml:space="preserve">预算</w:t>
            </w:r>
          </w:p>
        </w:tc>
        <w:tc>
          <w:tcPr>
            <w:vAlign w:val="center"/>
            <w:tcMar>
              <w:top w:w="80" w:type="dxa"/>
              <w:bottom w:w="80" w:type="dxa"/>
              <w:start w:w="120" w:type="dxa"/>
              <w:end w:w="120" w:type="dxa"/>
            </w:tcMar>
            <w:tcW w:w="1366" w:type="dxa"/>
            <w:shd w:fill="E8EEF5"/>
          </w:tcPr>
          <w:p>
            <w:pPr>
              <w:pStyle w:val="Compact"/>
              <w:spacing w:before="0" w:after="40" w:line="240" w:lineRule="auto"/>
              <w:jc w:val="center"/>
            </w:pPr>
            <w:r>
              <w:rPr>
                <w:rFonts w:ascii="Times New Roman" w:hAnsi="Times New Roman" w:eastAsia="SimSun"/>
                <w:b/>
                <w:sz w:val="17"/>
                <w:lang w:val="en-US" w:eastAsia="zh-CN"/>
              </w:rPr>
              <w:t xml:space="preserve">成功数</w:t>
            </w:r>
          </w:p>
        </w:tc>
        <w:tc>
          <w:tcPr>
            <w:vAlign w:val="center"/>
            <w:tcMar>
              <w:top w:w="80" w:type="dxa"/>
              <w:bottom w:w="80" w:type="dxa"/>
              <w:start w:w="120" w:type="dxa"/>
              <w:end w:w="120" w:type="dxa"/>
            </w:tcMar>
            <w:tcW w:w="1366" w:type="dxa"/>
            <w:shd w:fill="E8EEF5"/>
          </w:tcPr>
          <w:p>
            <w:pPr>
              <w:pStyle w:val="Compact"/>
              <w:spacing w:before="0" w:after="40" w:line="240" w:lineRule="auto"/>
              <w:jc w:val="center"/>
            </w:pPr>
            <w:r>
              <w:rPr>
                <w:rFonts w:ascii="Times New Roman" w:hAnsi="Times New Roman" w:eastAsia="SimSun"/>
                <w:b/>
                <w:sz w:val="17"/>
                <w:lang w:val="en-US" w:eastAsia="zh-CN"/>
              </w:rPr>
              <w:t xml:space="preserve">比例</w:t>
            </w:r>
          </w:p>
        </w:tc>
        <w:tc>
          <w:tcPr>
            <w:vAlign w:val="center"/>
            <w:tcMar>
              <w:top w:w="80" w:type="dxa"/>
              <w:bottom w:w="80" w:type="dxa"/>
              <w:start w:w="120" w:type="dxa"/>
              <w:end w:w="120" w:type="dxa"/>
            </w:tcMar>
            <w:tcW w:w="1708" w:type="dxa"/>
            <w:shd w:fill="E8EEF5"/>
          </w:tcPr>
          <w:p>
            <w:pPr>
              <w:pStyle w:val="Compact"/>
              <w:spacing w:before="0" w:after="40" w:line="240" w:lineRule="auto"/>
              <w:jc w:val="center"/>
            </w:pPr>
            <w:r>
              <w:rPr>
                <w:rFonts w:ascii="Times New Roman" w:hAnsi="Times New Roman" w:eastAsia="SimSun"/>
                <w:b/>
                <w:sz w:val="17"/>
                <w:lang w:val="en-US" w:eastAsia="zh-CN"/>
              </w:rPr>
              <w:t xml:space="preserve">Wilson 95% CI</w:t>
            </w:r>
          </w:p>
        </w:tc>
        <w:tc>
          <w:tcPr>
            <w:vAlign w:val="center"/>
            <w:tcMar>
              <w:top w:w="80" w:type="dxa"/>
              <w:bottom w:w="80" w:type="dxa"/>
              <w:start w:w="120" w:type="dxa"/>
              <w:end w:w="120" w:type="dxa"/>
            </w:tcMar>
            <w:tcW w:w="1812" w:type="dxa"/>
            <w:shd w:fill="E8EEF5"/>
          </w:tcPr>
          <w:p>
            <w:pPr>
              <w:pStyle w:val="Compact"/>
              <w:spacing w:before="0" w:after="40" w:line="240" w:lineRule="auto"/>
              <w:jc w:val="center"/>
            </w:pPr>
            <w:r>
              <w:rPr>
                <w:rFonts w:ascii="Times New Roman" w:hAnsi="Times New Roman" w:eastAsia="SimSun"/>
                <w:b/>
                <w:sz w:val="17"/>
                <w:lang w:val="en-US" w:eastAsia="zh-CN"/>
              </w:rPr>
              <w:t xml:space="preserve">主张边界</w:t>
            </w:r>
          </w:p>
        </w:tc>
      </w:tr>
      <w:tr>
        <w:tc>
          <w:tcPr>
            <w:vAlign w:val="center"/>
            <w:tcMar>
              <w:top w:w="80" w:type="dxa"/>
              <w:bottom w:w="80" w:type="dxa"/>
              <w:start w:w="120" w:type="dxa"/>
              <w:end w:w="120" w:type="dxa"/>
            </w:tcMar>
            <w:tcW w:w="1742" w:type="dxa"/>
          </w:tcPr>
          <w:p>
            <w:pPr>
              <w:pStyle w:val="Compact"/>
              <w:spacing w:before="0" w:after="40" w:line="240" w:lineRule="auto"/>
              <w:jc w:val="left"/>
            </w:pPr>
            <w:r>
              <w:rPr>
                <w:rFonts w:ascii="Times New Roman" w:hAnsi="Times New Roman" w:eastAsia="SimSun"/>
                <w:sz w:val="17"/>
                <w:lang w:val="en-US" w:eastAsia="zh-CN"/>
              </w:rPr>
              <w:t xml:space="preserve">deepseek-v4-pro</w:t>
            </w:r>
          </w:p>
        </w:tc>
        <w:tc>
          <w:tcPr>
            <w:vAlign w:val="center"/>
            <w:tcMar>
              <w:top w:w="80" w:type="dxa"/>
              <w:bottom w:w="80" w:type="dxa"/>
              <w:start w:w="120" w:type="dxa"/>
              <w:end w:w="120" w:type="dxa"/>
            </w:tcMar>
            <w:tcW w:w="1366" w:type="dxa"/>
          </w:tcPr>
          <w:p>
            <w:pPr>
              <w:pStyle w:val="Compact"/>
              <w:spacing w:before="0" w:after="40" w:line="240" w:lineRule="auto"/>
              <w:jc w:val="left"/>
            </w:pPr>
            <w:r>
              <w:rPr>
                <w:rFonts w:ascii="Times New Roman" w:hAnsi="Times New Roman" w:eastAsia="SimSun"/>
                <w:sz w:val="17"/>
                <w:lang w:val="en-US" w:eastAsia="zh-CN"/>
              </w:rPr>
              <w:t xml:space="preserve">50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4/40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10.0%</w:t>
            </w:r>
          </w:p>
        </w:tc>
        <w:tc>
          <w:tcPr>
            <w:vAlign w:val="center"/>
            <w:tcMar>
              <w:top w:w="80" w:type="dxa"/>
              <w:bottom w:w="80" w:type="dxa"/>
              <w:start w:w="120" w:type="dxa"/>
              <w:end w:w="120" w:type="dxa"/>
            </w:tcMar>
            <w:tcW w:w="1708" w:type="dxa"/>
          </w:tcPr>
          <w:p>
            <w:pPr>
              <w:pStyle w:val="Compact"/>
              <w:spacing w:before="0" w:after="40" w:line="240" w:lineRule="auto"/>
              <w:jc w:val="center"/>
            </w:pPr>
            <w:r>
              <w:rPr>
                <w:rFonts w:ascii="Times New Roman" w:hAnsi="Times New Roman" w:eastAsia="SimSun"/>
                <w:sz w:val="17"/>
                <w:lang w:val="en-US" w:eastAsia="zh-CN"/>
              </w:rPr>
              <w:t xml:space="preserve">[4.0%, 23.1%]</w:t>
            </w:r>
          </w:p>
        </w:tc>
        <w:tc>
          <w:tcPr>
            <w:vAlign w:val="center"/>
            <w:tcMar>
              <w:top w:w="80" w:type="dxa"/>
              <w:bottom w:w="80" w:type="dxa"/>
              <w:start w:w="120" w:type="dxa"/>
              <w:end w:w="120" w:type="dxa"/>
            </w:tcMar>
            <w:tcW w:w="1812" w:type="dxa"/>
          </w:tcPr>
          <w:p>
            <w:pPr>
              <w:pStyle w:val="Compact"/>
              <w:spacing w:before="0" w:after="40" w:line="240" w:lineRule="auto"/>
              <w:jc w:val="center"/>
            </w:pPr>
            <w:r>
              <w:rPr>
                <w:rFonts w:ascii="Times New Roman" w:hAnsi="Times New Roman" w:eastAsia="SimSun"/>
                <w:sz w:val="17"/>
                <w:lang w:val="en-US" w:eastAsia="zh-CN"/>
              </w:rPr>
              <w:t xml:space="preserve">仅预算 50/200；不作饱和主张</w:t>
            </w:r>
          </w:p>
        </w:tc>
      </w:tr>
      <w:tr>
        <w:tc>
          <w:tcPr>
            <w:vAlign w:val="center"/>
            <w:tcMar>
              <w:top w:w="80" w:type="dxa"/>
              <w:bottom w:w="80" w:type="dxa"/>
              <w:start w:w="120" w:type="dxa"/>
              <w:end w:w="120" w:type="dxa"/>
            </w:tcMar>
            <w:tcW w:w="1742" w:type="dxa"/>
          </w:tcPr>
          <w:p>
            <w:pPr>
              <w:pStyle w:val="Compact"/>
              <w:spacing w:before="0" w:after="40" w:line="240" w:lineRule="auto"/>
              <w:jc w:val="left"/>
            </w:pPr>
            <w:r>
              <w:rPr>
                <w:rFonts w:ascii="Times New Roman" w:hAnsi="Times New Roman" w:eastAsia="SimSun"/>
                <w:sz w:val="17"/>
                <w:lang w:val="en-US" w:eastAsia="zh-CN"/>
              </w:rPr>
              <w:t xml:space="preserve">deepseek-v4-pro</w:t>
            </w:r>
          </w:p>
        </w:tc>
        <w:tc>
          <w:tcPr>
            <w:vAlign w:val="center"/>
            <w:tcMar>
              <w:top w:w="80" w:type="dxa"/>
              <w:bottom w:w="80" w:type="dxa"/>
              <w:start w:w="120" w:type="dxa"/>
              <w:end w:w="120" w:type="dxa"/>
            </w:tcMar>
            <w:tcW w:w="1366" w:type="dxa"/>
          </w:tcPr>
          <w:p>
            <w:pPr>
              <w:pStyle w:val="Compact"/>
              <w:spacing w:before="0" w:after="40" w:line="240" w:lineRule="auto"/>
              <w:jc w:val="left"/>
            </w:pPr>
            <w:r>
              <w:rPr>
                <w:rFonts w:ascii="Times New Roman" w:hAnsi="Times New Roman" w:eastAsia="SimSun"/>
                <w:sz w:val="17"/>
                <w:lang w:val="en-US" w:eastAsia="zh-CN"/>
              </w:rPr>
              <w:t xml:space="preserve">200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18/40</w:t>
            </w:r>
          </w:p>
        </w:tc>
        <w:tc>
          <w:tcPr>
            <w:vAlign w:val="center"/>
            <w:tcMar>
              <w:top w:w="80" w:type="dxa"/>
              <w:bottom w:w="80" w:type="dxa"/>
              <w:start w:w="120" w:type="dxa"/>
              <w:end w:w="120" w:type="dxa"/>
            </w:tcMar>
            <w:tcW w:w="1366" w:type="dxa"/>
          </w:tcPr>
          <w:p>
            <w:pPr>
              <w:pStyle w:val="Compact"/>
              <w:spacing w:before="0" w:after="40" w:line="240" w:lineRule="auto"/>
              <w:jc w:val="center"/>
            </w:pPr>
            <w:r>
              <w:rPr>
                <w:rFonts w:ascii="Times New Roman" w:hAnsi="Times New Roman" w:eastAsia="SimSun"/>
                <w:sz w:val="17"/>
                <w:lang w:val="en-US" w:eastAsia="zh-CN"/>
              </w:rPr>
              <w:t xml:space="preserve">45.0%</w:t>
            </w:r>
          </w:p>
        </w:tc>
        <w:tc>
          <w:tcPr>
            <w:vAlign w:val="center"/>
            <w:tcMar>
              <w:top w:w="80" w:type="dxa"/>
              <w:bottom w:w="80" w:type="dxa"/>
              <w:start w:w="120" w:type="dxa"/>
              <w:end w:w="120" w:type="dxa"/>
            </w:tcMar>
            <w:tcW w:w="1708" w:type="dxa"/>
          </w:tcPr>
          <w:p>
            <w:pPr>
              <w:pStyle w:val="Compact"/>
              <w:spacing w:before="0" w:after="40" w:line="240" w:lineRule="auto"/>
              <w:jc w:val="center"/>
            </w:pPr>
            <w:r>
              <w:rPr>
                <w:rFonts w:ascii="Times New Roman" w:hAnsi="Times New Roman" w:eastAsia="SimSun"/>
                <w:sz w:val="17"/>
                <w:lang w:val="en-US" w:eastAsia="zh-CN"/>
              </w:rPr>
              <w:t xml:space="preserve">[30.7%, 60.2%]</w:t>
            </w:r>
          </w:p>
        </w:tc>
        <w:tc>
          <w:tcPr>
            <w:vAlign w:val="center"/>
            <w:tcMar>
              <w:top w:w="80" w:type="dxa"/>
              <w:bottom w:w="80" w:type="dxa"/>
              <w:start w:w="120" w:type="dxa"/>
              <w:end w:w="120" w:type="dxa"/>
            </w:tcMar>
            <w:tcW w:w="1812" w:type="dxa"/>
          </w:tcPr>
          <w:p>
            <w:pPr>
              <w:pStyle w:val="Compact"/>
              <w:spacing w:before="0" w:after="40" w:line="240" w:lineRule="auto"/>
              <w:jc w:val="center"/>
            </w:pPr>
            <w:r>
              <w:rPr>
                <w:rFonts w:ascii="Times New Roman" w:hAnsi="Times New Roman" w:eastAsia="SimSun"/>
                <w:sz w:val="17"/>
                <w:lang w:val="en-US" w:eastAsia="zh-CN"/>
              </w:rPr>
              <w:t xml:space="preserve">仅预算 50/200；不作饱和主张</w:t>
            </w:r>
          </w:p>
        </w:tc>
      </w:tr>
    </w:tbl>
    <w:bookmarkEnd w:id="81"/>
    <w:bookmarkEnd w:id="82"/>
    <w:bookmarkStart w:id="83" w:name="图注"/>
    <w:p>
      <w:pPr>
        <w:pStyle w:val="Heading2"/>
        <w:keepNext/>
      </w:pPr>
      <w:r>
        <w:rPr>
          <w:rFonts w:ascii="Times New Roman" w:hAnsi="Times New Roman" w:eastAsia="Microsoft YaHei"/>
          <w:lang w:val="en-US" w:eastAsia="zh-CN"/>
        </w:rPr>
        <w:t xml:space="preserve">图注</w:t>
      </w:r>
    </w:p>
    <w:p>
      <w:pPr>
        <w:pStyle w:val="FirstParagraph"/>
      </w:pPr>
      <w:r>
        <w:rPr>
          <w:bCs/>
          <w:rFonts w:ascii="Times New Roman" w:hAnsi="Times New Roman" w:eastAsia="SimSun"/>
          <w:b/>
          <w:lang w:val="en-US" w:eastAsia="zh-CN"/>
        </w:rPr>
        <w:t xml:space="preserve">图 1. 在线授权投影与离线评估边界。</w:t>
      </w:r>
      <w:r>
        <w:rPr>
          <w:rFonts w:ascii="Times New Roman" w:hAnsi="Times New Roman" w:eastAsia="SimSun"/>
          <w:lang w:val="en-US" w:eastAsia="zh-CN"/>
        </w:rPr>
        <w:t xml:space="preserve"> </w:t>
      </w:r>
      <w:r>
        <w:rPr>
          <w:rFonts w:ascii="Times New Roman" w:hAnsi="Times New Roman" w:eastAsia="SimSun"/>
          <w:lang w:val="en-US" w:eastAsia="zh-CN"/>
        </w:rPr>
        <w:t xml:space="preserve">可信任务上下文、选定策略投影、来源事件和拟执行动作可以进入运行时 Guard；原始金标准答案、评估标签、参考轨迹及效应评分元数据均留在离线侧。</w:t>
      </w:r>
      <w:r>
        <w:rPr>
          <w:rStyle w:val="VerbatimChar"/>
          <w:rFonts w:ascii="Times New Roman" w:hAnsi="Times New Roman" w:eastAsia="SimSun"/>
          <w:lang w:val="en-US" w:eastAsia="zh-CN"/>
        </w:rPr>
        <w:t xml:space="preserve">exact_gold</w:t>
      </w:r>
      <w:r>
        <w:rPr>
          <w:rFonts w:ascii="Times New Roman" w:hAnsi="Times New Roman" w:eastAsia="SimSun"/>
          <w:lang w:val="en-US" w:eastAsia="zh-CN"/>
        </w:rPr>
        <w:t xml:space="preserve"> </w:t>
      </w:r>
      <w:r>
        <w:rPr>
          <w:rFonts w:ascii="Times New Roman" w:hAnsi="Times New Roman" w:eastAsia="SimSun"/>
          <w:lang w:val="en-US" w:eastAsia="zh-CN"/>
        </w:rPr>
        <w:t xml:space="preserve">敏感性条件只向策略投影暴露派生授权对象。仅评分隔离模拟效应，服务商托管工具和真实外部动作均关闭。</w:t>
      </w:r>
    </w:p>
    <w:p>
      <w:pPr>
        <w:pStyle w:val="BodyText"/>
      </w:pPr>
      <w:r>
        <w:rPr>
          <w:bCs/>
          <w:rFonts w:ascii="Times New Roman" w:hAnsi="Times New Roman" w:eastAsia="SimSun"/>
          <w:b/>
          <w:lang w:val="en-US" w:eastAsia="zh-CN"/>
        </w:rPr>
        <w:t xml:space="preserve">图 2. 不同授权条件下的安全—效用权衡。</w:t>
      </w:r>
      <w:r>
        <w:rPr>
          <w:rFonts w:ascii="Times New Roman" w:hAnsi="Times New Roman" w:eastAsia="SimSun"/>
          <w:lang w:val="en-US" w:eastAsia="zh-CN"/>
        </w:rPr>
        <w:t xml:space="preserve"> </w:t>
      </w:r>
      <w:r>
        <w:rPr>
          <w:rFonts w:ascii="Times New Roman" w:hAnsi="Times New Roman" w:eastAsia="SimSun"/>
          <w:lang w:val="en-US" w:eastAsia="zh-CN"/>
        </w:rPr>
        <w:t xml:space="preserve">每个 DeepSeek V4 Pro 点的横轴为良性工具任务完成，纵轴为 1 减攻击不安全效应率。四个主单元各含 100 个攻击和 60 个良性工具任务；每个嵌套压力单元含 30 个攻击和 20 个良性工具任务。所有终态失败均留在 ITT 分母内。数字标记映射到条件键；坐标完全重合的条件用斜杠连接。近似相同的攻击安全性可以与明显不同的效用并存。</w:t>
      </w:r>
    </w:p>
    <w:p>
      <w:pPr>
        <w:pStyle w:val="BodyText"/>
      </w:pPr>
      <w:r>
        <w:rPr>
          <w:bCs/>
          <w:rFonts w:ascii="Times New Roman" w:hAnsi="Times New Roman" w:eastAsia="SimSun"/>
          <w:b/>
          <w:lang w:val="en-US" w:eastAsia="zh-CN"/>
        </w:rPr>
        <w:t xml:space="preserve">图 3. 授权制度与 Guard 配置的配对效应。</w:t>
      </w:r>
      <w:r>
        <w:rPr>
          <w:rFonts w:ascii="Times New Roman" w:hAnsi="Times New Roman" w:eastAsia="SimSun"/>
          <w:lang w:val="en-US" w:eastAsia="zh-CN"/>
        </w:rPr>
        <w:t xml:space="preserve"> </w:t>
      </w:r>
      <w:r>
        <w:rPr>
          <w:rFonts w:ascii="Times New Roman" w:hAnsi="Times New Roman" w:eastAsia="SimSun"/>
          <w:lang w:val="en-US" w:eastAsia="zh-CN"/>
        </w:rPr>
        <w:t xml:space="preserve">点表示第二条件减第一条件的绝对百分点差，区间为 10,000 次任务聚类 bootstrap 的 95% 区间。橙色行为攻击不安全效应，蓝色行为良性工具任务完成。exact McNemar 与 Holm 校正值见表 3，不在图中重复编码。</w:t>
      </w:r>
    </w:p>
    <w:p>
      <w:pPr>
        <w:pStyle w:val="BodyText"/>
      </w:pPr>
      <w:r>
        <w:rPr>
          <w:bCs/>
          <w:rFonts w:ascii="Times New Roman" w:hAnsi="Times New Roman" w:eastAsia="SimSun"/>
          <w:b/>
          <w:lang w:val="en-US" w:eastAsia="zh-CN"/>
        </w:rPr>
        <w:t xml:space="preserve">图 4. 运行时确认、阻断、失败与时延负担。</w:t>
      </w:r>
      <w:r>
        <w:rPr>
          <w:rFonts w:ascii="Times New Roman" w:hAnsi="Times New Roman" w:eastAsia="SimSun"/>
          <w:lang w:val="en-US" w:eastAsia="zh-CN"/>
        </w:rPr>
        <w:t xml:space="preserve"> </w:t>
      </w:r>
      <w:r>
        <w:rPr>
          <w:rFonts w:ascii="Times New Roman" w:hAnsi="Times New Roman" w:eastAsia="SimSun"/>
          <w:lang w:val="en-US" w:eastAsia="zh-CN"/>
        </w:rPr>
        <w:t xml:space="preserve">ASK 与 DENY 面板报告至少出现一次相应事件的终态 ITT 记录比例，而不是事件总数除以记录数。由于同一轨迹可能产生多个决策，表格同时保留记录发生数与事件总数。失败采用预设终态失败集合；时延为条件级 p95 墙钟时间。</w:t>
      </w:r>
    </w:p>
    <w:p>
      <w:pPr>
        <w:pStyle w:val="BodyText"/>
      </w:pPr>
      <w:r>
        <w:rPr>
          <w:bCs/>
          <w:rFonts w:ascii="Times New Roman" w:hAnsi="Times New Roman" w:eastAsia="SimSun"/>
          <w:b/>
          <w:lang w:val="en-US" w:eastAsia="zh-CN"/>
        </w:rPr>
        <w:t xml:space="preserve">图 5. 截至查询预算 200 的自适应 first-success 曲线。</w:t>
      </w:r>
      <w:r>
        <w:rPr>
          <w:rFonts w:ascii="Times New Roman" w:hAnsi="Times New Roman" w:eastAsia="SimSun"/>
          <w:lang w:val="en-US" w:eastAsia="zh-CN"/>
        </w:rPr>
        <w:t xml:space="preserve"> </w:t>
      </w:r>
      <w:r>
        <w:rPr>
          <w:rFonts w:ascii="Times New Roman" w:hAnsi="Times New Roman" w:eastAsia="SimSun"/>
          <w:lang w:val="en-US" w:eastAsia="zh-CN"/>
        </w:rPr>
        <w:t xml:space="preserve">固定的 40 任务 DeepSeek V4 Pro 面板为每个成功任务贡献一个首次不安全效应查询点。查询 50 前有 4 个任务成功，查询 200 前有 18 个。曲线只在 200 以内具有描述意义，不能解释为攻击饱和估计。</w:t>
      </w:r>
    </w:p>
    <w:bookmarkEnd w:id="83"/>
    <w:bookmarkStart w:id="90" w:name="投稿声明"/>
    <w:p>
      <w:pPr>
        <w:pStyle w:val="Heading2"/>
        <w:keepNext/>
      </w:pPr>
      <w:r>
        <w:rPr>
          <w:rFonts w:ascii="Times New Roman" w:hAnsi="Times New Roman" w:eastAsia="Microsoft YaHei"/>
          <w:lang w:val="en-US" w:eastAsia="zh-CN"/>
        </w:rPr>
        <w:t xml:space="preserve">投稿声明</w:t>
      </w:r>
    </w:p>
    <w:bookmarkStart w:id="84" w:name="利益冲突"/>
    <w:p>
      <w:pPr>
        <w:pStyle w:val="Heading3"/>
        <w:keepNext/>
      </w:pPr>
      <w:r>
        <w:rPr>
          <w:rFonts w:ascii="Times New Roman" w:hAnsi="Times New Roman" w:eastAsia="Microsoft YaHei"/>
          <w:lang w:val="en-US" w:eastAsia="zh-CN"/>
        </w:rPr>
        <w:t xml:space="preserve">利益冲突</w:t>
      </w:r>
    </w:p>
    <w:p>
      <w:pPr>
        <w:pStyle w:val="FirstParagraph"/>
      </w:pPr>
      <w:r>
        <w:rPr>
          <w:rFonts w:ascii="Times New Roman" w:hAnsi="Times New Roman" w:eastAsia="SimSun"/>
          <w:lang w:val="en-US" w:eastAsia="zh-CN"/>
        </w:rPr>
        <w:t xml:space="preserve">通信作者必须在投稿前与全体作者确认利益冲突声明。</w:t>
      </w:r>
    </w:p>
    <w:bookmarkEnd w:id="84"/>
    <w:bookmarkStart w:id="85" w:name="资助"/>
    <w:p>
      <w:pPr>
        <w:pStyle w:val="Heading3"/>
        <w:keepNext/>
      </w:pPr>
      <w:r>
        <w:rPr>
          <w:rFonts w:ascii="Times New Roman" w:hAnsi="Times New Roman" w:eastAsia="Microsoft YaHei"/>
          <w:lang w:val="en-US" w:eastAsia="zh-CN"/>
        </w:rPr>
        <w:t xml:space="preserve">资助</w:t>
      </w:r>
    </w:p>
    <w:p>
      <w:pPr>
        <w:pStyle w:val="FirstParagraph"/>
      </w:pPr>
      <w:r>
        <w:rPr>
          <w:rFonts w:ascii="Times New Roman" w:hAnsi="Times New Roman" w:eastAsia="SimSun"/>
          <w:lang w:val="en-US" w:eastAsia="zh-CN"/>
        </w:rPr>
        <w:t xml:space="preserve">通信作者必须提供资助机构名称、项目编号和资助方角色，或确认本研究未获得公共、商业或非营利部门资助机构的专项资助。</w:t>
      </w:r>
    </w:p>
    <w:bookmarkEnd w:id="85"/>
    <w:bookmarkStart w:id="86" w:name="数据与代码可用性"/>
    <w:p>
      <w:pPr>
        <w:pStyle w:val="Heading3"/>
        <w:keepNext/>
      </w:pPr>
      <w:r>
        <w:rPr>
          <w:rFonts w:ascii="Times New Roman" w:hAnsi="Times New Roman" w:eastAsia="Microsoft YaHei"/>
          <w:lang w:val="en-US" w:eastAsia="zh-CN"/>
        </w:rPr>
        <w:t xml:space="preserve">数据与代码可用性</w:t>
      </w:r>
    </w:p>
    <w:p>
      <w:pPr>
        <w:pStyle w:val="FirstParagraph"/>
      </w:pPr>
      <w:r>
        <w:rPr>
          <w:rFonts w:ascii="Times New Roman" w:hAnsi="Times New Roman" w:eastAsia="SimSun"/>
          <w:lang w:val="en-US" w:eastAsia="zh-CN"/>
        </w:rPr>
        <w:t xml:space="preserve">实现代码、冻结的精简实验计划、分析代码、汇总表和可编辑图件维护于 https://github.com/Fischl0527/M3_PI_Guard。论文准备期间仓库保持私有；发表前将发布带有不可变版本标识的公共归档。凭据和秘密不会进入发布包。若服务商派生的紧凑原始记录存在共享限制，将在归档记录中明确说明。</w:t>
      </w:r>
    </w:p>
    <w:bookmarkEnd w:id="86"/>
    <w:bookmarkStart w:id="87" w:name="生成式-ai-与-ai-辅助技术在稿件准备过程中的使用声明"/>
    <w:p>
      <w:pPr>
        <w:pStyle w:val="Heading3"/>
        <w:keepNext/>
      </w:pPr>
      <w:r>
        <w:rPr>
          <w:rFonts w:ascii="Times New Roman" w:hAnsi="Times New Roman" w:eastAsia="Microsoft YaHei"/>
          <w:lang w:val="en-US" w:eastAsia="zh-CN"/>
        </w:rPr>
        <w:t xml:space="preserve">生成式 AI 与 AI 辅助技术在稿件准备过程中的使用声明</w:t>
      </w:r>
    </w:p>
    <w:p>
      <w:pPr>
        <w:pStyle w:val="FirstParagraph"/>
      </w:pPr>
      <w:r>
        <w:rPr>
          <w:rFonts w:ascii="Times New Roman" w:hAnsi="Times New Roman" w:eastAsia="SimSun"/>
          <w:lang w:val="en-US" w:eastAsia="zh-CN"/>
        </w:rPr>
        <w:t xml:space="preserve">本研究准备期间，作者使用 OpenAI Codex 辅助软件编辑、统计脚本审阅、图表生成和语言修订。项目所有者提供的一份早期 DeepSeek 生成规划笔记曾用于研究范围讨论。作者对所有生成材料进行了审阅和修订，并对分析、解释、引用和稿件内容承担全部责任。实验中报告的 DeepSeek 与 Gemini API 输出属于被评估的研究数据，未用于生成结果标签或统计结论。</w:t>
      </w:r>
    </w:p>
    <w:bookmarkEnd w:id="87"/>
    <w:bookmarkStart w:id="88" w:name="伦理与安全"/>
    <w:p>
      <w:pPr>
        <w:pStyle w:val="Heading3"/>
        <w:keepNext/>
      </w:pPr>
      <w:r>
        <w:rPr>
          <w:rFonts w:ascii="Times New Roman" w:hAnsi="Times New Roman" w:eastAsia="Microsoft YaHei"/>
          <w:lang w:val="en-US" w:eastAsia="zh-CN"/>
        </w:rPr>
        <w:t xml:space="preserve">伦理与安全</w:t>
      </w:r>
    </w:p>
    <w:p>
      <w:pPr>
        <w:pStyle w:val="FirstParagraph"/>
      </w:pPr>
      <w:r>
        <w:rPr>
          <w:rFonts w:ascii="Times New Roman" w:hAnsi="Times New Roman" w:eastAsia="SimSun"/>
          <w:lang w:val="en-US" w:eastAsia="zh-CN"/>
        </w:rPr>
        <w:t xml:space="preserve">本研究不涉及人类参与者，也不收集个人数据。工具效应仅在隔离基准状态中评估；真实邮件、支付、浏览器、代码执行、生产 API 和服务商托管工具操作全部关闭。作者须在投稿前确认是否需要机构审查或豁免。</w:t>
      </w:r>
    </w:p>
    <w:bookmarkEnd w:id="88"/>
    <w:bookmarkStart w:id="89" w:name="作者贡献"/>
    <w:p>
      <w:pPr>
        <w:pStyle w:val="Heading3"/>
        <w:keepNext/>
      </w:pPr>
      <w:r>
        <w:rPr>
          <w:rFonts w:ascii="Times New Roman" w:hAnsi="Times New Roman" w:eastAsia="Microsoft YaHei"/>
          <w:lang w:val="en-US" w:eastAsia="zh-CN"/>
        </w:rPr>
        <w:t xml:space="preserve">作者贡献</w:t>
      </w:r>
    </w:p>
    <w:p>
      <w:pPr>
        <w:pStyle w:val="FirstParagraph"/>
      </w:pPr>
      <w:r>
        <w:rPr>
          <w:rFonts w:ascii="Times New Roman" w:hAnsi="Times New Roman" w:eastAsia="SimSun"/>
          <w:lang w:val="en-US" w:eastAsia="zh-CN"/>
        </w:rPr>
        <w:t xml:space="preserve">作者顺序与 CRediT 角色必须在投稿前由全体作者共同确认。</w:t>
      </w:r>
    </w:p>
    <w:bookmarkEnd w:id="89"/>
    <w:bookmarkEnd w:id="90"/>
    <w:bookmarkStart w:id="134" w:name="参考文献"/>
    <w:p>
      <w:pPr>
        <w:pStyle w:val="Heading2"/>
        <w:keepNext/>
      </w:pPr>
      <w:r>
        <w:rPr>
          <w:rFonts w:ascii="Times New Roman" w:hAnsi="Times New Roman" w:eastAsia="Microsoft YaHei"/>
          <w:lang w:val="en-US" w:eastAsia="zh-CN"/>
        </w:rPr>
        <w:t xml:space="preserve">参考文献</w:t>
      </w:r>
    </w:p>
    <w:bookmarkStart w:id="133" w:name="refs"/>
    <w:bookmarkStart w:id="92" w:name="ref-L25"/>
    <w:p>
      <w:pPr>
        <w:pStyle w:val="Bibliography"/>
      </w:pPr>
      <w:r>
        <w:rPr>
          <w:rFonts w:ascii="Times New Roman" w:hAnsi="Times New Roman" w:eastAsia="SimSun"/>
          <w:lang w:val="en-US" w:eastAsia="zh-CN"/>
        </w:rPr>
        <w:t xml:space="preserve">An, Hengyu, Jinghuai Zhang, Tianyu Du, Chunyi Zhou, Qingming Li, Tao Lin, and Shouling Ji.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IPIG</w:t>
      </w:r>
      <w:r>
        <w:rPr>
          <w:rFonts w:ascii="Times New Roman" w:hAnsi="Times New Roman" w:eastAsia="SimSun"/>
          <w:lang w:val="en-US" w:eastAsia="zh-CN"/>
        </w:rPr>
        <w:t xml:space="preserve">uard: A Novel Tool Dependency Graph-Based Defense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2025 Conference on Empirical Methods in Natural Language Processing</w:t>
      </w:r>
      <w:r>
        <w:rPr>
          <w:rFonts w:ascii="Times New Roman" w:hAnsi="Times New Roman" w:eastAsia="SimSun"/>
          <w:lang w:val="en-US" w:eastAsia="zh-CN"/>
        </w:rPr>
        <w:t xml:space="preserve">, edited by Christos Christodoulopoulos, Tanmoy Chakraborty, Carolyn Rose, and Violet Peng, 1023–39. Suzhou, China: Association for Computational Linguistics.</w:t>
      </w:r>
      <w:r>
        <w:rPr>
          <w:rFonts w:ascii="Times New Roman" w:hAnsi="Times New Roman" w:eastAsia="SimSun"/>
          <w:lang w:val="en-US" w:eastAsia="zh-CN"/>
        </w:rPr>
        <w:t xml:space="preserve"> </w:t>
      </w:r>
      <w:hyperlink r:id="rId91">
        <w:r>
          <w:rPr>
            <w:rStyle w:val="Hyperlink"/>
          </w:rPr>
          <w:t xml:space="preserve">https://doi.org/10.18653/v1/2025.emnlp-main.53</w:t>
        </w:r>
      </w:hyperlink>
      <w:r>
        <w:rPr>
          <w:rFonts w:ascii="Times New Roman" w:hAnsi="Times New Roman" w:eastAsia="SimSun"/>
          <w:lang w:val="en-US" w:eastAsia="zh-CN"/>
        </w:rPr>
        <w:t xml:space="preserve">.</w:t>
      </w:r>
    </w:p>
    <w:bookmarkEnd w:id="92"/>
    <w:bookmarkStart w:id="94" w:name="ref-L07"/>
    <w:p>
      <w:pPr>
        <w:pStyle w:val="Bibliography"/>
      </w:pPr>
      <w:r>
        <w:rPr>
          <w:rFonts w:ascii="Times New Roman" w:hAnsi="Times New Roman" w:eastAsia="SimSun"/>
          <w:lang w:val="en-US" w:eastAsia="zh-CN"/>
        </w:rPr>
        <w:t xml:space="preserve">Chen, Sizhe, Julien Piet, Chawin Sitawarin, and David Wagner. 2025.</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StruQ</w:t>
      </w:r>
      <w:r>
        <w:rPr>
          <w:rFonts w:ascii="Times New Roman" w:hAnsi="Times New Roman" w:eastAsia="SimSun"/>
          <w:lang w:val="en-US" w:eastAsia="zh-CN"/>
        </w:rPr>
        <w:t xml:space="preserve">: Defending Against Prompt Injection with Structured Queries.”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34th USENIX Security Symposium (USENIX Security 25)</w:t>
      </w:r>
      <w:r>
        <w:rPr>
          <w:rFonts w:ascii="Times New Roman" w:hAnsi="Times New Roman" w:eastAsia="SimSun"/>
          <w:lang w:val="en-US" w:eastAsia="zh-CN"/>
        </w:rPr>
        <w:t xml:space="preserve">, 2383–2400.</w:t>
      </w:r>
      <w:r>
        <w:rPr>
          <w:rFonts w:ascii="Times New Roman" w:hAnsi="Times New Roman" w:eastAsia="SimSun"/>
          <w:lang w:val="en-US" w:eastAsia="zh-CN"/>
        </w:rPr>
        <w:t xml:space="preserve"> </w:t>
      </w:r>
      <w:hyperlink r:id="rId93">
        <w:r>
          <w:rPr>
            <w:rStyle w:val="Hyperlink"/>
          </w:rPr>
          <w:t xml:space="preserve">https://www.usenix.org/conference/usenixsecurity25/presentation/chen-sizhe</w:t>
        </w:r>
      </w:hyperlink>
      <w:r>
        <w:rPr>
          <w:rFonts w:ascii="Times New Roman" w:hAnsi="Times New Roman" w:eastAsia="SimSun"/>
          <w:lang w:val="en-US" w:eastAsia="zh-CN"/>
        </w:rPr>
        <w:t xml:space="preserve">.</w:t>
      </w:r>
    </w:p>
    <w:bookmarkEnd w:id="94"/>
    <w:bookmarkStart w:id="96" w:name="ref-L32"/>
    <w:p>
      <w:pPr>
        <w:pStyle w:val="Bibliography"/>
      </w:pPr>
      <w:r>
        <w:rPr>
          <w:rFonts w:ascii="Times New Roman" w:hAnsi="Times New Roman" w:eastAsia="SimSun"/>
          <w:lang w:val="en-US" w:eastAsia="zh-CN"/>
        </w:rPr>
        <w:t xml:space="preserve">Chen, Yulin, Haoran Li, Yuan Sui, Yufei He, Yue Liu, Yangqiu Song, and Bryan Hooi. 2025.</w:t>
      </w:r>
      <w:r>
        <w:rPr>
          <w:rFonts w:ascii="Times New Roman" w:hAnsi="Times New Roman" w:eastAsia="SimSun"/>
          <w:lang w:val="en-US" w:eastAsia="zh-CN"/>
        </w:rPr>
        <w:t xml:space="preserve"> </w:t>
      </w:r>
      <w:r>
        <w:rPr>
          <w:rFonts w:ascii="Times New Roman" w:hAnsi="Times New Roman" w:eastAsia="SimSun"/>
          <w:lang w:val="en-US" w:eastAsia="zh-CN"/>
        </w:rPr>
        <w:t xml:space="preserve">“Can Indirect Prompt Injection Attacks Be Detected and Removed?”</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18189–206. Vienna, Austria: Association for Computational Linguistics.</w:t>
      </w:r>
      <w:r>
        <w:rPr>
          <w:rFonts w:ascii="Times New Roman" w:hAnsi="Times New Roman" w:eastAsia="SimSun"/>
          <w:lang w:val="en-US" w:eastAsia="zh-CN"/>
        </w:rPr>
        <w:t xml:space="preserve"> </w:t>
      </w:r>
      <w:hyperlink r:id="rId95">
        <w:r>
          <w:rPr>
            <w:rStyle w:val="Hyperlink"/>
          </w:rPr>
          <w:t xml:space="preserve">https://doi.org/10.18653/v1/2025.acl-long.890</w:t>
        </w:r>
      </w:hyperlink>
      <w:r>
        <w:rPr>
          <w:rFonts w:ascii="Times New Roman" w:hAnsi="Times New Roman" w:eastAsia="SimSun"/>
          <w:lang w:val="en-US" w:eastAsia="zh-CN"/>
        </w:rPr>
        <w:t xml:space="preserve">.</w:t>
      </w:r>
    </w:p>
    <w:bookmarkEnd w:id="96"/>
    <w:bookmarkStart w:id="98" w:name="ref-L26"/>
    <w:p>
      <w:pPr>
        <w:pStyle w:val="Bibliography"/>
      </w:pPr>
      <w:r>
        <w:rPr>
          <w:rFonts w:ascii="Times New Roman" w:hAnsi="Times New Roman" w:eastAsia="SimSun"/>
          <w:lang w:val="en-US" w:eastAsia="zh-CN"/>
        </w:rPr>
        <w:t xml:space="preserve">Debenedetti, Edoardo, Ilia Shumailov, Tianqi Fan, Jamie Hayes, Nicholas Carlini, Daniel Fabian, Christoph Kern, Chongyang Shi, Andreas Terzis, and Florian Tramèr. 2025.</w:t>
      </w:r>
      <w:r>
        <w:rPr>
          <w:rFonts w:ascii="Times New Roman" w:hAnsi="Times New Roman" w:eastAsia="SimSun"/>
          <w:lang w:val="en-US" w:eastAsia="zh-CN"/>
        </w:rPr>
        <w:t xml:space="preserve"> </w:t>
      </w:r>
      <w:r>
        <w:rPr>
          <w:rFonts w:ascii="Times New Roman" w:hAnsi="Times New Roman" w:eastAsia="SimSun"/>
          <w:lang w:val="en-US" w:eastAsia="zh-CN"/>
        </w:rPr>
        <w:t xml:space="preserve">“Defeating Prompt Injections by Design.”</w:t>
      </w:r>
      <w:r>
        <w:rPr>
          <w:rFonts w:ascii="Times New Roman" w:hAnsi="Times New Roman" w:eastAsia="SimSun"/>
          <w:lang w:val="en-US" w:eastAsia="zh-CN"/>
        </w:rPr>
        <w:t xml:space="preserve"> </w:t>
      </w:r>
      <w:hyperlink r:id="rId97">
        <w:r>
          <w:rPr>
            <w:rStyle w:val="Hyperlink"/>
          </w:rPr>
          <w:t xml:space="preserve">https://arxiv.org/abs/2503.18813</w:t>
        </w:r>
      </w:hyperlink>
      <w:r>
        <w:rPr>
          <w:rFonts w:ascii="Times New Roman" w:hAnsi="Times New Roman" w:eastAsia="SimSun"/>
          <w:lang w:val="en-US" w:eastAsia="zh-CN"/>
        </w:rPr>
        <w:t xml:space="preserve">.</w:t>
      </w:r>
    </w:p>
    <w:bookmarkEnd w:id="98"/>
    <w:bookmarkStart w:id="100" w:name="ref-L09"/>
    <w:p>
      <w:pPr>
        <w:pStyle w:val="Bibliography"/>
      </w:pPr>
      <w:r>
        <w:rPr>
          <w:rFonts w:ascii="Times New Roman" w:hAnsi="Times New Roman" w:eastAsia="SimSun"/>
          <w:lang w:val="en-US" w:eastAsia="zh-CN"/>
        </w:rPr>
        <w:t xml:space="preserve">Debenedetti, Edoardo, Jie Zhang, Mislav Balunovic, Luca Beurer-Kellner, Marc Fischer, and Florian Tramèr. 2024.</w:t>
      </w:r>
      <w:r>
        <w:rPr>
          <w:rFonts w:ascii="Times New Roman" w:hAnsi="Times New Roman" w:eastAsia="SimSun"/>
          <w:lang w:val="en-US" w:eastAsia="zh-CN"/>
        </w:rPr>
        <w:t xml:space="preserve"> </w:t>
      </w:r>
      <w:r>
        <w:rPr>
          <w:rFonts w:ascii="Times New Roman" w:hAnsi="Times New Roman" w:eastAsia="SimSun"/>
          <w:lang w:val="en-US" w:eastAsia="zh-CN"/>
        </w:rPr>
        <w:t xml:space="preserve">“AgentDojo: A Dynamic Environment to Evaluate Prompt Injection Attacks and Defenses for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37: 82895–920.</w:t>
      </w:r>
      <w:r>
        <w:rPr>
          <w:rFonts w:ascii="Times New Roman" w:hAnsi="Times New Roman" w:eastAsia="SimSun"/>
          <w:lang w:val="en-US" w:eastAsia="zh-CN"/>
        </w:rPr>
        <w:t xml:space="preserve"> </w:t>
      </w:r>
      <w:hyperlink r:id="rId99">
        <w:r>
          <w:rPr>
            <w:rStyle w:val="Hyperlink"/>
          </w:rPr>
          <w:t xml:space="preserve">https://doi.org/10.52202/079017-2636</w:t>
        </w:r>
      </w:hyperlink>
      <w:r>
        <w:rPr>
          <w:rFonts w:ascii="Times New Roman" w:hAnsi="Times New Roman" w:eastAsia="SimSun"/>
          <w:lang w:val="en-US" w:eastAsia="zh-CN"/>
        </w:rPr>
        <w:t xml:space="preserve">.</w:t>
      </w:r>
    </w:p>
    <w:bookmarkEnd w:id="100"/>
    <w:bookmarkStart w:id="102" w:name="ref-L23"/>
    <w:p>
      <w:pPr>
        <w:pStyle w:val="Bibliography"/>
      </w:pPr>
      <w:r>
        <w:rPr>
          <w:rFonts w:ascii="Times New Roman" w:hAnsi="Times New Roman" w:eastAsia="SimSun"/>
          <w:lang w:val="en-US" w:eastAsia="zh-CN"/>
        </w:rPr>
        <w:t xml:space="preserve">Gong, Guangyu, and Zizhuang Deng. 2026.</w:t>
      </w:r>
      <w:r>
        <w:rPr>
          <w:rFonts w:ascii="Times New Roman" w:hAnsi="Times New Roman" w:eastAsia="SimSun"/>
          <w:lang w:val="en-US" w:eastAsia="zh-CN"/>
        </w:rPr>
        <w:t xml:space="preserve"> </w:t>
      </w:r>
      <w:r>
        <w:rPr>
          <w:rFonts w:ascii="Times New Roman" w:hAnsi="Times New Roman" w:eastAsia="SimSun"/>
          <w:lang w:val="en-US" w:eastAsia="zh-CN"/>
        </w:rPr>
        <w:t xml:space="preserve">“PlanGuard: Defending Agents Against Indirect Prompt Injection via Planning-Based Consistency Verification.”</w:t>
      </w:r>
      <w:r>
        <w:rPr>
          <w:rFonts w:ascii="Times New Roman" w:hAnsi="Times New Roman" w:eastAsia="SimSun"/>
          <w:lang w:val="en-US" w:eastAsia="zh-CN"/>
        </w:rPr>
        <w:t xml:space="preserve"> </w:t>
      </w:r>
      <w:hyperlink r:id="rId101">
        <w:r>
          <w:rPr>
            <w:rStyle w:val="Hyperlink"/>
          </w:rPr>
          <w:t xml:space="preserve">https://arxiv.org/abs/2604.10134</w:t>
        </w:r>
      </w:hyperlink>
      <w:r>
        <w:rPr>
          <w:rFonts w:ascii="Times New Roman" w:hAnsi="Times New Roman" w:eastAsia="SimSun"/>
          <w:lang w:val="en-US" w:eastAsia="zh-CN"/>
        </w:rPr>
        <w:t xml:space="preserve">.</w:t>
      </w:r>
    </w:p>
    <w:bookmarkEnd w:id="102"/>
    <w:bookmarkStart w:id="104" w:name="ref-L30"/>
    <w:p>
      <w:pPr>
        <w:pStyle w:val="Bibliography"/>
      </w:pPr>
      <w:r>
        <w:rPr>
          <w:rFonts w:ascii="Times New Roman" w:hAnsi="Times New Roman" w:eastAsia="SimSun"/>
          <w:lang w:val="en-US" w:eastAsia="zh-CN"/>
        </w:rPr>
        <w:t xml:space="preserve">Hines, Keegan, Gary Lopez, Matthew Hall, Federico Zarfati, Yonatan Zunger, and Emre Kiciman. 2024.</w:t>
      </w:r>
      <w:r>
        <w:rPr>
          <w:rFonts w:ascii="Times New Roman" w:hAnsi="Times New Roman" w:eastAsia="SimSun"/>
          <w:lang w:val="en-US" w:eastAsia="zh-CN"/>
        </w:rPr>
        <w:t xml:space="preserve"> </w:t>
      </w:r>
      <w:r>
        <w:rPr>
          <w:rFonts w:ascii="Times New Roman" w:hAnsi="Times New Roman" w:eastAsia="SimSun"/>
          <w:lang w:val="en-US" w:eastAsia="zh-CN"/>
        </w:rPr>
        <w:t xml:space="preserve">“Defending Against Indirect Prompt Injection Attacks with Spotlighting.”</w:t>
      </w:r>
      <w:r>
        <w:rPr>
          <w:rFonts w:ascii="Times New Roman" w:hAnsi="Times New Roman" w:eastAsia="SimSun"/>
          <w:lang w:val="en-US" w:eastAsia="zh-CN"/>
        </w:rPr>
        <w:t xml:space="preserve"> </w:t>
      </w:r>
      <w:hyperlink r:id="rId103">
        <w:r>
          <w:rPr>
            <w:rStyle w:val="Hyperlink"/>
          </w:rPr>
          <w:t xml:space="preserve">https://arxiv.org/abs/2403.14720</w:t>
        </w:r>
      </w:hyperlink>
      <w:r>
        <w:rPr>
          <w:rFonts w:ascii="Times New Roman" w:hAnsi="Times New Roman" w:eastAsia="SimSun"/>
          <w:lang w:val="en-US" w:eastAsia="zh-CN"/>
        </w:rPr>
        <w:t xml:space="preserve">.</w:t>
      </w:r>
    </w:p>
    <w:bookmarkEnd w:id="104"/>
    <w:bookmarkStart w:id="106" w:name="ref-L03"/>
    <w:p>
      <w:pPr>
        <w:pStyle w:val="Bibliography"/>
      </w:pPr>
      <w:r>
        <w:rPr>
          <w:rFonts w:ascii="Times New Roman" w:hAnsi="Times New Roman" w:eastAsia="SimSun"/>
          <w:lang w:val="en-US" w:eastAsia="zh-CN"/>
        </w:rPr>
        <w:t xml:space="preserve">Jia, Feiran, Tong Wu, Xin Qin, and Anna Squicciarini.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Task Shield: Enforcing Task Alignment to Defend Against Indirect Prompt Injection in</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63rd Annual Meeting of the Association for Computational Linguistics (Volume 1: Long Papers)</w:t>
      </w:r>
      <w:r>
        <w:rPr>
          <w:rFonts w:ascii="Times New Roman" w:hAnsi="Times New Roman" w:eastAsia="SimSun"/>
          <w:lang w:val="en-US" w:eastAsia="zh-CN"/>
        </w:rPr>
        <w:t xml:space="preserve">, edited by Wanxiang Che, Joyce Nabende, Ekaterina Shutova, and Mohammad Taher Pilehvar, 29680–97. Vienna, Austria: Association for Computational Linguistics.</w:t>
      </w:r>
      <w:r>
        <w:rPr>
          <w:rFonts w:ascii="Times New Roman" w:hAnsi="Times New Roman" w:eastAsia="SimSun"/>
          <w:lang w:val="en-US" w:eastAsia="zh-CN"/>
        </w:rPr>
        <w:t xml:space="preserve"> </w:t>
      </w:r>
      <w:hyperlink r:id="rId105">
        <w:r>
          <w:rPr>
            <w:rStyle w:val="Hyperlink"/>
          </w:rPr>
          <w:t xml:space="preserve">https://doi.org/10.18653/v1/2025.acl-long.1435</w:t>
        </w:r>
      </w:hyperlink>
      <w:r>
        <w:rPr>
          <w:rFonts w:ascii="Times New Roman" w:hAnsi="Times New Roman" w:eastAsia="SimSun"/>
          <w:lang w:val="en-US" w:eastAsia="zh-CN"/>
        </w:rPr>
        <w:t xml:space="preserve">.</w:t>
      </w:r>
    </w:p>
    <w:bookmarkEnd w:id="106"/>
    <w:bookmarkStart w:id="108" w:name="ref-L02"/>
    <w:p>
      <w:pPr>
        <w:pStyle w:val="Bibliography"/>
      </w:pPr>
      <w:r>
        <w:rPr>
          <w:rFonts w:ascii="Times New Roman" w:hAnsi="Times New Roman" w:eastAsia="SimSun"/>
          <w:lang w:val="en-US" w:eastAsia="zh-CN"/>
        </w:rPr>
        <w:t xml:space="preserve">Li, Hao, Xiaogeng Liu, CHIU Chun, Dianqi Li, Ning Zhang, and Chaowei Xiao. 2025.</w:t>
      </w:r>
      <w:r>
        <w:rPr>
          <w:rFonts w:ascii="Times New Roman" w:hAnsi="Times New Roman" w:eastAsia="SimSun"/>
          <w:lang w:val="en-US" w:eastAsia="zh-CN"/>
        </w:rPr>
        <w:t xml:space="preserve"> </w:t>
      </w:r>
      <w:r>
        <w:rPr>
          <w:rFonts w:ascii="Times New Roman" w:hAnsi="Times New Roman" w:eastAsia="SimSun"/>
          <w:lang w:val="en-US" w:eastAsia="zh-CN"/>
        </w:rPr>
        <w:t xml:space="preserve">“DRIFT: Dynamic Rule-Based Defense with Injection Isolation for Securing LLM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Advances in Neural Information Processing Systems</w:t>
      </w:r>
      <w:r>
        <w:rPr>
          <w:rFonts w:ascii="Times New Roman" w:hAnsi="Times New Roman" w:eastAsia="SimSun"/>
          <w:lang w:val="en-US" w:eastAsia="zh-CN"/>
        </w:rPr>
        <w:t xml:space="preserve"> </w:t>
      </w:r>
      <w:r>
        <w:rPr>
          <w:rFonts w:ascii="Times New Roman" w:hAnsi="Times New Roman" w:eastAsia="SimSun"/>
          <w:lang w:val="en-US" w:eastAsia="zh-CN"/>
        </w:rPr>
        <w:t xml:space="preserve">38: 83262–90.</w:t>
      </w:r>
      <w:r>
        <w:rPr>
          <w:rFonts w:ascii="Times New Roman" w:hAnsi="Times New Roman" w:eastAsia="SimSun"/>
          <w:lang w:val="en-US" w:eastAsia="zh-CN"/>
        </w:rPr>
        <w:t xml:space="preserve"> </w:t>
      </w:r>
      <w:hyperlink r:id="rId107">
        <w:r>
          <w:rPr>
            <w:rStyle w:val="Hyperlink"/>
          </w:rPr>
          <w:t xml:space="preserve">https://doi.org/10.52202/085713-2791</w:t>
        </w:r>
      </w:hyperlink>
      <w:r>
        <w:rPr>
          <w:rFonts w:ascii="Times New Roman" w:hAnsi="Times New Roman" w:eastAsia="SimSun"/>
          <w:lang w:val="en-US" w:eastAsia="zh-CN"/>
        </w:rPr>
        <w:t xml:space="preserve">.</w:t>
      </w:r>
    </w:p>
    <w:bookmarkEnd w:id="108"/>
    <w:bookmarkStart w:id="110" w:name="ref-L35"/>
    <w:p>
      <w:pPr>
        <w:pStyle w:val="Bibliography"/>
      </w:pPr>
      <w:r>
        <w:rPr>
          <w:rFonts w:ascii="Times New Roman" w:hAnsi="Times New Roman" w:eastAsia="SimSun"/>
          <w:lang w:val="en-US" w:eastAsia="zh-CN"/>
        </w:rPr>
        <w:t xml:space="preserve">Liao, Junchi. 2026.</w:t>
      </w:r>
      <w:r>
        <w:rPr>
          <w:rFonts w:ascii="Times New Roman" w:hAnsi="Times New Roman" w:eastAsia="SimSun"/>
          <w:lang w:val="en-US" w:eastAsia="zh-CN"/>
        </w:rPr>
        <w:t xml:space="preserve"> </w:t>
      </w:r>
      <w:r>
        <w:rPr>
          <w:rFonts w:ascii="Times New Roman" w:hAnsi="Times New Roman" w:eastAsia="SimSun"/>
          <w:lang w:val="en-US" w:eastAsia="zh-CN"/>
        </w:rPr>
        <w:t xml:space="preserve">“Auditing Provenance Sensitivity in LLM Agent Action Selection.”</w:t>
      </w:r>
      <w:r>
        <w:rPr>
          <w:rFonts w:ascii="Times New Roman" w:hAnsi="Times New Roman" w:eastAsia="SimSun"/>
          <w:lang w:val="en-US" w:eastAsia="zh-CN"/>
        </w:rPr>
        <w:t xml:space="preserve"> </w:t>
      </w:r>
      <w:hyperlink r:id="rId109">
        <w:r>
          <w:rPr>
            <w:rStyle w:val="Hyperlink"/>
          </w:rPr>
          <w:t xml:space="preserve">https://arxiv.org/abs/2607.20827</w:t>
        </w:r>
      </w:hyperlink>
      <w:r>
        <w:rPr>
          <w:rFonts w:ascii="Times New Roman" w:hAnsi="Times New Roman" w:eastAsia="SimSun"/>
          <w:lang w:val="en-US" w:eastAsia="zh-CN"/>
        </w:rPr>
        <w:t xml:space="preserve">.</w:t>
      </w:r>
    </w:p>
    <w:bookmarkEnd w:id="110"/>
    <w:bookmarkStart w:id="112" w:name="ref-L01"/>
    <w:p>
      <w:pPr>
        <w:pStyle w:val="Bibliography"/>
      </w:pPr>
      <w:r>
        <w:rPr>
          <w:rFonts w:ascii="Times New Roman" w:hAnsi="Times New Roman" w:eastAsia="SimSun"/>
          <w:lang w:val="en-US" w:eastAsia="zh-CN"/>
        </w:rPr>
        <w:t xml:space="preserve">Lin, Junda, Zhaomeng Zhou, Zhi Zheng, Shuochen Liu, Tong Xu, Yong Chen, and Enhong Chen. 2026.</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VIGIL</w:t>
      </w:r>
      <w:r>
        <w:rPr>
          <w:rFonts w:ascii="Times New Roman" w:hAnsi="Times New Roman" w:eastAsia="SimSun"/>
          <w:lang w:val="en-US" w:eastAsia="zh-CN"/>
        </w:rPr>
        <w:t xml:space="preserve">: Defending</w:t>
      </w:r>
      <w:r>
        <w:rPr>
          <w:rFonts w:ascii="Times New Roman" w:hAnsi="Times New Roman" w:eastAsia="SimSun"/>
          <w:lang w:val="en-US" w:eastAsia="zh-CN"/>
        </w:rPr>
        <w:t xml:space="preserve"> </w:t>
      </w:r>
      <w:r>
        <w:rPr>
          <w:rFonts w:ascii="Times New Roman" w:hAnsi="Times New Roman" w:eastAsia="SimSun"/>
          <w:lang w:val="en-US" w:eastAsia="zh-CN"/>
        </w:rPr>
        <w:t xml:space="preserve">LLM</w:t>
      </w:r>
      <w:r>
        <w:rPr>
          <w:rFonts w:ascii="Times New Roman" w:hAnsi="Times New Roman" w:eastAsia="SimSun"/>
          <w:lang w:val="en-US" w:eastAsia="zh-CN"/>
        </w:rPr>
        <w:t xml:space="preserve"> </w:t>
      </w:r>
      <w:r>
        <w:rPr>
          <w:rFonts w:ascii="Times New Roman" w:hAnsi="Times New Roman" w:eastAsia="SimSun"/>
          <w:lang w:val="en-US" w:eastAsia="zh-CN"/>
        </w:rPr>
        <w:t xml:space="preserve">Agents Against Tool-Stream Injection via Verify-Before-Commit.”</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64th Annual Meeting of the</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A</w:t>
      </w:r>
      <w:r>
        <w:rPr>
          <w:iCs/>
          <w:rFonts w:ascii="Times New Roman" w:hAnsi="Times New Roman" w:eastAsia="SimSun"/>
          <w:i/>
          <w:lang w:val="en-US" w:eastAsia="zh-CN"/>
        </w:rPr>
        <w:t xml:space="preserve">ssociation for</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C</w:t>
      </w:r>
      <w:r>
        <w:rPr>
          <w:iCs/>
          <w:rFonts w:ascii="Times New Roman" w:hAnsi="Times New Roman" w:eastAsia="SimSun"/>
          <w:i/>
          <w:lang w:val="en-US" w:eastAsia="zh-CN"/>
        </w:rPr>
        <w:t xml:space="preserve">omputational</w:t>
      </w:r>
      <w:r>
        <w:rPr>
          <w:iCs/>
          <w:rFonts w:ascii="Times New Roman" w:hAnsi="Times New Roman" w:eastAsia="SimSun"/>
          <w:i/>
          <w:lang w:val="en-US" w:eastAsia="zh-CN"/>
        </w:rPr>
        <w:t xml:space="preserve"> </w:t>
      </w:r>
      <w:r>
        <w:rPr>
          <w:iCs/>
          <w:rFonts w:ascii="Times New Roman" w:hAnsi="Times New Roman" w:eastAsia="SimSun"/>
          <w:i/>
          <w:lang w:val="en-US" w:eastAsia="zh-CN"/>
        </w:rPr>
        <w:t xml:space="preserve">L</w:t>
      </w:r>
      <w:r>
        <w:rPr>
          <w:iCs/>
          <w:rFonts w:ascii="Times New Roman" w:hAnsi="Times New Roman" w:eastAsia="SimSun"/>
          <w:i/>
          <w:lang w:val="en-US" w:eastAsia="zh-CN"/>
        </w:rPr>
        <w:t xml:space="preserve">inguistics (Volume 1: Long Papers)</w:t>
      </w:r>
      <w:r>
        <w:rPr>
          <w:rFonts w:ascii="Times New Roman" w:hAnsi="Times New Roman" w:eastAsia="SimSun"/>
          <w:lang w:val="en-US" w:eastAsia="zh-CN"/>
        </w:rPr>
        <w:t xml:space="preserve">, edited by Maria Liakata, Viviane P. Moreira, Jiajun Zhang, and David Jurgens, 9764–85. San Diego, California, United States: Association for Computational Linguistics.</w:t>
      </w:r>
      <w:r>
        <w:rPr>
          <w:rFonts w:ascii="Times New Roman" w:hAnsi="Times New Roman" w:eastAsia="SimSun"/>
          <w:lang w:val="en-US" w:eastAsia="zh-CN"/>
        </w:rPr>
        <w:t xml:space="preserve"> </w:t>
      </w:r>
      <w:hyperlink r:id="rId111">
        <w:r>
          <w:rPr>
            <w:rStyle w:val="Hyperlink"/>
          </w:rPr>
          <w:t xml:space="preserve">https://doi.org/10.18653/v1/2026.acl-long.443</w:t>
        </w:r>
      </w:hyperlink>
      <w:r>
        <w:rPr>
          <w:rFonts w:ascii="Times New Roman" w:hAnsi="Times New Roman" w:eastAsia="SimSun"/>
          <w:lang w:val="en-US" w:eastAsia="zh-CN"/>
        </w:rPr>
        <w:t xml:space="preserve">.</w:t>
      </w:r>
    </w:p>
    <w:bookmarkEnd w:id="112"/>
    <w:bookmarkStart w:id="114" w:name="ref-L27"/>
    <w:p>
      <w:pPr>
        <w:pStyle w:val="Bibliography"/>
      </w:pPr>
      <w:r>
        <w:rPr>
          <w:rFonts w:ascii="Times New Roman" w:hAnsi="Times New Roman" w:eastAsia="SimSun"/>
          <w:lang w:val="en-US" w:eastAsia="zh-CN"/>
        </w:rPr>
        <w:t xml:space="preserve">Nasr, Milad, Nicholas Carlini, Chawin Sitawarin, Sander V. Schulhoff, Jamie Hayes, Michael Ilie, Juliette Pluto, et al. 2025.</w:t>
      </w:r>
      <w:r>
        <w:rPr>
          <w:rFonts w:ascii="Times New Roman" w:hAnsi="Times New Roman" w:eastAsia="SimSun"/>
          <w:lang w:val="en-US" w:eastAsia="zh-CN"/>
        </w:rPr>
        <w:t xml:space="preserve"> </w:t>
      </w:r>
      <w:r>
        <w:rPr>
          <w:rFonts w:ascii="Times New Roman" w:hAnsi="Times New Roman" w:eastAsia="SimSun"/>
          <w:lang w:val="en-US" w:eastAsia="zh-CN"/>
        </w:rPr>
        <w:t xml:space="preserve">“The Attacker Moves Second: Stronger Adaptive Attacks Bypass Defenses Against Llm Jailbreaks and Prompt Injections.”</w:t>
      </w:r>
      <w:r>
        <w:rPr>
          <w:rFonts w:ascii="Times New Roman" w:hAnsi="Times New Roman" w:eastAsia="SimSun"/>
          <w:lang w:val="en-US" w:eastAsia="zh-CN"/>
        </w:rPr>
        <w:t xml:space="preserve"> </w:t>
      </w:r>
      <w:hyperlink r:id="rId113">
        <w:r>
          <w:rPr>
            <w:rStyle w:val="Hyperlink"/>
          </w:rPr>
          <w:t xml:space="preserve">https://arxiv.org/abs/2510.09023</w:t>
        </w:r>
      </w:hyperlink>
      <w:r>
        <w:rPr>
          <w:rFonts w:ascii="Times New Roman" w:hAnsi="Times New Roman" w:eastAsia="SimSun"/>
          <w:lang w:val="en-US" w:eastAsia="zh-CN"/>
        </w:rPr>
        <w:t xml:space="preserve">.</w:t>
      </w:r>
    </w:p>
    <w:bookmarkEnd w:id="114"/>
    <w:bookmarkStart w:id="116" w:name="ref-L24"/>
    <w:p>
      <w:pPr>
        <w:pStyle w:val="Bibliography"/>
      </w:pPr>
      <w:r>
        <w:rPr>
          <w:rFonts w:ascii="Times New Roman" w:hAnsi="Times New Roman" w:eastAsia="SimSun"/>
          <w:lang w:val="en-US" w:eastAsia="zh-CN"/>
        </w:rPr>
        <w:t xml:space="preserve">Shi, Tianneng, Jingxuan He, Zhun Wang, Hongwei Li, Linyu Wu, Wenbo Guo, and Dawn Song. 2025.</w:t>
      </w:r>
      <w:r>
        <w:rPr>
          <w:rFonts w:ascii="Times New Roman" w:hAnsi="Times New Roman" w:eastAsia="SimSun"/>
          <w:lang w:val="en-US" w:eastAsia="zh-CN"/>
        </w:rPr>
        <w:t xml:space="preserve"> </w:t>
      </w:r>
      <w:r>
        <w:rPr>
          <w:rFonts w:ascii="Times New Roman" w:hAnsi="Times New Roman" w:eastAsia="SimSun"/>
          <w:lang w:val="en-US" w:eastAsia="zh-CN"/>
        </w:rPr>
        <w:t xml:space="preserve">“Progent: Securing AI Agents with Privilege Control.”</w:t>
      </w:r>
      <w:r>
        <w:rPr>
          <w:rFonts w:ascii="Times New Roman" w:hAnsi="Times New Roman" w:eastAsia="SimSun"/>
          <w:lang w:val="en-US" w:eastAsia="zh-CN"/>
        </w:rPr>
        <w:t xml:space="preserve"> </w:t>
      </w:r>
      <w:hyperlink r:id="rId115">
        <w:r>
          <w:rPr>
            <w:rStyle w:val="Hyperlink"/>
          </w:rPr>
          <w:t xml:space="preserve">https://arxiv.org/abs/2504.11703</w:t>
        </w:r>
      </w:hyperlink>
      <w:r>
        <w:rPr>
          <w:rFonts w:ascii="Times New Roman" w:hAnsi="Times New Roman" w:eastAsia="SimSun"/>
          <w:lang w:val="en-US" w:eastAsia="zh-CN"/>
        </w:rPr>
        <w:t xml:space="preserve">.</w:t>
      </w:r>
    </w:p>
    <w:bookmarkEnd w:id="116"/>
    <w:bookmarkStart w:id="118" w:name="ref-L08"/>
    <w:p>
      <w:pPr>
        <w:pStyle w:val="Bibliography"/>
      </w:pPr>
      <w:r>
        <w:rPr>
          <w:rFonts w:ascii="Times New Roman" w:hAnsi="Times New Roman" w:eastAsia="SimSun"/>
          <w:lang w:val="en-US" w:eastAsia="zh-CN"/>
        </w:rPr>
        <w:t xml:space="preserve">Tsai, Lillian, and Eugene Bagdasarian. 2025.</w:t>
      </w:r>
      <w:r>
        <w:rPr>
          <w:rFonts w:ascii="Times New Roman" w:hAnsi="Times New Roman" w:eastAsia="SimSun"/>
          <w:lang w:val="en-US" w:eastAsia="zh-CN"/>
        </w:rPr>
        <w:t xml:space="preserve"> </w:t>
      </w:r>
      <w:r>
        <w:rPr>
          <w:rFonts w:ascii="Times New Roman" w:hAnsi="Times New Roman" w:eastAsia="SimSun"/>
          <w:lang w:val="en-US" w:eastAsia="zh-CN"/>
        </w:rPr>
        <w:t xml:space="preserve">“Contextual Agent Security: A Policy for Every Purpose.”</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Proceedings of the Workshop on Hot Topics in Operating Systems</w:t>
      </w:r>
      <w:r>
        <w:rPr>
          <w:rFonts w:ascii="Times New Roman" w:hAnsi="Times New Roman" w:eastAsia="SimSun"/>
          <w:lang w:val="en-US" w:eastAsia="zh-CN"/>
        </w:rPr>
        <w:t xml:space="preserve">, 8–17.</w:t>
      </w:r>
      <w:r>
        <w:rPr>
          <w:rFonts w:ascii="Times New Roman" w:hAnsi="Times New Roman" w:eastAsia="SimSun"/>
          <w:lang w:val="en-US" w:eastAsia="zh-CN"/>
        </w:rPr>
        <w:t xml:space="preserve"> </w:t>
      </w:r>
      <w:hyperlink r:id="rId117">
        <w:r>
          <w:rPr>
            <w:rStyle w:val="Hyperlink"/>
          </w:rPr>
          <w:t xml:space="preserve">https://doi.org/10.1145/3713082.3730378</w:t>
        </w:r>
      </w:hyperlink>
      <w:r>
        <w:rPr>
          <w:rFonts w:ascii="Times New Roman" w:hAnsi="Times New Roman" w:eastAsia="SimSun"/>
          <w:lang w:val="en-US" w:eastAsia="zh-CN"/>
        </w:rPr>
        <w:t xml:space="preserve">.</w:t>
      </w:r>
    </w:p>
    <w:bookmarkEnd w:id="118"/>
    <w:bookmarkStart w:id="120" w:name="ref-L31"/>
    <w:p>
      <w:pPr>
        <w:pStyle w:val="Bibliography"/>
      </w:pPr>
      <w:r>
        <w:rPr>
          <w:rFonts w:ascii="Times New Roman" w:hAnsi="Times New Roman" w:eastAsia="SimSun"/>
          <w:lang w:val="en-US" w:eastAsia="zh-CN"/>
        </w:rPr>
        <w:t xml:space="preserve">Wallace, Eric, Kai Xiao, Reimar Leike, Lilian Weng, Johannes Heidecke, and Alex Beutel. 2024.</w:t>
      </w:r>
      <w:r>
        <w:rPr>
          <w:rFonts w:ascii="Times New Roman" w:hAnsi="Times New Roman" w:eastAsia="SimSun"/>
          <w:lang w:val="en-US" w:eastAsia="zh-CN"/>
        </w:rPr>
        <w:t xml:space="preserve"> </w:t>
      </w:r>
      <w:r>
        <w:rPr>
          <w:rFonts w:ascii="Times New Roman" w:hAnsi="Times New Roman" w:eastAsia="SimSun"/>
          <w:lang w:val="en-US" w:eastAsia="zh-CN"/>
        </w:rPr>
        <w:t xml:space="preserve">“The Instruction Hierarchy: Training LLMs to Prioritize Privileged Instructions.”</w:t>
      </w:r>
      <w:r>
        <w:rPr>
          <w:rFonts w:ascii="Times New Roman" w:hAnsi="Times New Roman" w:eastAsia="SimSun"/>
          <w:lang w:val="en-US" w:eastAsia="zh-CN"/>
        </w:rPr>
        <w:t xml:space="preserve"> </w:t>
      </w:r>
      <w:hyperlink r:id="rId119">
        <w:r>
          <w:rPr>
            <w:rStyle w:val="Hyperlink"/>
          </w:rPr>
          <w:t xml:space="preserve">https://arxiv.org/abs/2404.13208</w:t>
        </w:r>
      </w:hyperlink>
      <w:r>
        <w:rPr>
          <w:rFonts w:ascii="Times New Roman" w:hAnsi="Times New Roman" w:eastAsia="SimSun"/>
          <w:lang w:val="en-US" w:eastAsia="zh-CN"/>
        </w:rPr>
        <w:t xml:space="preserve">.</w:t>
      </w:r>
    </w:p>
    <w:bookmarkEnd w:id="120"/>
    <w:bookmarkStart w:id="122" w:name="ref-L20"/>
    <w:p>
      <w:pPr>
        <w:pStyle w:val="Bibliography"/>
      </w:pPr>
      <w:r>
        <w:rPr>
          <w:rFonts w:ascii="Times New Roman" w:hAnsi="Times New Roman" w:eastAsia="SimSun"/>
          <w:lang w:val="en-US" w:eastAsia="zh-CN"/>
        </w:rPr>
        <w:t xml:space="preserve">Wang, Haoyu, Christopher M. Poskitt, and Jun Sun. 2026.</w:t>
      </w:r>
      <w:r>
        <w:rPr>
          <w:rFonts w:ascii="Times New Roman" w:hAnsi="Times New Roman" w:eastAsia="SimSun"/>
          <w:lang w:val="en-US" w:eastAsia="zh-CN"/>
        </w:rPr>
        <w:t xml:space="preserve"> </w:t>
      </w:r>
      <w:r>
        <w:rPr>
          <w:rFonts w:ascii="Times New Roman" w:hAnsi="Times New Roman" w:eastAsia="SimSun"/>
          <w:lang w:val="en-US" w:eastAsia="zh-CN"/>
        </w:rPr>
        <w:t xml:space="preserve">“AgentSpec: Customizable Runtime Enforcement for Safe and Reliable LLM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2026 IEEE/ACM 48th International Conference on Software Engineering (ICSE)</w:t>
      </w:r>
      <w:r>
        <w:rPr>
          <w:rFonts w:ascii="Times New Roman" w:hAnsi="Times New Roman" w:eastAsia="SimSun"/>
          <w:lang w:val="en-US" w:eastAsia="zh-CN"/>
        </w:rPr>
        <w:t xml:space="preserve">.</w:t>
      </w:r>
      <w:r>
        <w:rPr>
          <w:rFonts w:ascii="Times New Roman" w:hAnsi="Times New Roman" w:eastAsia="SimSun"/>
          <w:lang w:val="en-US" w:eastAsia="zh-CN"/>
        </w:rPr>
        <w:t xml:space="preserve"> </w:t>
      </w:r>
      <w:hyperlink r:id="rId121">
        <w:r>
          <w:rPr>
            <w:rStyle w:val="Hyperlink"/>
          </w:rPr>
          <w:t xml:space="preserve">https://conf.researchr.org/details/icse-2026/icse-2026-research-track/29/AgentSpec-Customizable-Runtime-Enforcement-for-Safe-and-Reliable-LLM-Agents</w:t>
        </w:r>
      </w:hyperlink>
      <w:r>
        <w:rPr>
          <w:rFonts w:ascii="Times New Roman" w:hAnsi="Times New Roman" w:eastAsia="SimSun"/>
          <w:lang w:val="en-US" w:eastAsia="zh-CN"/>
        </w:rPr>
        <w:t xml:space="preserve">.</w:t>
      </w:r>
    </w:p>
    <w:bookmarkEnd w:id="122"/>
    <w:bookmarkStart w:id="124" w:name="ref-L22"/>
    <w:p>
      <w:pPr>
        <w:pStyle w:val="Bibliography"/>
      </w:pPr>
      <w:r>
        <w:rPr>
          <w:rFonts w:ascii="Times New Roman" w:hAnsi="Times New Roman" w:eastAsia="SimSun"/>
          <w:lang w:val="en-US" w:eastAsia="zh-CN"/>
        </w:rPr>
        <w:t xml:space="preserve">Wang, Peiran, Ying Li, and Yuan Tian. 2026.</w:t>
      </w:r>
      <w:r>
        <w:rPr>
          <w:rFonts w:ascii="Times New Roman" w:hAnsi="Times New Roman" w:eastAsia="SimSun"/>
          <w:lang w:val="en-US" w:eastAsia="zh-CN"/>
        </w:rPr>
        <w:t xml:space="preserve"> </w:t>
      </w:r>
      <w:r>
        <w:rPr>
          <w:rFonts w:ascii="Times New Roman" w:hAnsi="Times New Roman" w:eastAsia="SimSun"/>
          <w:lang w:val="en-US" w:eastAsia="zh-CN"/>
        </w:rPr>
        <w:t xml:space="preserve">“Aligning Provenance with Authorization: A Dual-Graph Defense for LLM Agents.”</w:t>
      </w:r>
      <w:r>
        <w:rPr>
          <w:rFonts w:ascii="Times New Roman" w:hAnsi="Times New Roman" w:eastAsia="SimSun"/>
          <w:lang w:val="en-US" w:eastAsia="zh-CN"/>
        </w:rPr>
        <w:t xml:space="preserve"> </w:t>
      </w:r>
      <w:hyperlink r:id="rId123">
        <w:r>
          <w:rPr>
            <w:rStyle w:val="Hyperlink"/>
          </w:rPr>
          <w:t xml:space="preserve">https://arxiv.org/abs/2605.26497</w:t>
        </w:r>
      </w:hyperlink>
      <w:r>
        <w:rPr>
          <w:rFonts w:ascii="Times New Roman" w:hAnsi="Times New Roman" w:eastAsia="SimSun"/>
          <w:lang w:val="en-US" w:eastAsia="zh-CN"/>
        </w:rPr>
        <w:t xml:space="preserve">.</w:t>
      </w:r>
    </w:p>
    <w:bookmarkEnd w:id="124"/>
    <w:bookmarkStart w:id="126" w:name="ref-L21"/>
    <w:p>
      <w:pPr>
        <w:pStyle w:val="Bibliography"/>
      </w:pPr>
      <w:r>
        <w:rPr>
          <w:rFonts w:ascii="Times New Roman" w:hAnsi="Times New Roman" w:eastAsia="SimSun"/>
          <w:lang w:val="en-US" w:eastAsia="zh-CN"/>
        </w:rPr>
        <w:t xml:space="preserve">Weng, Shihao, Yang Feng, Jinrui Zhang, Xiaofei Xie, Jiongchi Yu, and Jia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“ARGUS: Defending LLM Agents Against Context-Aware Prompt Injection.”</w:t>
      </w:r>
      <w:r>
        <w:rPr>
          <w:rFonts w:ascii="Times New Roman" w:hAnsi="Times New Roman" w:eastAsia="SimSun"/>
          <w:lang w:val="en-US" w:eastAsia="zh-CN"/>
        </w:rPr>
        <w:t xml:space="preserve"> </w:t>
      </w:r>
      <w:hyperlink r:id="rId125">
        <w:r>
          <w:rPr>
            <w:rStyle w:val="Hyperlink"/>
          </w:rPr>
          <w:t xml:space="preserve">https://arxiv.org/abs/2605.03378</w:t>
        </w:r>
      </w:hyperlink>
      <w:r>
        <w:rPr>
          <w:rFonts w:ascii="Times New Roman" w:hAnsi="Times New Roman" w:eastAsia="SimSun"/>
          <w:lang w:val="en-US" w:eastAsia="zh-CN"/>
        </w:rPr>
        <w:t xml:space="preserve">.</w:t>
      </w:r>
    </w:p>
    <w:bookmarkEnd w:id="126"/>
    <w:bookmarkStart w:id="128" w:name="ref-L10"/>
    <w:p>
      <w:pPr>
        <w:pStyle w:val="Bibliography"/>
      </w:pPr>
      <w:r>
        <w:rPr>
          <w:rFonts w:ascii="Times New Roman" w:hAnsi="Times New Roman" w:eastAsia="SimSun"/>
          <w:lang w:val="en-US" w:eastAsia="zh-CN"/>
        </w:rPr>
        <w:t xml:space="preserve">Zhan, Qiusi, Zhixiang Liang, Zifan Ying, and Daniel Kang. 2024.</w:t>
      </w:r>
      <w:r>
        <w:rPr>
          <w:rFonts w:ascii="Times New Roman" w:hAnsi="Times New Roman" w:eastAsia="SimSun"/>
          <w:lang w:val="en-US" w:eastAsia="zh-CN"/>
        </w:rPr>
        <w:t xml:space="preserve"> </w:t>
      </w:r>
      <w:r>
        <w:rPr>
          <w:rFonts w:ascii="Times New Roman" w:hAnsi="Times New Roman" w:eastAsia="SimSun"/>
          <w:lang w:val="en-US" w:eastAsia="zh-CN"/>
        </w:rPr>
        <w:t xml:space="preserve">“</w:t>
      </w:r>
      <w:r>
        <w:rPr>
          <w:rFonts w:ascii="Times New Roman" w:hAnsi="Times New Roman" w:eastAsia="SimSun"/>
          <w:lang w:val="en-US" w:eastAsia="zh-CN"/>
        </w:rPr>
        <w:t xml:space="preserve">I</w:t>
      </w:r>
      <w:r>
        <w:rPr>
          <w:rFonts w:ascii="Times New Roman" w:hAnsi="Times New Roman" w:eastAsia="SimSun"/>
          <w:lang w:val="en-US" w:eastAsia="zh-CN"/>
        </w:rPr>
        <w:t xml:space="preserve">njec</w:t>
      </w:r>
      <w:r>
        <w:rPr>
          <w:rFonts w:ascii="Times New Roman" w:hAnsi="Times New Roman" w:eastAsia="SimSun"/>
          <w:lang w:val="en-US" w:eastAsia="zh-CN"/>
        </w:rPr>
        <w:t xml:space="preserve">A</w:t>
      </w:r>
      <w:r>
        <w:rPr>
          <w:rFonts w:ascii="Times New Roman" w:hAnsi="Times New Roman" w:eastAsia="SimSun"/>
          <w:lang w:val="en-US" w:eastAsia="zh-CN"/>
        </w:rPr>
        <w:t xml:space="preserve">gent: Benchmarking Indirect Prompt Injections in Tool-Integrated Large Language Model Agents.”</w:t>
      </w:r>
      <w:r>
        <w:rPr>
          <w:rFonts w:ascii="Times New Roman" w:hAnsi="Times New Roman" w:eastAsia="SimSun"/>
          <w:lang w:val="en-US" w:eastAsia="zh-CN"/>
        </w:rPr>
        <w:t xml:space="preserve"> </w:t>
      </w:r>
      <w:r>
        <w:rPr>
          <w:rFonts w:ascii="Times New Roman" w:hAnsi="Times New Roman" w:eastAsia="SimSun"/>
          <w:lang w:val="en-US" w:eastAsia="zh-CN"/>
        </w:rPr>
        <w:t xml:space="preserve">In</w:t>
      </w:r>
      <w:r>
        <w:rPr>
          <w:rFonts w:ascii="Times New Roman" w:hAnsi="Times New Roman" w:eastAsia="SimSun"/>
          <w:lang w:val="en-US" w:eastAsia="zh-CN"/>
        </w:rPr>
        <w:t xml:space="preserve"> </w:t>
      </w:r>
      <w:r>
        <w:rPr>
          <w:iCs/>
          <w:rFonts w:ascii="Times New Roman" w:hAnsi="Times New Roman" w:eastAsia="SimSun"/>
          <w:i/>
          <w:lang w:val="en-US" w:eastAsia="zh-CN"/>
        </w:rPr>
        <w:t xml:space="preserve">Findings of the Association for Computational Linguistics: ACL 2024</w:t>
      </w:r>
      <w:r>
        <w:rPr>
          <w:rFonts w:ascii="Times New Roman" w:hAnsi="Times New Roman" w:eastAsia="SimSun"/>
          <w:lang w:val="en-US" w:eastAsia="zh-CN"/>
        </w:rPr>
        <w:t xml:space="preserve">, edited by Lun-Wei Ku, Andre Martins, and Vivek Srikumar, 10471–506. Bangkok, Thailand: Association for Computational Linguistics.</w:t>
      </w:r>
      <w:r>
        <w:rPr>
          <w:rFonts w:ascii="Times New Roman" w:hAnsi="Times New Roman" w:eastAsia="SimSun"/>
          <w:lang w:val="en-US" w:eastAsia="zh-CN"/>
        </w:rPr>
        <w:t xml:space="preserve"> </w:t>
      </w:r>
      <w:hyperlink r:id="rId127">
        <w:r>
          <w:rPr>
            <w:rStyle w:val="Hyperlink"/>
          </w:rPr>
          <w:t xml:space="preserve">https://doi.org/10.18653/v1/2024.findings-acl.624</w:t>
        </w:r>
      </w:hyperlink>
      <w:r>
        <w:rPr>
          <w:rFonts w:ascii="Times New Roman" w:hAnsi="Times New Roman" w:eastAsia="SimSun"/>
          <w:lang w:val="en-US" w:eastAsia="zh-CN"/>
        </w:rPr>
        <w:t xml:space="preserve">.</w:t>
      </w:r>
    </w:p>
    <w:bookmarkEnd w:id="128"/>
    <w:bookmarkStart w:id="130" w:name="ref-L34"/>
    <w:p>
      <w:pPr>
        <w:pStyle w:val="Bibliography"/>
      </w:pPr>
      <w:r>
        <w:rPr>
          <w:rFonts w:ascii="Times New Roman" w:hAnsi="Times New Roman" w:eastAsia="SimSun"/>
          <w:lang w:val="en-US" w:eastAsia="zh-CN"/>
        </w:rPr>
        <w:t xml:space="preserve">Zhang, Hanrong, Jingyuan Huang, Kai Mei, Yifei Yao, Zhenting Wang, Chenlu Zhan, Hongwei Wang, and Yongfeng Zhang. 2025.</w:t>
      </w:r>
      <w:r>
        <w:rPr>
          <w:rFonts w:ascii="Times New Roman" w:hAnsi="Times New Roman" w:eastAsia="SimSun"/>
          <w:lang w:val="en-US" w:eastAsia="zh-CN"/>
        </w:rPr>
        <w:t xml:space="preserve"> </w:t>
      </w:r>
      <w:r>
        <w:rPr>
          <w:rFonts w:ascii="Times New Roman" w:hAnsi="Times New Roman" w:eastAsia="SimSun"/>
          <w:lang w:val="en-US" w:eastAsia="zh-CN"/>
        </w:rPr>
        <w:t xml:space="preserve">“Agent Security Bench (ASB): Formalizing and Benchmarking Attacks and Defenses in LLM-Based Agents.”</w:t>
      </w:r>
      <w:r>
        <w:rPr>
          <w:rFonts w:ascii="Times New Roman" w:hAnsi="Times New Roman" w:eastAsia="SimSun"/>
          <w:lang w:val="en-US" w:eastAsia="zh-CN"/>
        </w:rPr>
        <w:t xml:space="preserve"> </w:t>
      </w:r>
      <w:r>
        <w:rPr>
          <w:iCs/>
          <w:rFonts w:ascii="Times New Roman" w:hAnsi="Times New Roman" w:eastAsia="SimSun"/>
          <w:i/>
          <w:lang w:val="en-US" w:eastAsia="zh-CN"/>
        </w:rPr>
        <w:t xml:space="preserve">International Conference on Learning Representations</w:t>
      </w:r>
      <w:r>
        <w:rPr>
          <w:rFonts w:ascii="Times New Roman" w:hAnsi="Times New Roman" w:eastAsia="SimSun"/>
          <w:lang w:val="en-US" w:eastAsia="zh-CN"/>
        </w:rPr>
        <w:t xml:space="preserve"> </w:t>
      </w:r>
      <w:r>
        <w:rPr>
          <w:rFonts w:ascii="Times New Roman" w:hAnsi="Times New Roman" w:eastAsia="SimSun"/>
          <w:lang w:val="en-US" w:eastAsia="zh-CN"/>
        </w:rPr>
        <w:t xml:space="preserve">2025: 35331–66.</w:t>
      </w:r>
      <w:r>
        <w:rPr>
          <w:rFonts w:ascii="Times New Roman" w:hAnsi="Times New Roman" w:eastAsia="SimSun"/>
          <w:lang w:val="en-US" w:eastAsia="zh-CN"/>
        </w:rPr>
        <w:t xml:space="preserve"> </w:t>
      </w:r>
      <w:hyperlink r:id="rId129">
        <w:r>
          <w:rPr>
            <w:rStyle w:val="Hyperlink"/>
          </w:rPr>
          <w:t xml:space="preserve">https://proceedings.iclr.cc/paper_files/paper/2025/hash/5750f91d8fb9d5c02bd8ad2c3b44456b-Abstract-Conference.html</w:t>
        </w:r>
      </w:hyperlink>
      <w:r>
        <w:rPr>
          <w:rFonts w:ascii="Times New Roman" w:hAnsi="Times New Roman" w:eastAsia="SimSun"/>
          <w:lang w:val="en-US" w:eastAsia="zh-CN"/>
        </w:rPr>
        <w:t xml:space="preserve">.</w:t>
      </w:r>
    </w:p>
    <w:bookmarkEnd w:id="130"/>
    <w:bookmarkStart w:id="132" w:name="ref-L36"/>
    <w:p>
      <w:pPr>
        <w:pStyle w:val="Bibliography"/>
      </w:pPr>
      <w:r>
        <w:rPr>
          <w:rFonts w:ascii="Times New Roman" w:hAnsi="Times New Roman" w:eastAsia="SimSun"/>
          <w:lang w:val="en-US" w:eastAsia="zh-CN"/>
        </w:rPr>
        <w:t xml:space="preserve">Zhang, Yifan, Xinkui Zhao, Sai Liu, Hengxuan Lou, Guanjie Cheng, and Chang Liu. 2026.</w:t>
      </w:r>
      <w:r>
        <w:rPr>
          <w:rFonts w:ascii="Times New Roman" w:hAnsi="Times New Roman" w:eastAsia="SimSun"/>
          <w:lang w:val="en-US" w:eastAsia="zh-CN"/>
        </w:rPr>
        <w:t xml:space="preserve"> </w:t>
      </w:r>
      <w:r>
        <w:rPr>
          <w:rFonts w:ascii="Times New Roman" w:hAnsi="Times New Roman" w:eastAsia="SimSun"/>
          <w:lang w:val="en-US" w:eastAsia="zh-CN"/>
        </w:rPr>
        <w:t xml:space="preserve">“FAVA: Formal Authorization for Verified Agents with Evidence-Backed Permission Graphs.”</w:t>
      </w:r>
      <w:r>
        <w:rPr>
          <w:rFonts w:ascii="Times New Roman" w:hAnsi="Times New Roman" w:eastAsia="SimSun"/>
          <w:lang w:val="en-US" w:eastAsia="zh-CN"/>
        </w:rPr>
        <w:t xml:space="preserve"> </w:t>
      </w:r>
      <w:hyperlink r:id="rId131">
        <w:r>
          <w:rPr>
            <w:rStyle w:val="Hyperlink"/>
          </w:rPr>
          <w:t xml:space="preserve">https://arxiv.org/abs/2607.27267</w:t>
        </w:r>
      </w:hyperlink>
      <w:r>
        <w:rPr>
          <w:rFonts w:ascii="Times New Roman" w:hAnsi="Times New Roman" w:eastAsia="SimSun"/>
          <w:lang w:val="en-US" w:eastAsia="zh-CN"/>
        </w:rPr>
        <w:t xml:space="preserve">.</w:t>
      </w:r>
    </w:p>
    <w:bookmarkEnd w:id="132"/>
    <w:bookmarkEnd w:id="133"/>
    <w:bookmarkEnd w:id="134"/>
    <w:bookmarkEnd w:id="135"/>
    <w:sectPr>
      <w:headerReference r:id="rId9" w:type="default"/>
      <w:footerReference r:id="rId10" w:type="default"/>
      <w:type w:val="continuous"/>
      <w:pgSz w:h="15840" w:w="12240"/>
      <w:pgMar w:bottom="1440" w:footer="708" w:header="708"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Microsoft YaHei"/>
        <w:lang w:val="en-US" w:eastAsia="zh-CN"/>
      </w:rPr>
      <w:t>工具型 LLM 智能体的运行时授权</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eastAsia="SimSun" w:hAnsi="Times New Roman"/>
      <w:b w:val="0"/>
      <w:color w:val="000000"/>
      <w:sz w:val="22"/>
      <w:lang w:val="en-US" w:eastAsia="zh-CN"/>
    </w:rPr>
  </w:style>
  <w:style w:styleId="BodyText" w:type="paragraph">
    <w:name w:val="Body Text"/>
    <w:basedOn w:val="Normal"/>
    <w:link w:val="BodyTextChar"/>
    <w:pPr>
      <w:spacing w:after="120" w:before="0" w:line="276" w:lineRule="auto"/>
      <w:jc w:val="both"/>
    </w:pPr>
    <w:qFormat/>
    <w:rPr>
      <w:rFonts w:ascii="Times New Roman" w:eastAsia="SimSun" w:hAnsi="Times New Roman"/>
      <w:b w:val="0"/>
      <w:color w:val="000000"/>
      <w:sz w:val="22"/>
      <w:lang w:val="en-US" w:eastAsia="zh-CN"/>
    </w:rPr>
  </w:style>
  <w:style w:customStyle="1" w:styleId="FirstParagraph" w:type="paragraph">
    <w:name w:val="First Paragraph"/>
    <w:basedOn w:val="BodyText"/>
    <w:next w:val="BodyText"/>
    <w:qFormat/>
    <w:pPr>
      <w:spacing w:after="120" w:before="0" w:line="276" w:lineRule="auto"/>
      <w:jc w:val="both"/>
    </w:pPr>
    <w:rPr>
      <w:rFonts w:ascii="Times New Roman" w:eastAsia="SimSun" w:hAnsi="Times New Roman"/>
      <w:b w:val="0"/>
      <w:color w:val="000000"/>
      <w:sz w:val="22"/>
      <w:lang w:val="en-US" w:eastAsia="zh-CN"/>
    </w:rPr>
  </w:style>
  <w:style w:customStyle="1" w:styleId="Compact" w:type="paragraph">
    <w:name w:val="Compact"/>
    <w:basedOn w:val="BodyText"/>
    <w:qFormat/>
    <w:pPr>
      <w:spacing w:after="36" w:before="36"/>
    </w:pPr>
    <w:rPr>
      <w:rFonts w:ascii="Times New Roman" w:hAnsi="Times New Roman" w:eastAsia="SimSun"/>
      <w:lang w:val="en-US" w:eastAsia="zh-CN"/>
    </w:rPr>
  </w:style>
  <w:style w:styleId="Title" w:type="paragraph">
    <w:name w:val="Title"/>
    <w:basedOn w:val="Normal"/>
    <w:next w:val="BodyText"/>
    <w:qFormat/>
    <w:pPr>
      <w:keepNext/>
      <w:keepLines/>
      <w:spacing w:after="240" w:before="0"/>
      <w:jc w:val="center"/>
    </w:pPr>
    <w:rPr>
      <w:rFonts w:ascii="Times New Roman" w:asciiTheme="majorHAnsi" w:cstheme="majorBidi" w:eastAsia="Microsoft YaHei" w:eastAsiaTheme="majorEastAsia" w:hAnsi="Times New Roman" w:hAnsiTheme="majorHAnsi"/>
      <w:b/>
      <w:bCs/>
      <w:color w:val="000000"/>
      <w:sz w:val="32"/>
      <w:szCs w:val="36"/>
      <w:lang w:val="en-US" w:eastAsia="zh-CN"/>
    </w:rPr>
  </w:style>
  <w:style w:styleId="Subtitle" w:type="paragraph">
    <w:name w:val="Subtitle"/>
    <w:basedOn w:val="Title"/>
    <w:next w:val="BodyText"/>
    <w:qFormat/>
    <w:pPr>
      <w:keepNext/>
      <w:keepLines/>
      <w:spacing w:after="240" w:before="240"/>
      <w:jc w:val="center"/>
    </w:pPr>
    <w:rPr>
      <w:rFonts w:ascii="Times New Roman" w:hAnsi="Times New Roman" w:eastAsia="SimSun"/>
      <w:sz w:val="30"/>
      <w:szCs w:val="30"/>
      <w:lang w:val="en-US" w:eastAsia="zh-CN"/>
    </w:rPr>
  </w:style>
  <w:style w:customStyle="1" w:styleId="Author" w:type="paragraph">
    <w:name w:val="Author"/>
    <w:next w:val="BodyText"/>
    <w:qFormat/>
    <w:pPr>
      <w:keepNext/>
      <w:keepLines/>
      <w:jc w:val="center"/>
    </w:pPr>
    <w:rPr>
      <w:rFonts w:ascii="Times New Roman" w:hAnsi="Times New Roman" w:eastAsia="SimSun"/>
      <w:lang w:val="en-US" w:eastAsia="zh-CN"/>
    </w:rPr>
  </w:style>
  <w:style w:styleId="Date" w:type="paragraph">
    <w:name w:val="Date"/>
    <w:next w:val="BodyText"/>
    <w:qFormat/>
    <w:pPr>
      <w:keepNext/>
      <w:keepLines/>
      <w:jc w:val="center"/>
    </w:pPr>
    <w:rPr>
      <w:rFonts w:ascii="Times New Roman" w:hAnsi="Times New Roman" w:eastAsia="SimSun"/>
      <w:lang w:val="en-US" w:eastAsia="zh-CN"/>
    </w:rPr>
  </w:style>
  <w:style w:customStyle="1" w:styleId="Abstract" w:type="paragraph">
    <w:name w:val="Abstract"/>
    <w:basedOn w:val="Normal"/>
    <w:next w:val="BodyText"/>
    <w:qFormat/>
    <w:pPr>
      <w:keepNext/>
      <w:keepLines/>
      <w:spacing w:after="300" w:before="300"/>
    </w:pPr>
    <w:rPr>
      <w:rFonts w:ascii="Times New Roman" w:hAnsi="Times New Roman" w:eastAsia="SimSun"/>
      <w:sz w:val="20"/>
      <w:szCs w:val="20"/>
      <w:lang w:val="en-US" w:eastAsia="zh-CN"/>
    </w:rPr>
  </w:style>
  <w:style w:styleId="Bibliography" w:type="paragraph">
    <w:name w:val="Bibliography"/>
    <w:basedOn w:val="Normal"/>
    <w:next w:val="Bibliography"/>
    <w:qFormat/>
    <w:pPr/>
    <w:rPr>
      <w:rFonts w:ascii="Times New Roman" w:hAnsi="Times New Roman" w:eastAsia="SimSun"/>
      <w:lang w:val="en-US" w:eastAsia="zh-C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eastAsia="Microsoft YaHei"/>
      <w:b/>
      <w:bCs/>
      <w:color w:themeColor="accent1" w:val="4F81BD"/>
      <w:sz w:val="32"/>
      <w:szCs w:val="32"/>
      <w:lang w:val="en-US" w:eastAsia="zh-CN"/>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eastAsia="Microsoft YaHei"/>
      <w:b/>
      <w:bCs/>
      <w:color w:themeColor="accent1" w:val="4F81BD"/>
      <w:sz w:val="28"/>
      <w:szCs w:val="28"/>
      <w:lang w:val="en-US" w:eastAsia="zh-CN"/>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eastAsia="Microsoft YaHei"/>
      <w:b/>
      <w:bCs/>
      <w:color w:themeColor="accent1" w:val="4F81BD"/>
      <w:sz w:val="24"/>
      <w:szCs w:val="24"/>
      <w:lang w:val="en-US" w:eastAsia="zh-CN"/>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eastAsia="Microsoft YaHei"/>
      <w:i/>
      <w:bCs/>
      <w:color w:themeColor="accent1" w:val="4F81BD"/>
      <w:sz w:val="24"/>
      <w:szCs w:val="24"/>
      <w:lang w:val="en-US" w:eastAsia="zh-CN"/>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eastAsia="Microsoft YaHei"/>
      <w:iCs/>
      <w:color w:themeColor="accent1" w:val="4F81BD"/>
      <w:sz w:val="24"/>
      <w:szCs w:val="24"/>
      <w:lang w:val="en-US" w:eastAsia="zh-CN"/>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eastAsia="Microsoft YaHei"/>
      <w:color w:themeColor="accent1" w:val="4F81BD"/>
      <w:sz w:val="24"/>
      <w:szCs w:val="24"/>
      <w:lang w:val="en-US" w:eastAsia="zh-C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lang w:val="en-US" w:eastAsia="zh-CN"/>
    </w:rPr>
  </w:style>
  <w:style w:styleId="FootnoteText" w:type="paragraph">
    <w:name w:val="Footnote Text"/>
    <w:basedOn w:val="Normal"/>
    <w:next w:val="FootnoteText"/>
    <w:uiPriority w:val="9"/>
    <w:unhideWhenUsed/>
    <w:qFormat/>
    <w:rPr>
      <w:rFonts w:ascii="Times New Roman" w:hAnsi="Times New Roman" w:eastAsia="SimSun"/>
      <w:lang w:val="en-US" w:eastAsia="zh-C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SimSun"/>
      <w:b/>
      <w:lang w:val="en-US" w:eastAsia="zh-CN"/>
    </w:rPr>
  </w:style>
  <w:style w:customStyle="1" w:styleId="Definition" w:type="paragraph">
    <w:name w:val="Definition"/>
    <w:basedOn w:val="Normal"/>
    <w:rPr>
      <w:rFonts w:ascii="Times New Roman" w:hAnsi="Times New Roman" w:eastAsia="SimSun"/>
      <w:lang w:val="en-US" w:eastAsia="zh-CN"/>
    </w:rPr>
  </w:style>
  <w:style w:styleId="Caption" w:type="paragraph">
    <w:name w:val="Caption"/>
    <w:basedOn w:val="Normal"/>
    <w:link w:val="BodyTextChar"/>
    <w:pPr>
      <w:spacing w:after="120" w:before="0"/>
    </w:pPr>
    <w:rPr>
      <w:rFonts w:ascii="Times New Roman" w:hAnsi="Times New Roman" w:eastAsia="SimSun"/>
      <w:i/>
      <w:lang w:val="en-US" w:eastAsia="zh-CN"/>
    </w:rPr>
  </w:style>
  <w:style w:customStyle="1" w:styleId="TableCaption" w:type="paragraph">
    <w:name w:val="Table Caption"/>
    <w:basedOn w:val="Caption"/>
    <w:pPr>
      <w:keepNext/>
    </w:pPr>
    <w:rPr>
      <w:rFonts w:ascii="Times New Roman" w:hAnsi="Times New Roman" w:eastAsia="SimSun"/>
      <w:lang w:val="en-US" w:eastAsia="zh-CN"/>
    </w:rPr>
  </w:style>
  <w:style w:customStyle="1" w:styleId="ImageCaption" w:type="paragraph">
    <w:name w:val="Image Caption"/>
    <w:basedOn w:val="Caption"/>
    <w:rPr>
      <w:rFonts w:ascii="Times New Roman" w:hAnsi="Times New Roman" w:eastAsia="SimSun"/>
      <w:lang w:val="en-US" w:eastAsia="zh-CN"/>
    </w:rPr>
  </w:style>
  <w:style w:customStyle="1" w:styleId="Figure" w:type="paragraph">
    <w:name w:val="Figure"/>
    <w:basedOn w:val="Normal"/>
    <w:rPr>
      <w:rFonts w:ascii="Times New Roman" w:hAnsi="Times New Roman" w:eastAsia="SimSun"/>
      <w:lang w:val="en-US" w:eastAsia="zh-CN"/>
    </w:rPr>
  </w:style>
  <w:style w:customStyle="1" w:styleId="CaptionedFigure" w:type="paragraph">
    <w:name w:val="Captioned Figure"/>
    <w:basedOn w:val="Figure"/>
    <w:pPr>
      <w:keepNext/>
    </w:pPr>
    <w:rPr>
      <w:rFonts w:ascii="Times New Roman" w:hAnsi="Times New Roman" w:eastAsia="SimSun"/>
      <w:lang w:val="en-US" w:eastAsia="zh-C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SimSun"/>
      <w:b w:val="0"/>
      <w:bCs w:val="0"/>
      <w:color w:themeColor="accent1" w:themeShade="BF" w:val="365F91"/>
      <w:lang w:val="en-US" w:eastAsia="zh-CN"/>
    </w:rPr>
  </w:style>
  <w:style w:customStyle="1" w:styleId="SourceCode" w:type="paragraph">
    <w:name w:val="Source Code"/>
    <w:basedOn w:val="Normal"/>
    <w:link w:val="VerbatimChar"/>
    <w:pPr>
      <w:wordWrap w:val="off"/>
    </w:pPr>
    <w:rPr>
      <w:rFonts w:ascii="Times New Roman" w:hAnsi="Times New Roman" w:eastAsia="SimSun"/>
      <w:lang w:val="en-US" w:eastAsia="zh-CN"/>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70" Type="http://schemas.openxmlformats.org/officeDocument/2006/relationships/image" Target="media/rId70.png"/><Relationship Id="rId71" Type="http://schemas.openxmlformats.org/officeDocument/2006/relationships/image" Target="media/rId71.png"/><Relationship Id="rId72" Type="http://schemas.openxmlformats.org/officeDocument/2006/relationships/image" Target="media/rId72.png"/><Relationship Id="rId73" Type="http://schemas.openxmlformats.org/officeDocument/2006/relationships/image" Target="media/rId73.png"/><Relationship Id="rId74" Type="http://schemas.openxmlformats.org/officeDocument/2006/relationships/image" Target="media/rId74.png"/><Relationship Id="rId103" Type="http://schemas.openxmlformats.org/officeDocument/2006/relationships/hyperlink" Target="https://arxiv.org/abs/2403.14720" TargetMode="External"/><Relationship Id="rId119" Type="http://schemas.openxmlformats.org/officeDocument/2006/relationships/hyperlink" Target="https://arxiv.org/abs/2404.13208" TargetMode="External"/><Relationship Id="rId97" Type="http://schemas.openxmlformats.org/officeDocument/2006/relationships/hyperlink" Target="https://arxiv.org/abs/2503.18813" TargetMode="External"/><Relationship Id="rId115" Type="http://schemas.openxmlformats.org/officeDocument/2006/relationships/hyperlink" Target="https://arxiv.org/abs/2504.11703" TargetMode="External"/><Relationship Id="rId113" Type="http://schemas.openxmlformats.org/officeDocument/2006/relationships/hyperlink" Target="https://arxiv.org/abs/2510.09023" TargetMode="External"/><Relationship Id="rId101" Type="http://schemas.openxmlformats.org/officeDocument/2006/relationships/hyperlink" Target="https://arxiv.org/abs/2604.10134" TargetMode="External"/><Relationship Id="rId125" Type="http://schemas.openxmlformats.org/officeDocument/2006/relationships/hyperlink" Target="https://arxiv.org/abs/2605.03378" TargetMode="External"/><Relationship Id="rId123" Type="http://schemas.openxmlformats.org/officeDocument/2006/relationships/hyperlink" Target="https://arxiv.org/abs/2605.26497" TargetMode="External"/><Relationship Id="rId109" Type="http://schemas.openxmlformats.org/officeDocument/2006/relationships/hyperlink" Target="https://arxiv.org/abs/2607.20827" TargetMode="External"/><Relationship Id="rId131" Type="http://schemas.openxmlformats.org/officeDocument/2006/relationships/hyperlink" Target="https://arxiv.org/abs/2607.27267" TargetMode="External"/><Relationship Id="rId121" Type="http://schemas.openxmlformats.org/officeDocument/2006/relationships/hyperlink" Target="https://conf.researchr.org/details/icse-2026/icse-2026-research-track/29/AgentSpec-Customizable-Runtime-Enforcement-for-Safe-and-Reliable-LLM-Agents" TargetMode="External"/><Relationship Id="rId117" Type="http://schemas.openxmlformats.org/officeDocument/2006/relationships/hyperlink" Target="https://doi.org/10.1145/3713082.3730378" TargetMode="External"/><Relationship Id="rId127" Type="http://schemas.openxmlformats.org/officeDocument/2006/relationships/hyperlink" Target="https://doi.org/10.18653/v1/2024.findings-acl.624" TargetMode="External"/><Relationship Id="rId105" Type="http://schemas.openxmlformats.org/officeDocument/2006/relationships/hyperlink" Target="https://doi.org/10.18653/v1/2025.acl-long.1435" TargetMode="External"/><Relationship Id="rId95" Type="http://schemas.openxmlformats.org/officeDocument/2006/relationships/hyperlink" Target="https://doi.org/10.18653/v1/2025.acl-long.890" TargetMode="External"/><Relationship Id="rId91" Type="http://schemas.openxmlformats.org/officeDocument/2006/relationships/hyperlink" Target="https://doi.org/10.18653/v1/2025.emnlp-main.53" TargetMode="External"/><Relationship Id="rId111" Type="http://schemas.openxmlformats.org/officeDocument/2006/relationships/hyperlink" Target="https://doi.org/10.18653/v1/2026.acl-long.443" TargetMode="External"/><Relationship Id="rId99" Type="http://schemas.openxmlformats.org/officeDocument/2006/relationships/hyperlink" Target="https://doi.org/10.52202/079017-2636" TargetMode="External"/><Relationship Id="rId107" Type="http://schemas.openxmlformats.org/officeDocument/2006/relationships/hyperlink" Target="https://doi.org/10.52202/085713-2791" TargetMode="External"/><Relationship Id="rId129" Type="http://schemas.openxmlformats.org/officeDocument/2006/relationships/hyperlink" Target="https://proceedings.iclr.cc/paper_files/paper/2025/hash/5750f91d8fb9d5c02bd8ad2c3b44456b-Abstract-Conference.html" TargetMode="External"/><Relationship Id="rId93" Type="http://schemas.openxmlformats.org/officeDocument/2006/relationships/hyperlink" Target="https://www.usenix.org/conference/usenixsecurity25/presentation/chen-sizhe" TargetMode="External"/></Relationships>
</file>

<file path=word/_rels/footnotes.xml.rels><?xml version='1.0' encoding='UTF-8' standalone='yes'?>
<Relationships xmlns="http://schemas.openxmlformats.org/package/2006/relationships"><Relationship Id="rId103" Type="http://schemas.openxmlformats.org/officeDocument/2006/relationships/hyperlink" Target="https://arxiv.org/abs/2403.14720" TargetMode="External"/><Relationship Id="rId119" Type="http://schemas.openxmlformats.org/officeDocument/2006/relationships/hyperlink" Target="https://arxiv.org/abs/2404.13208" TargetMode="External"/><Relationship Id="rId97" Type="http://schemas.openxmlformats.org/officeDocument/2006/relationships/hyperlink" Target="https://arxiv.org/abs/2503.18813" TargetMode="External"/><Relationship Id="rId115" Type="http://schemas.openxmlformats.org/officeDocument/2006/relationships/hyperlink" Target="https://arxiv.org/abs/2504.11703" TargetMode="External"/><Relationship Id="rId113" Type="http://schemas.openxmlformats.org/officeDocument/2006/relationships/hyperlink" Target="https://arxiv.org/abs/2510.09023" TargetMode="External"/><Relationship Id="rId101" Type="http://schemas.openxmlformats.org/officeDocument/2006/relationships/hyperlink" Target="https://arxiv.org/abs/2604.10134" TargetMode="External"/><Relationship Id="rId125" Type="http://schemas.openxmlformats.org/officeDocument/2006/relationships/hyperlink" Target="https://arxiv.org/abs/2605.03378" TargetMode="External"/><Relationship Id="rId123" Type="http://schemas.openxmlformats.org/officeDocument/2006/relationships/hyperlink" Target="https://arxiv.org/abs/2605.26497" TargetMode="External"/><Relationship Id="rId109" Type="http://schemas.openxmlformats.org/officeDocument/2006/relationships/hyperlink" Target="https://arxiv.org/abs/2607.20827" TargetMode="External"/><Relationship Id="rId131" Type="http://schemas.openxmlformats.org/officeDocument/2006/relationships/hyperlink" Target="https://arxiv.org/abs/2607.27267" TargetMode="External"/><Relationship Id="rId121" Type="http://schemas.openxmlformats.org/officeDocument/2006/relationships/hyperlink" Target="https://conf.researchr.org/details/icse-2026/icse-2026-research-track/29/AgentSpec-Customizable-Runtime-Enforcement-for-Safe-and-Reliable-LLM-Agents" TargetMode="External"/><Relationship Id="rId117" Type="http://schemas.openxmlformats.org/officeDocument/2006/relationships/hyperlink" Target="https://doi.org/10.1145/3713082.3730378" TargetMode="External"/><Relationship Id="rId127" Type="http://schemas.openxmlformats.org/officeDocument/2006/relationships/hyperlink" Target="https://doi.org/10.18653/v1/2024.findings-acl.624" TargetMode="External"/><Relationship Id="rId105" Type="http://schemas.openxmlformats.org/officeDocument/2006/relationships/hyperlink" Target="https://doi.org/10.18653/v1/2025.acl-long.1435" TargetMode="External"/><Relationship Id="rId95" Type="http://schemas.openxmlformats.org/officeDocument/2006/relationships/hyperlink" Target="https://doi.org/10.18653/v1/2025.acl-long.890" TargetMode="External"/><Relationship Id="rId91" Type="http://schemas.openxmlformats.org/officeDocument/2006/relationships/hyperlink" Target="https://doi.org/10.18653/v1/2025.emnlp-main.53" TargetMode="External"/><Relationship Id="rId111" Type="http://schemas.openxmlformats.org/officeDocument/2006/relationships/hyperlink" Target="https://doi.org/10.18653/v1/2026.acl-long.443" TargetMode="External"/><Relationship Id="rId99" Type="http://schemas.openxmlformats.org/officeDocument/2006/relationships/hyperlink" Target="https://doi.org/10.52202/079017-2636" TargetMode="External"/><Relationship Id="rId107" Type="http://schemas.openxmlformats.org/officeDocument/2006/relationships/hyperlink" Target="https://doi.org/10.52202/085713-2791" TargetMode="External"/><Relationship Id="rId129" Type="http://schemas.openxmlformats.org/officeDocument/2006/relationships/hyperlink" Target="https://proceedings.iclr.cc/paper_files/paper/2025/hash/5750f91d8fb9d5c02bd8ad2c3b44456b-Abstract-Conference.html" TargetMode="External"/><Relationship Id="rId93" Type="http://schemas.openxmlformats.org/officeDocument/2006/relationships/hyperlink" Target="https://www.usenix.org/conference/usenixsecurity25/presentation/chen-sizh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上下文与来源不确定性下工具型大语言模型智能体的运行时授权评估</dc:title>
  <dc:creator/>
  <cp:keywords/>
  <dcterms:created xsi:type="dcterms:W3CDTF">2026-08-20T06:09:49Z</dcterms:created>
  <dcterms:modified xsi:type="dcterms:W3CDTF">2026-08-20T06:09:49Z</dcterms:modified>
  <dc:subject>JISA 中文内部对照稿</dc:subject>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E:\M3_PI_Guard_test\docs\research\paper_v2\manuscript\references_v1.bib</vt:lpwstr>
  </property>
  <property fmtid="{D5CDD505-2E9C-101B-9397-08002B2CF9AE}" pid="3" name="reference-section-title">
    <vt:lpwstr>参考文献</vt:lpwstr>
  </property>
</Properties>
</file>