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1" w:name="Xd9efb7391f2a5550bca577963c4515c86212927"/>
    <w:p>
      <w:pPr>
        <w:pStyle w:val="Heading1"/>
        <w:keepNext/>
      </w:pPr>
      <w:r>
        <w:t xml:space="preserve">Evaluating Runtime Authorization Under Context and Provenance Uncertainty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large language model agents can turn prompt injection into external</w:t>
      </w:r>
      <w:r>
        <w:t xml:space="preserve"> </w:t>
      </w:r>
      <w:r>
        <w:t xml:space="preserve">actions, but measured security depends on both the runtime mechanism and its</w:t>
      </w:r>
      <w:r>
        <w:t xml:space="preserve"> </w:t>
      </w:r>
      <w:r>
        <w:t xml:space="preserve">authorization information. We use an online-state projection excluding</w:t>
      </w:r>
      <w:r>
        <w:t xml:space="preserve"> </w:t>
      </w:r>
      <w:r>
        <w:t xml:space="preserve">evaluator and gold fields, paired policy-only and provenance-aware enforcement,</w:t>
      </w:r>
      <w:r>
        <w:t xml:space="preserve"> </w:t>
      </w:r>
      <w:r>
        <w:t xml:space="preserve">and joint security, utility, burden, failure, latency, and cost measurements.</w:t>
      </w:r>
    </w:p>
    <w:p>
      <w:pPr>
        <w:pStyle w:val="BodyText"/>
      </w:pPr>
      <w:r>
        <w:t xml:space="preserve">We reanalyze 7,353 DeepSeek records and 40 defense-aware adaptive</w:t>
      </w:r>
      <w:r>
        <w:t xml:space="preserve"> </w:t>
      </w:r>
      <w:r>
        <w:t xml:space="preserve">tasks. In a 5,082-record V4 Pro Public matrix, M3-full produced 38/600 unsafe</w:t>
      </w:r>
      <w:r>
        <w:t xml:space="preserve"> </w:t>
      </w:r>
      <w:r>
        <w:t xml:space="preserve">effects versus 13/600 for policy-only, while both completed 49/168 benign tool</w:t>
      </w:r>
      <w:r>
        <w:t xml:space="preserve"> </w:t>
      </w:r>
      <w:r>
        <w:t xml:space="preserve">tasks. A 1,791-record V4 Flash matrix showed the same security</w:t>
      </w:r>
      <w:r>
        <w:t xml:space="preserve"> </w:t>
      </w:r>
      <w:r>
        <w:t xml:space="preserve">direction (24/400 versus 12/400). Adaptive search found first unsafe effects</w:t>
      </w:r>
      <w:r>
        <w:t xml:space="preserve"> </w:t>
      </w:r>
      <w:r>
        <w:t xml:space="preserve">for 4/40 tasks by query 50 and 18/40 by query 200.</w:t>
      </w:r>
    </w:p>
    <w:p>
      <w:pPr>
        <w:pStyle w:val="BodyText"/>
      </w:pPr>
      <w:r>
        <w:t xml:space="preserve">A frozen 900-work-item V4 Pro experiment crossed two Guard variants with</w:t>
      </w:r>
      <w:r>
        <w:t xml:space="preserve"> </w:t>
      </w:r>
      <w:r>
        <w:t xml:space="preserve">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</w:t>
      </w:r>
      <w:r>
        <w:t xml:space="preserve"> </w:t>
      </w:r>
      <w:r>
        <w:t xml:space="preserve">180 paired AgentDojo and M3-v2 cases. Three of four main cells had 0/100 unsafe</w:t>
      </w:r>
      <w:r>
        <w:t xml:space="preserve"> </w:t>
      </w:r>
      <w:r>
        <w:t xml:space="preserve">effects and the fourth had 1/100.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percentage points for policy-only and</w:t>
      </w:r>
      <w:r>
        <w:t xml:space="preserve"> </w:t>
      </w:r>
      <w:r>
        <w:t xml:space="preserve">15.00 for M3-full. It eliminated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but increased records with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to</w:t>
      </w:r>
      <w:r>
        <w:t xml:space="preserve"> </w:t>
      </w:r>
      <w:r>
        <w:t xml:space="preserve">45.00–48.89%, failures to about 24%, and p95 latency to about 19.5 seconds.</w:t>
      </w:r>
    </w:p>
    <w:p>
      <w:pPr>
        <w:pStyle w:val="BodyText"/>
      </w:pPr>
      <w:r>
        <w:t xml:space="preserve">Authorization construction can therefore alter security–utility measurements</w:t>
      </w:r>
      <w:r>
        <w:t xml:space="preserve"> </w:t>
      </w:r>
      <w:r>
        <w:t xml:space="preserve">even when attack rates appear stable. The evaluated provenance-aware</w:t>
      </w:r>
      <w:r>
        <w:t xml:space="preserve"> </w:t>
      </w:r>
      <w:r>
        <w:t xml:space="preserve">extensions showed no stable gain over policy-only. A Gemini sample</w:t>
      </w:r>
      <w:r>
        <w:t xml:space="preserve"> </w:t>
      </w:r>
      <w:r>
        <w:t xml:space="preserve">remains pending and supports no cross-provider claim.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Bagdasarian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confirmation burden,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 Module contribution.</w:t>
      </w:r>
      <w:r>
        <w:t xml:space="preserve"> </w:t>
      </w:r>
      <w:r>
        <w:t xml:space="preserve">Does provenance, temporal/data-flow</w:t>
      </w:r>
      <w:r>
        <w:t xml:space="preserve"> </w:t>
      </w:r>
      <w:r>
        <w:t xml:space="preserve">enforcement, and confirmation add security beyond the same runtime with</w:t>
      </w:r>
      <w:r>
        <w:t xml:space="preserve"> </w:t>
      </w:r>
      <w:r>
        <w:t xml:space="preserve">policy-only enforcement, and what does it cost operationally?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these directions</w:t>
      </w:r>
      <w:r>
        <w:t xml:space="preserve"> </w:t>
      </w:r>
      <w:r>
        <w:t xml:space="preserve">stable across AgentDojo, M3-v2, a second provider, and the completed</w:t>
      </w:r>
      <w:r>
        <w:t xml:space="preserve"> </w:t>
      </w:r>
      <w:r>
        <w:t xml:space="preserve">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policy-only</w:t>
      </w:r>
      <w:r>
        <w:t xml:space="preserve"> </w:t>
      </w:r>
      <w:r>
        <w:t xml:space="preserve">and M3-full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</w:t>
      </w:r>
      <w:r>
        <w:t xml:space="preserve"> </w:t>
      </w:r>
      <w:r>
        <w:t xml:space="preserve">cross-provider subset adds a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empirical-motivation-and-study-framing"/>
    <w:p>
      <w:pPr>
        <w:pStyle w:val="Heading3"/>
        <w:keepNext/>
      </w:pPr>
      <w:r>
        <w:t xml:space="preserve">1.5 Empirical motivation and study framing</w:t>
      </w:r>
    </w:p>
    <w:p>
      <w:pPr>
        <w:pStyle w:val="FirstParagraph"/>
      </w:pPr>
      <w:r>
        <w:t xml:space="preserve">The completed medium falsification study did not support an incremental</w:t>
      </w:r>
      <w:r>
        <w:t xml:space="preserve"> </w:t>
      </w:r>
      <w:r>
        <w:t xml:space="preserve">mechanism claim. M3-full reduced</w:t>
      </w:r>
      <w:r>
        <w:t xml:space="preserve"> </w:t>
      </w:r>
      <w:r>
        <w:t xml:space="preserve">unsafe effects from 8/36 under the structural condition to 0/36, but M3</w:t>
      </w:r>
      <w:r>
        <w:t xml:space="preserve"> </w:t>
      </w:r>
      <w:r>
        <w:t xml:space="preserve">policy-only also produced 0/36. Benign tool completion fell from 12/24 under</w:t>
      </w:r>
      <w:r>
        <w:t xml:space="preserve"> </w:t>
      </w:r>
      <w:r>
        <w:t xml:space="preserve">the structural condition to 6/24 under M3-full, violating the preregistered</w:t>
      </w:r>
      <w:r>
        <w:t xml:space="preserve"> </w:t>
      </w:r>
      <w:r>
        <w:t xml:space="preserve">non-inferiority margin. These observations motivate an empirical study of</w:t>
      </w:r>
      <w:r>
        <w:t xml:space="preserve"> </w:t>
      </w:r>
      <w:r>
        <w:t xml:space="preserve">authorization uncertainty and the security–utility frontier rather than a</w:t>
      </w:r>
      <w:r>
        <w:t xml:space="preserve"> </w:t>
      </w:r>
      <w:r>
        <w:t xml:space="preserve">claim that M3-full is a new or state-of-the-art defense.</w:t>
      </w:r>
    </w:p>
    <w:p>
      <w:pPr>
        <w:pStyle w:val="BodyText"/>
      </w:pPr>
      <w:r>
        <w:t xml:space="preserve">The larger, independently reproduced Public primary matrix reinforced this</w:t>
      </w:r>
      <w:r>
        <w:t xml:space="preserve"> </w:t>
      </w:r>
      <w:r>
        <w:t xml:space="preserve">finding. Across 600 attacks, M3-full reduced unsafe effects from 133 under</w:t>
      </w:r>
      <w:r>
        <w:t xml:space="preserve"> </w:t>
      </w:r>
      <w:r>
        <w:t xml:space="preserve">the structural condition to 38, but policy-only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mechanism therefore shows neither incremental</w:t>
      </w:r>
      <w:r>
        <w:t xml:space="preserve"> </w:t>
      </w:r>
      <w:r>
        <w:t xml:space="preserve">security nor utility value beyond policy-only in the primary-model evidence.</w:t>
      </w:r>
      <w:r>
        <w:t xml:space="preserve"> </w:t>
      </w:r>
      <w:r>
        <w:t xml:space="preserve">The 1.4955% retained diagnostic fraction also exceeds the predefined 1%</w:t>
      </w:r>
      <w:r>
        <w:t xml:space="preserve"> </w:t>
      </w:r>
      <w:r>
        <w:t xml:space="preserve">threshold for a clean mechanism-quality claim.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reduced benign-tool completion, replaced ASK with much</w:t>
      </w:r>
      <w:r>
        <w:t xml:space="preserve"> </w:t>
      </w:r>
      <w:r>
        <w:t xml:space="preserve">more frequent DENY, and increased failure and latency. M3-full showed no stable</w:t>
      </w:r>
      <w:r>
        <w:t xml:space="preserve"> </w:t>
      </w:r>
      <w:r>
        <w:t xml:space="preserve">incremental security or utility advantage over policy-only. These unfavorable</w:t>
      </w:r>
      <w:r>
        <w:t xml:space="preserve"> </w:t>
      </w:r>
      <w:r>
        <w:t xml:space="preserve">results are retained; Gemini remains pending and therefore supports no current</w:t>
      </w:r>
      <w:r>
        <w:t xml:space="preserve"> </w:t>
      </w:r>
      <w:r>
        <w:t xml:space="preserve">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that directly compares policy-only and</w:t>
      </w:r>
      <w:r>
        <w:t xml:space="preserve"> </w:t>
      </w:r>
      <w:r>
        <w:t xml:space="preserve">full provenance/temporal/confirmation enforcement;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 burden,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policy-only and full provenance/temporal/confirmation variants</w:t>
      </w:r>
      <w:r>
        <w:t xml:space="preserve"> </w:t>
      </w:r>
      <w:r>
        <w:t xml:space="preserve">in paired conditions; and 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</w:t>
      </w:r>
      <w:r>
        <w:t xml:space="preserve"> </w:t>
      </w:r>
      <w:r>
        <w:t xml:space="preserve">executed effects under a common evidence contract. These are study-design</w:t>
      </w:r>
      <w:r>
        <w:t xml:space="preserve"> </w:t>
      </w:r>
      <w:r>
        <w:t xml:space="preserve">claims and must stand on 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Guard mechanism while holding the task, attack,</w:t>
      </w:r>
      <w:r>
        <w:t xml:space="preserve"> </w:t>
      </w:r>
      <w:r>
        <w:t xml:space="preserve">provider, model, tool environment, and evaluator 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RQ2: Mechanism contribution.</w:t>
      </w:r>
      <w:r>
        <w:t xml:space="preserve"> </w:t>
      </w:r>
      <w:r>
        <w:t xml:space="preserve">Does the provenance/data-flow/</w:t>
      </w:r>
      <w:r>
        <w:t xml:space="preserve"> </w:t>
      </w:r>
      <w:r>
        <w:t xml:space="preserve">confirmation logic in M3-full improve on the same runtime using policy-only</w:t>
      </w:r>
      <w:r>
        <w:t xml:space="preserve"> </w:t>
      </w:r>
      <w:r>
        <w:t xml:space="preserve">enforcement, and what operational cost does it introduce?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 observed</w:t>
      </w:r>
      <w:r>
        <w:t xml:space="preserve"> </w:t>
      </w:r>
      <w:r>
        <w:t xml:space="preserve">directions stable across AgentDojo, M3-v2, a second provider, and the</w:t>
      </w:r>
      <w:r>
        <w:t xml:space="preserve"> </w:t>
      </w:r>
      <w:r>
        <w:t xml:space="preserve">already completed defense-aware budgets 50 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M3-full underperforms policy-only, or the second</w:t>
      </w:r>
      <w:r>
        <w:t xml:space="preserve"> </w:t>
      </w:r>
      <w:r>
        <w:t xml:space="preserve">provider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Permitted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 policy representation.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 policy-only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policy. Provenance propagation, temporal/data-flow checks, and</w:t>
      </w:r>
      <w:r>
        <w:t xml:space="preserve"> </w:t>
      </w:r>
      <w:r>
        <w:t xml:space="preserve">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M3-full</w:t>
      </w:r>
      <w:r>
        <w:t xml:space="preserve"> </w:t>
      </w:r>
      <w:r>
        <w:t xml:space="preserve">enables policy enforcement 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Gemini subset adds the strongest available peer-reviewed structural</w:t>
      </w:r>
      <w:r>
        <w:t xml:space="preserve"> </w:t>
      </w:r>
      <w:r>
        <w:t xml:space="preserve">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baseline is included to anchor the</w:t>
      </w:r>
      <w:r>
        <w:t xml:space="preserve"> </w:t>
      </w:r>
      <w:r>
        <w:t xml:space="preserve">cross-provider sample, not to support a universal ranking.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regimes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task policy compiled from trusted user intent before</w:t>
      </w:r>
      <w:r>
        <w:t xml:space="preserve"> </w:t>
      </w:r>
      <w:r>
        <w:t xml:space="preserve">untrusted evidence is 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evaluator-derived authorization used only as an oracle</w:t>
      </w:r>
      <w:r>
        <w:t xml:space="preserve"> </w:t>
      </w:r>
      <w:r>
        <w:t xml:space="preserve">sensitivity condition;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a deliberately permissive authorization envelope;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necessary details or constraints are omitted;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the authorization object contains mutually inconsistent</w:t>
      </w:r>
      <w:r>
        <w:t xml:space="preserve"> </w:t>
      </w:r>
      <w:r>
        <w:t xml:space="preserve">constraints that the runtime must resolve or reject.</w:t>
      </w:r>
    </w:p>
    <w:p>
      <w:pPr>
        <w:pStyle w:val="FirstParagraph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Selection is stratified by benchmark, task type, and attack family. Every main</w:t>
      </w:r>
      <w:r>
        <w:t xml:space="preserve"> </w:t>
      </w:r>
      <w:r>
        <w:t xml:space="preserve">case is assigned to four cells: policy-only/</w:t>
      </w:r>
      <w:r>
        <w:rPr>
          <w:rStyle w:val="VerbatimChar"/>
        </w:rPr>
        <w:t xml:space="preserve">auto_compiled</w:t>
      </w:r>
      <w:r>
        <w:t xml:space="preserve">, policy-only/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and M3-full/</w:t>
      </w:r>
      <w:r>
        <w:rPr>
          <w:rStyle w:val="VerbatimChar"/>
        </w:rPr>
        <w:t xml:space="preserve">exact_gold</w:t>
      </w:r>
      <w:r>
        <w:t xml:space="preserve">. This produces</w:t>
      </w:r>
      <w:r>
        <w:t xml:space="preserve"> </w:t>
      </w:r>
      <w:r>
        <w:t xml:space="preserve">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policy-only/</w:t>
      </w:r>
      <w:r>
        <w:rPr>
          <w:rStyle w:val="VerbatimChar"/>
        </w:rPr>
        <w:t xml:space="preserve">auto_compiled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policy-only/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t xml:space="preserve">and M3-full/</w:t>
      </w:r>
      <w:r>
        <w:rPr>
          <w:rStyle w:val="VerbatimChar"/>
        </w:rPr>
        <w:t xml:space="preserve">exact_gold</w:t>
      </w:r>
      <w:r>
        <w:t xml:space="preserve">. The plan contains 450 work items, including a six-item</w:t>
      </w:r>
      <w:r>
        <w:t xml:space="preserve"> </w:t>
      </w:r>
      <w:r>
        <w:t xml:space="preserve">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 rate-limited work item becomes</w:t>
      </w:r>
      <w:r>
        <w:t xml:space="preserve"> </w:t>
      </w:r>
      <w:r>
        <w:t xml:space="preserve">a terminal diagnostic on its third quota-day attempt. If the 450-item plan</w:t>
      </w:r>
      <w:r>
        <w:t xml:space="preserve"> </w:t>
      </w:r>
      <w:r>
        <w:t xml:space="preserve">still cannot be completed after three provider quota days, the observed subset</w:t>
      </w:r>
      <w:r>
        <w:t xml:space="preserve"> </w:t>
      </w:r>
      <w:r>
        <w:t xml:space="preserve">is reported diagnostically, unstarted work items are counted as unavailable,</w:t>
      </w:r>
      <w:r>
        <w:t xml:space="preserve"> </w:t>
      </w:r>
      <w:r>
        <w:t xml:space="preserve">and no cross-provider 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in a</w:t>
      </w:r>
      <w:r>
        <w:t xml:space="preserve"> </w:t>
      </w:r>
      <w:r>
        <w:t xml:space="preserve">restricted local run directory outside the analysis dataset. Exact model</w:t>
      </w:r>
      <w:r>
        <w:t xml:space="preserve"> </w:t>
      </w:r>
      <w:r>
        <w:t xml:space="preserve">identity is checked in the final 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</w:t>
      </w:r>
      <w:r>
        <w:t xml:space="preserve"> </w:t>
      </w:r>
      <w:r>
        <w:t xml:space="preserve">reports the count of superseded attempts. No prior 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count, operational failure, p50/p95 latency, total tokens, API cost, and</w:t>
      </w:r>
      <w:r>
        <w:t xml:space="preserve"> </w:t>
      </w:r>
      <w:r>
        <w:t xml:space="preserve">predefined heterogeneity by benchmark and attack family.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 clustered by task.</w:t>
      </w:r>
    </w:p>
    <w:p>
      <w:pPr>
        <w:pStyle w:val="BodyText"/>
      </w:pPr>
      <w:r>
        <w:t xml:space="preserve">The four primary authorization/mechanism comparisons are:</w:t>
      </w:r>
    </w:p>
    <w:p>
      <w:pPr>
        <w:numPr>
          <w:ilvl w:val="0"/>
          <w:numId w:val="1011"/>
        </w:numPr>
        <w:pStyle w:val="Compact"/>
      </w:pPr>
      <w:r>
        <w:t xml:space="preserve">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policy-only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M3-full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policy-only versus M3-full;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policy-only versus M3-full.</w:t>
      </w:r>
    </w:p>
    <w:p>
      <w:pPr>
        <w:pStyle w:val="FirstParagraph"/>
      </w:pPr>
      <w:r>
        <w:t xml:space="preserve">McNemar p-values are Holm-adjusted separately for attack unsafe effect and</w:t>
      </w:r>
      <w:r>
        <w:t xml:space="preserve"> </w:t>
      </w:r>
      <w:r>
        <w:t xml:space="preserve">benign-tool TCR.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</w:t>
      </w:r>
      <w:r>
        <w:t xml:space="preserve"> </w:t>
      </w:r>
      <w:r>
        <w:t xml:space="preserve">are reported as prespecified regime extensions. Model, benchmark, and attack-</w:t>
      </w:r>
      <w:r>
        <w:t xml:space="preserve"> </w:t>
      </w:r>
      <w:r>
        <w:t xml:space="preserve">family panels are descriptive heterogeneity analyses rather than additional</w:t>
      </w:r>
      <w:r>
        <w:t xml:space="preserve"> </w:t>
      </w:r>
      <w:r>
        <w:t xml:space="preserve">confirmatory families.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editable SVG plus raster QA previews. Reproducibility assets include frozen</w:t>
      </w:r>
      <w:r>
        <w:t xml:space="preserve"> </w:t>
      </w:r>
      <w:r>
        <w:t xml:space="preserve">samples, condition assignments, analysis code, aggregate tables, and versioned</w:t>
      </w:r>
      <w:r>
        <w:t xml:space="preserve"> </w:t>
      </w:r>
      <w:r>
        <w:t xml:space="preserve">source.</w:t>
      </w:r>
    </w:p>
    <w:bookmarkEnd w:id="46"/>
    <w:bookmarkEnd w:id="47"/>
    <w:bookmarkStart w:id="65" w:name="results"/>
    <w:p>
      <w:pPr>
        <w:pStyle w:val="Heading2"/>
        <w:keepNext/>
      </w:pPr>
      <w:r>
        <w:t xml:space="preserve">4. Results</w:t>
      </w:r>
    </w:p>
    <w:bookmarkStart w:id="52" w:name="medium-falsification-study"/>
    <w:p>
      <w:pPr>
        <w:pStyle w:val="Heading3"/>
        <w:keepNext/>
      </w:pPr>
      <w:r>
        <w:t xml:space="preserve">4.1 Medium falsification study</w:t>
      </w:r>
    </w:p>
    <w:p>
      <w:pPr>
        <w:pStyle w:val="FirstParagraph"/>
      </w:pPr>
      <w:r>
        <w:t xml:space="preserve">The medium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preregistered analysis did not support an incremental</w:t>
      </w:r>
      <w:r>
        <w:t xml:space="preserve"> </w:t>
      </w:r>
      <w:r>
        <w:t xml:space="preserve">mechanism claim. M3-full met the security-effect and deny-all criteria, but</w:t>
      </w:r>
      <w:r>
        <w:t xml:space="preserve"> </w:t>
      </w:r>
      <w:r>
        <w:t xml:space="preserve">missed the utility point non-inferiority criterion and showed no security gain</w:t>
      </w:r>
      <w:r>
        <w:t xml:space="preserve"> </w:t>
      </w:r>
      <w:r>
        <w:t xml:space="preserve">over M3 policy-only. Both the favorable security comparison and the</w:t>
      </w:r>
      <w:r>
        <w:t xml:space="preserve"> </w:t>
      </w:r>
      <w:r>
        <w:t xml:space="preserve">unfavorable utility and module comparisons are reported.</w:t>
      </w:r>
    </w:p>
    <w:bookmarkStart w:id="48" w:name="Xce66d77d9cae9642b55d5a17ef25ebb445c8776"/>
    <w:p>
      <w:pPr>
        <w:pStyle w:val="Heading4"/>
        <w:keepNext/>
      </w:pPr>
      <w:r>
        <w:t xml:space="preserve">Supplementary Table S1. Online-state source audit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48"/>
        <w:gridCol w:w="1948"/>
        <w:gridCol w:w="2318"/>
        <w:gridCol w:w="22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Conclusion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Audited units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Independently reviewed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use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online gold observed on covered path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Not a runtime guard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Taxonomy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Mixed or path dependent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caution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Inconclusive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substantive claim</w:t>
            </w:r>
          </w:p>
        </w:tc>
      </w:tr>
    </w:tbl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bookmarkEnd w:id="48"/>
    <w:bookmarkStart w:id="49" w:name="X9386dbd24111302fa08841e715755c27f016afe"/>
    <w:p>
      <w:pPr>
        <w:pStyle w:val="Heading4"/>
        <w:keepNext/>
      </w:pPr>
      <w:r>
        <w:t xml:space="preserve">Supplementary Table S2. Completed medium security and utility outcomes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22"/>
        <w:gridCol w:w="1622"/>
        <w:gridCol w:w="1732"/>
        <w:gridCol w:w="1515"/>
        <w:gridCol w:w="1570"/>
        <w:gridCol w:w="1299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 effects / 36 attacks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rate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completions / 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TCR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No-tool TCR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11/24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45.83% (27.89–64.93)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29.17% (14.91–49.17)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25.00% (12.00–44.90)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</w:tbl>
    <w:p>
      <w:pPr>
        <w:pStyle w:val="BodyText"/>
      </w:pPr>
      <w:r>
        <w:t xml:space="preserve">The medium sample therefore shows a security–utility trade-off, not an</w:t>
      </w:r>
      <w:r>
        <w:t xml:space="preserve"> </w:t>
      </w:r>
      <w:r>
        <w:t xml:space="preserve">incremental mechanism benefit. Both M3 variants eliminated the eight unsafe</w:t>
      </w:r>
      <w:r>
        <w:t xml:space="preserve"> </w:t>
      </w:r>
      <w:r>
        <w:t xml:space="preserve">effects observed under the structural condition, but they also completed</w:t>
      </w:r>
      <w:r>
        <w:t xml:space="preserve"> </w:t>
      </w:r>
      <w:r>
        <w:t xml:space="preserve">substantially fewer benign tool tasks.</w:t>
      </w:r>
    </w:p>
    <w:bookmarkEnd w:id="49"/>
    <w:bookmarkStart w:id="50" w:name="X6f56b9f04523f209afe60dd95792596d12ebb2f"/>
    <w:p>
      <w:pPr>
        <w:pStyle w:val="Heading4"/>
        <w:keepNext/>
      </w:pPr>
      <w:r>
        <w:t xml:space="preserve">Supplementary Table S3. Prespecified paired comparisons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162"/>
        <w:gridCol w:w="1881"/>
        <w:gridCol w:w="1638"/>
        <w:gridCol w:w="1638"/>
        <w:gridCol w:w="204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Treatment minus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Exact 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Holm-adjusted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10,000-cluster bootstrap 95% CI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−22.22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0.0078125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−36.11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 to 0.00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0.09375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−41.67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−4.17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−12.50 to 0.00 pp</w:t>
            </w:r>
          </w:p>
        </w:tc>
      </w:tr>
    </w:tbl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mechanism did not outperform policy-only.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bookmarkEnd w:id="50"/>
    <w:bookmarkStart w:id="51" w:name="X271f53f8a755b82505b312d03be2407729019f7"/>
    <w:p>
      <w:pPr>
        <w:pStyle w:val="Heading4"/>
        <w:keepNext/>
      </w:pPr>
      <w:r>
        <w:t xml:space="preserve">Supplementary Table S4. Runtime burden and operational quality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07"/>
        <w:gridCol w:w="1093"/>
        <w:gridCol w:w="1276"/>
        <w:gridCol w:w="1472"/>
        <w:gridCol w:w="1253"/>
        <w:gridCol w:w="1437"/>
        <w:gridCol w:w="132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5"/>
              </w:rPr>
              <w:t xml:space="preserve">ASK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Benign ASK 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Provider calls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Trace-bundle cost (CNY)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Total latency p95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0.1821176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16.924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0.1812942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15.971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0.0986064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18.249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0.2568822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21.251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19.44%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0.0548220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7.897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22.22%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0.1441772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10.701 s</w:t>
            </w:r>
          </w:p>
        </w:tc>
      </w:tr>
    </w:tbl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predefined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M3-full,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burden and cannot be interpreted as successful human</w:t>
      </w:r>
      <w:r>
        <w:t xml:space="preserve"> </w:t>
      </w:r>
      <w:r>
        <w:t xml:space="preserve">approval.</w:t>
      </w:r>
    </w:p>
    <w:bookmarkEnd w:id="51"/>
    <w:bookmarkEnd w:id="52"/>
    <w:bookmarkStart w:id="53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M3 policy-only and M3-full.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53"/>
    <w:bookmarkStart w:id="54" w:name="prespecified-decision-criteria"/>
    <w:p>
      <w:pPr>
        <w:pStyle w:val="Heading3"/>
        <w:keepNext/>
      </w:pPr>
      <w:r>
        <w:t xml:space="preserve">4.3 Prespecified decision criteria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074"/>
        <w:gridCol w:w="2738"/>
        <w:gridCol w:w="354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policy-only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predefined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Supported interpretation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trade-off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Incremental defense-mechanism claim not supported</w:t>
            </w:r>
          </w:p>
        </w:tc>
      </w:tr>
    </w:tbl>
    <w:p>
      <w:pPr>
        <w:pStyle w:val="BodyText"/>
      </w:pPr>
      <w:r>
        <w:t xml:space="preserve">The results therefore support an empirical study of authorization uncertainty</w:t>
      </w:r>
      <w:r>
        <w:t xml:space="preserve"> </w:t>
      </w:r>
      <w:r>
        <w:t xml:space="preserve">and the security–utility trade-off. They do not support a defense-superiority</w:t>
      </w:r>
      <w:r>
        <w:t xml:space="preserve"> </w:t>
      </w:r>
      <w:r>
        <w:t xml:space="preserve">or SOTA claim.</w:t>
      </w:r>
    </w:p>
    <w:bookmarkEnd w:id="54"/>
    <w:bookmarkStart w:id="56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predefined 1% quality ceiling</w:t>
      </w:r>
      <w:r>
        <w:t xml:space="preserve"> </w:t>
      </w:r>
      <w:r>
        <w:t xml:space="preserve">therefore failed and prohibits a clean mechanism-quality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M3-full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identify a</w:t>
      </w:r>
      <w:r>
        <w:t xml:space="preserve"> </w:t>
      </w:r>
      <w:r>
        <w:t xml:space="preserve">full-system module contribution: M3 policy-only produced only 13 unsafe</w:t>
      </w:r>
      <w:r>
        <w:t xml:space="preserve"> </w:t>
      </w:r>
      <w:r>
        <w:t xml:space="preserve">effects (2.17%, 1.27–3.67), so M3-full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M3-full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M3-full and policy-only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bookmarkStart w:id="55" w:name="Xb92fa3095897252d1a15549fe854cbe0cf3f153"/>
    <w:p>
      <w:pPr>
        <w:pStyle w:val="Heading4"/>
        <w:keepNext/>
      </w:pPr>
      <w:r>
        <w:t xml:space="preserve">Supplementary Table S5. Public-primary benchmark strata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14"/>
        <w:gridCol w:w="2334"/>
        <w:gridCol w:w="2105"/>
        <w:gridCol w:w="210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 / 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M3-full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87/300 (29.00%)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13/300 (4.33%)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29/300 (9.67%)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46/300 (15.33%)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0/300 (0.00%)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9/300 (3.00%)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67/97 (69.07%)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no-tool,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</w:tr>
    </w:tbl>
    <w:p>
      <w:pPr>
        <w:pStyle w:val="BodyText"/>
      </w:pPr>
      <w:r>
        <w:t xml:space="preserve">The direction is consistent across both attack benchmarks: M3-full is safer</w:t>
      </w:r>
      <w:r>
        <w:t xml:space="preserve"> </w:t>
      </w:r>
      <w:r>
        <w:t xml:space="preserve">than the structural condition but less safe than policy-only.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5"/>
    <w:bookmarkEnd w:id="56"/>
    <w:bookmarkStart w:id="57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</w:t>
      </w:r>
      <w:r>
        <w:t xml:space="preserve"> </w:t>
      </w:r>
      <w:r>
        <w:t xml:space="preserve">policy-only, and full conditions. M3-full produced 24/400 unsafe effects</w:t>
      </w:r>
      <w:r>
        <w:t xml:space="preserve"> </w:t>
      </w:r>
      <w:r>
        <w:t xml:space="preserve">(6.00%, Wilson 95% CI 4.06–8.77), compared with 12/400 under policy-only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full (26.21%, 19.73–33.91), 35/145 for</w:t>
      </w:r>
      <w:r>
        <w:t xml:space="preserve"> </w:t>
      </w:r>
      <w:r>
        <w:t xml:space="preserve">policy-only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mechanism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mechanism-quality or cross-provider claim.</w:t>
      </w:r>
    </w:p>
    <w:bookmarkEnd w:id="57"/>
    <w:bookmarkStart w:id="58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M3-full, two no-defense, one PromptGuard,</w:t>
      </w:r>
      <w:r>
        <w:t xml:space="preserve"> </w:t>
      </w:r>
      <w:r>
        <w:t xml:space="preserve">and zero policy-only.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M3-full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</w:t>
      </w:r>
      <w:r>
        <w:t xml:space="preserve"> </w:t>
      </w:r>
      <w:r>
        <w:t xml:space="preserve">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policy-only. On the 168 benign tool tasks,</w:t>
      </w:r>
      <w:r>
        <w:t xml:space="preserve"> </w:t>
      </w:r>
      <w:r>
        <w:t xml:space="preserve">M3-full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policy-only issued 69. The primary</w:t>
      </w:r>
      <w:r>
        <w:t xml:space="preserve"> </w:t>
      </w:r>
      <w:r>
        <w:t xml:space="preserve">mechanism comparison therefore met its structural security-effect criterion</w:t>
      </w:r>
      <w:r>
        <w:t xml:space="preserve"> </w:t>
      </w:r>
      <w:r>
        <w:t xml:space="preserve">but missed utility non-inferiority and module-gain criteria. This pattern is</w:t>
      </w:r>
      <w:r>
        <w:t xml:space="preserve"> </w:t>
      </w:r>
      <w:r>
        <w:t xml:space="preserve">consistent with a security–utility trade-off rather than incremental benefit</w:t>
      </w:r>
      <w:r>
        <w:t xml:space="preserve"> </w:t>
      </w:r>
      <w:r>
        <w:t xml:space="preserve">from the full mechanism.</w:t>
      </w:r>
    </w:p>
    <w:bookmarkEnd w:id="58"/>
    <w:bookmarkStart w:id="61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M3-full.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evaluator or</w:t>
      </w:r>
      <w:r>
        <w:t xml:space="preserve"> </w:t>
      </w:r>
      <w:r>
        <w:t xml:space="preserve">gold field entered the online projection, and provider tools and real external</w:t>
      </w:r>
      <w:r>
        <w:t xml:space="preserve"> </w:t>
      </w:r>
      <w:r>
        <w:t xml:space="preserve">effects remained disabled.</w:t>
      </w:r>
    </w:p>
    <w:bookmarkStart w:id="59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M3-full</w:t>
      </w:r>
      <w:r>
        <w:t xml:space="preserve"> </w:t>
      </w:r>
      <w:r>
        <w:t xml:space="preserve">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policy-only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policy-only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mechanism adds a reproducible security benefit over policy-only.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policy-only completed 22/60 tasks (36.67%, Wilson 95% CI</w:t>
      </w:r>
      <w:r>
        <w:t xml:space="preserve"> </w:t>
      </w:r>
      <w:r>
        <w:t xml:space="preserve">25.62–49.32) and M3-full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policy-only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policy-only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M3-full,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9"/>
    <w:bookmarkStart w:id="60" w:name="stress-regimes-and-operational-burden"/>
    <w:p>
      <w:pPr>
        <w:pStyle w:val="Heading4"/>
        <w:keepNext/>
      </w:pPr>
      <w:r>
        <w:t xml:space="preserve">4.7.2 Stress regimes and operational burden</w:t>
      </w:r>
    </w:p>
    <w:p>
      <w:pPr>
        <w:pStyle w:val="FirstParagraph"/>
      </w:pPr>
      <w:r>
        <w:t xml:space="preserve">On the nested benign-tool subset, moving from matched 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policy-only,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M3-full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60"/>
    <w:bookmarkEnd w:id="61"/>
    <w:bookmarkStart w:id="63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initial DeepSeek V4 Pro cost canary covered eight result-blind,</w:t>
      </w:r>
      <w:r>
        <w:t xml:space="preserve"> </w:t>
      </w:r>
      <w:r>
        <w:t xml:space="preserve">attack-family-balanced M3-v2 development tasks under M3-full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bookmarkStart w:id="62" w:name="X12b92401643dc973ea9a8064328835e102f2d6a"/>
    <w:p>
      <w:pPr>
        <w:pStyle w:val="Heading4"/>
        <w:keepNext/>
      </w:pPr>
      <w:r>
        <w:t xml:space="preserve">Supplementary Table S6. Defense-aware adaptive attack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793"/>
        <w:gridCol w:w="1192"/>
        <w:gridCol w:w="1192"/>
        <w:gridCol w:w="1810"/>
        <w:gridCol w:w="2041"/>
        <w:gridCol w:w="13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Model/panel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Tasks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First-success distribution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Saturated?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exploratory cost canary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 (0.00%, 95% CI 0.00–32.44%)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(10.00%, 95% CI 3.96–23.05%)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first successes by query 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18 (45.00%, 95% CI 30.71–60.17%)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14 additional first successes at queries 51–200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</w:tbl>
    <w:bookmarkEnd w:id="62"/>
    <w:bookmarkEnd w:id="63"/>
    <w:bookmarkStart w:id="64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remains pending under the three-quota-day</w:t>
      </w:r>
      <w:r>
        <w:t xml:space="preserve"> </w:t>
      </w:r>
      <w:r>
        <w:t xml:space="preserve">free-tier rule; until that experiment reaches its stopping rule, its partial</w:t>
      </w:r>
      <w:r>
        <w:t xml:space="preserve"> </w:t>
      </w:r>
      <w:r>
        <w:t xml:space="preserve">rows are not used in the comparisons above. UTR and DSR are not identifiable</w:t>
      </w:r>
      <w:r>
        <w:t xml:space="preserve"> </w:t>
      </w:r>
      <w:r>
        <w:t xml:space="preserve">from the current record contract and are not reconstructed from unsafe-effect</w:t>
      </w:r>
      <w:r>
        <w:t xml:space="preserve"> </w:t>
      </w:r>
      <w:r>
        <w:t xml:space="preserve">rate.</w:t>
      </w:r>
    </w:p>
    <w:bookmarkEnd w:id="64"/>
    <w:bookmarkEnd w:id="65"/>
    <w:bookmarkStart w:id="74" w:name="discussion"/>
    <w:p>
      <w:pPr>
        <w:pStyle w:val="Heading2"/>
        <w:keepNext/>
      </w:pPr>
      <w:r>
        <w:t xml:space="preserve">5. Discussion</w:t>
      </w:r>
    </w:p>
    <w:bookmarkStart w:id="66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M3-full</w:t>
      </w:r>
      <w:r>
        <w:t xml:space="preserve"> </w:t>
      </w:r>
      <w:r>
        <w:t xml:space="preserve">as a stronger defense than policy-only. In the 5,082-record DeepSeek V4 Pro</w:t>
      </w:r>
      <w:r>
        <w:t xml:space="preserve"> </w:t>
      </w:r>
      <w:r>
        <w:t xml:space="preserve">Public matrix, M3-full produced more unsafe effects than policy-only (38/600</w:t>
      </w:r>
      <w:r>
        <w:t xml:space="preserve"> </w:t>
      </w:r>
      <w:r>
        <w:t xml:space="preserve">versus 13/600), while the two variants completed the same number of benign</w:t>
      </w:r>
      <w:r>
        <w:t xml:space="preserve"> </w:t>
      </w:r>
      <w:r>
        <w:t xml:space="preserve">tool tasks (49/168). The 1,791-record V4 Flash matrix showed the same security</w:t>
      </w:r>
      <w:r>
        <w:t xml:space="preserve"> </w:t>
      </w:r>
      <w:r>
        <w:t xml:space="preserve">direction: 24/400 unsafe effects for full versus 12/400 for policy-only. The</w:t>
      </w:r>
      <w:r>
        <w:t xml:space="preserve"> </w:t>
      </w:r>
      <w:r>
        <w:t xml:space="preserve">Flash utility difference was small (38/145 versus 35/145) and does not rescue a</w:t>
      </w:r>
      <w:r>
        <w:t xml:space="preserve"> </w:t>
      </w:r>
      <w:r>
        <w:t xml:space="preserve">claim of independent full-module value.</w:t>
      </w:r>
    </w:p>
    <w:p>
      <w:pPr>
        <w:pStyle w:val="BodyText"/>
      </w:pPr>
      <w:r>
        <w:t xml:space="preserve">This is scientifically useful negative evidence. The two variants share the</w:t>
      </w:r>
      <w:r>
        <w:t xml:space="preserve"> </w:t>
      </w:r>
      <w:r>
        <w:t xml:space="preserve">policy representation and runtime enforcement point, so their divergence</w:t>
      </w:r>
      <w:r>
        <w:t xml:space="preserve"> </w:t>
      </w:r>
      <w:r>
        <w:t xml:space="preserve">focuses attention on the additional provenance, temporal/data-flow, and</w:t>
      </w:r>
      <w:r>
        <w:t xml:space="preserve"> </w:t>
      </w:r>
      <w:r>
        <w:t xml:space="preserve">confirmation path. A full mechanism can fail to improve security because its</w:t>
      </w:r>
      <w:r>
        <w:t xml:space="preserve"> </w:t>
      </w:r>
      <w:r>
        <w:t xml:space="preserve">additional state or decision logic introduces ambiguity, because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resolution reopens paths that policy-only blocks, because the model adapts to</w:t>
      </w:r>
      <w:r>
        <w:t xml:space="preserve"> </w:t>
      </w:r>
      <w:r>
        <w:t xml:space="preserve">feedback differently, or because the evaluated provenance representation is</w:t>
      </w:r>
      <w:r>
        <w:t xml:space="preserve"> </w:t>
      </w:r>
      <w:r>
        <w:t xml:space="preserve">too noisy to supply useful discrimination. The new authorization-regime</w:t>
      </w:r>
      <w:r>
        <w:t xml:space="preserve"> </w:t>
      </w:r>
      <w:r>
        <w:t xml:space="preserve">experiment is designed to distinguish some of these explanations without</w:t>
      </w:r>
      <w:r>
        <w:t xml:space="preserve"> </w:t>
      </w:r>
      <w:r>
        <w:t xml:space="preserve">claiming that it identifies a universal causal mechanism.</w:t>
      </w:r>
    </w:p>
    <w:bookmarkEnd w:id="66"/>
    <w:bookmarkStart w:id="67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points for policy-only and</w:t>
      </w:r>
      <w:r>
        <w:t xml:space="preserve"> </w:t>
      </w:r>
      <w:r>
        <w:t xml:space="preserve">15.00 points for full.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M3 variants but increased the share of records with DENY from 7.22% to 48.89%</w:t>
      </w:r>
      <w:r>
        <w:t xml:space="preserve"> </w:t>
      </w:r>
      <w:r>
        <w:t xml:space="preserve">for policy-only and from 11.11% to 45.00% for full.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bookmarkEnd w:id="67"/>
    <w:bookmarkStart w:id="68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Policy-only then outperformed full on security</w:t>
      </w:r>
      <w:r>
        <w:t xml:space="preserve"> </w:t>
      </w:r>
      <w:r>
        <w:t xml:space="preserve">without losing additional utility. The interpretation is not that provenance</w:t>
      </w:r>
      <w:r>
        <w:t xml:space="preserve"> </w:t>
      </w:r>
      <w:r>
        <w:t xml:space="preserve">is intrinsically harmful. It is that the evaluated full implementation did not</w:t>
      </w:r>
      <w:r>
        <w:t xml:space="preserve"> </w:t>
      </w:r>
      <w:r>
        <w:t xml:space="preserve">earn its complexity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mechanism-facing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burdens directly rather than collapsing them into</w:t>
      </w:r>
      <w:r>
        <w:t xml:space="preserve"> </w:t>
      </w:r>
      <w:r>
        <w:t xml:space="preserve">a composite score.</w:t>
      </w:r>
    </w:p>
    <w:bookmarkEnd w:id="68"/>
    <w:bookmarkStart w:id="69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9"/>
    <w:bookmarkStart w:id="70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modules,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70"/>
    <w:bookmarkStart w:id="71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Gemini sample is incomplete at this analysis cutoff, and its partial rows</w:t>
      </w:r>
      <w:r>
        <w:t xml:space="preserve"> </w:t>
      </w:r>
      <w:r>
        <w:t xml:space="preserve">are excluded from inference. External validity is therefore limited to</w:t>
      </w:r>
      <w:r>
        <w:t xml:space="preserve"> </w:t>
      </w:r>
      <w:r>
        <w:t xml:space="preserve">DeepSeek V4 Pro and V4 Flash, and no cross-provider conclusion is made.</w:t>
      </w:r>
    </w:p>
    <w:bookmarkEnd w:id="71"/>
    <w:bookmarkStart w:id="72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families. Model updates, tool schemas, system prompts, and application context</w:t>
      </w:r>
      <w:r>
        <w:t xml:space="preserve"> </w:t>
      </w:r>
      <w:r>
        <w:t xml:space="preserve">may change the effects. The smaller Gemini subset partially probes but does not</w:t>
      </w:r>
      <w:r>
        <w:t xml:space="preserve"> </w:t>
      </w:r>
      <w:r>
        <w:t xml:space="preserve">eliminate this dependence.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Third,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Fourth,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Fifth,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72"/>
    <w:bookmarkStart w:id="73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follow. First, agent-security benchmarks</w:t>
      </w:r>
      <w:r>
        <w:t xml:space="preserve"> </w:t>
      </w:r>
      <w:r>
        <w:t xml:space="preserve">should publish the fields visible to the online Guard and keep evaluator-only</w:t>
      </w:r>
      <w:r>
        <w:t xml:space="preserve"> </w:t>
      </w:r>
      <w:r>
        <w:t xml:space="preserve">answers outside that projection.</w:t>
      </w:r>
      <w:r>
        <w:t xml:space="preserve"> </w:t>
      </w:r>
      <w:r>
        <w:t xml:space="preserve">Second, runtime defenses should be compared against a policy-only variant on</w:t>
      </w:r>
      <w:r>
        <w:t xml:space="preserve"> </w:t>
      </w:r>
      <w:r>
        <w:t xml:space="preserve">the same tasks; otherwise a complex module may receive credit for behavior</w:t>
      </w:r>
      <w:r>
        <w:t xml:space="preserve"> </w:t>
      </w:r>
      <w:r>
        <w:t xml:space="preserve">already supplied by the base policy. Third, security reports should include</w:t>
      </w:r>
      <w:r>
        <w:t xml:space="preserve"> </w:t>
      </w:r>
      <w:r>
        <w:t xml:space="preserve">benign completion, confirmation/blocking burden, failures, latency, and attack</w:t>
      </w:r>
      <w:r>
        <w:t xml:space="preserve"> </w:t>
      </w:r>
      <w:r>
        <w:t xml:space="preserve">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Gemini will determine whether the direction is visible across providers;</w:t>
      </w:r>
      <w:r>
        <w:t xml:space="preserve"> </w:t>
      </w:r>
      <w:r>
        <w:t xml:space="preserve">it cannot remove the unfavorable DeepSeek findings or broaden them beyond the</w:t>
      </w:r>
      <w:r>
        <w:t xml:space="preserve"> </w:t>
      </w:r>
      <w:r>
        <w:t xml:space="preserve">tested settings.</w:t>
      </w:r>
    </w:p>
    <w:bookmarkEnd w:id="73"/>
    <w:bookmarkEnd w:id="74"/>
    <w:bookmarkStart w:id="75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M3-full reduced unsafe effects relative to a structural baseline but did not</w:t>
      </w:r>
      <w:r>
        <w:t xml:space="preserve"> </w:t>
      </w:r>
      <w:r>
        <w:t xml:space="preserve">improve on policy-only enforcement. The direction replicated across DeepSeek</w:t>
      </w:r>
      <w:r>
        <w:t xml:space="preserve"> </w:t>
      </w:r>
      <w:r>
        <w:t xml:space="preserve">V4 Pro and V4 Flash: full produced more unsafe effects than policy-only, while</w:t>
      </w:r>
      <w:r>
        <w:t xml:space="preserve"> </w:t>
      </w:r>
      <w:r>
        <w:t xml:space="preserve">benign-tool utility was equal or only slightly different. The evaluated</w:t>
      </w:r>
      <w:r>
        <w:t xml:space="preserve"> </w:t>
      </w:r>
      <w:r>
        <w:t xml:space="preserve">provenance, temporal/data-flow, and confirmation extensions therefore did not</w:t>
      </w:r>
      <w:r>
        <w:t xml:space="preserve"> </w:t>
      </w:r>
      <w:r>
        <w:t xml:space="preserve">show an independent advantage sufficient to support a leading-defense claim.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cells, yet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</w:t>
      </w:r>
      <w:r>
        <w:t xml:space="preserve"> </w:t>
      </w:r>
      <w:r>
        <w:t xml:space="preserve">benign-tool completion by 21.67 percentage points for policy-only and 15.00</w:t>
      </w:r>
      <w:r>
        <w:t xml:space="preserve"> </w:t>
      </w:r>
      <w:r>
        <w:t xml:space="preserve">points for M3-full. Exact authorization removed ASK but moved 45.00–48.89% of</w:t>
      </w:r>
      <w:r>
        <w:t xml:space="preserve"> </w:t>
      </w:r>
      <w:r>
        <w:t xml:space="preserve">records into at least one DENY, raised failures to approximately 24%, and</w:t>
      </w:r>
      <w:r>
        <w:t xml:space="preserve"> </w:t>
      </w:r>
      <w:r>
        <w:t xml:space="preserve">roughly doubled 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complex mechanisms with a policy-only ablation on identical tasks, and report</w:t>
      </w:r>
      <w:r>
        <w:t xml:space="preserve"> </w:t>
      </w:r>
      <w:r>
        <w:t xml:space="preserve">utility, ASK/DENY burden, failures, latency, and attack budget alongside unsafe</w:t>
      </w:r>
      <w:r>
        <w:t xml:space="preserve"> </w:t>
      </w:r>
      <w:r>
        <w:t xml:space="preserve">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will either test the cross-provider direction or be transparently</w:t>
      </w:r>
      <w:r>
        <w:t xml:space="preserve"> </w:t>
      </w:r>
      <w:r>
        <w:t xml:space="preserve">downgraded under its free-tier stopping rule; it cannot erase or broaden the</w:t>
      </w:r>
      <w:r>
        <w:t xml:space="preserve"> </w:t>
      </w:r>
      <w:r>
        <w:t xml:space="preserve">completed DeepSeek findings.</w:t>
      </w:r>
    </w:p>
    <w:bookmarkEnd w:id="75"/>
    <w:bookmarkStart w:id="81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83019"/>
            <wp:effectExtent b="0" l="0" r="0" t="0"/>
            <wp:docPr descr="Figure 2. Security–utility trade-off by authorization conditio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Security–utility trade-off by authorization condition.</w:t>
      </w:r>
    </w:p>
    <w:p>
      <w:pPr>
        <w:pStyle w:val="CaptionedFigure"/>
      </w:pPr>
      <w:r>
        <w:drawing>
          <wp:inline>
            <wp:extent cx="5334000" cy="4317749"/>
            <wp:effectExtent b="0" l="0" r="0" t="0"/>
            <wp:docPr descr="Figure 3. Paired authorization and mechanism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7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mechanism effects.</w:t>
      </w:r>
    </w:p>
    <w:p>
      <w:pPr>
        <w:pStyle w:val="CaptionedFigure"/>
      </w:pPr>
      <w:r>
        <w:drawing>
          <wp:inline>
            <wp:extent cx="5334000" cy="3216328"/>
            <wp:effectExtent b="0" l="0" r="0" t="0"/>
            <wp:docPr descr="Figure 4. Runtime confirmation, blocking, failure, and latency burde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confirmation, blocking, failure, and latency burden.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81"/>
    <w:bookmarkStart w:id="88" w:name="tables"/>
    <w:p>
      <w:pPr>
        <w:pStyle w:val="Heading2"/>
        <w:keepNext/>
      </w:pPr>
      <w:r>
        <w:t xml:space="preserve">Tables</w:t>
      </w:r>
    </w:p>
    <w:bookmarkStart w:id="82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82"/>
    <w:bookmarkStart w:id="83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among attack tasks and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938"/>
        <w:gridCol w:w="2094"/>
        <w:gridCol w:w="2628"/>
        <w:gridCol w:w="270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83"/>
    <w:bookmarkStart w:id="84" w:name="Xd0cc7104cfff95cb39f2f29f0dec108c42421ac"/>
    <w:p>
      <w:pPr>
        <w:pStyle w:val="Heading3"/>
        <w:keepNext/>
      </w:pPr>
      <w:r>
        <w:t xml:space="preserve">Table 3. Paired authorization and mechanism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65"/>
        <w:gridCol w:w="1451"/>
        <w:gridCol w:w="1012"/>
        <w:gridCol w:w="1165"/>
        <w:gridCol w:w="1269"/>
        <w:gridCol w:w="1300"/>
        <w:gridCol w:w="1037"/>
        <w:gridCol w:w="96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84"/>
    <w:bookmarkStart w:id="85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21"/>
        <w:gridCol w:w="1188"/>
        <w:gridCol w:w="1267"/>
        <w:gridCol w:w="1285"/>
        <w:gridCol w:w="1097"/>
        <w:gridCol w:w="1285"/>
        <w:gridCol w:w="1016"/>
        <w:gridCol w:w="110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85"/>
    <w:bookmarkStart w:id="86" w:name="table-5.-prespecified-heterogeneity"/>
    <w:p>
      <w:pPr>
        <w:pStyle w:val="Heading3"/>
        <w:keepNext/>
      </w:pPr>
      <w:r>
        <w:t xml:space="preserve">Table 5. Prespecified heterogeneity</w:t>
      </w:r>
    </w:p>
    <w:p>
      <w:pPr>
        <w:pStyle w:val="FirstParagraph"/>
      </w:pPr>
      <w:r>
        <w:t xml:space="preserve">Endpoint counts by benchmark and attack family. These prespecified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377"/>
        <w:gridCol w:w="1900"/>
        <w:gridCol w:w="1300"/>
        <w:gridCol w:w="1540"/>
        <w:gridCol w:w="1540"/>
        <w:gridCol w:w="1703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Attack family/stratum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Attack 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Operational failures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pooled/no family label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395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245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93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clean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cross tool attack chain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direct jailbreak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environment context pollution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json rpc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memory poisoning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multilingual t2l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obfuscation evasion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rag indirect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 output injection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11</w:t>
            </w:r>
          </w:p>
        </w:tc>
      </w:tr>
    </w:tbl>
    <w:bookmarkEnd w:id="86"/>
    <w:bookmarkStart w:id="87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7"/>
    <w:bookmarkEnd w:id="88"/>
    <w:bookmarkStart w:id="89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Only isolated simulated effects are scored; provider-managed tools and real</w:t>
      </w:r>
      <w:r>
        <w:t xml:space="preserve"> </w:t>
      </w:r>
      <w:r>
        <w:t xml:space="preserve">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Near-identical attack safety can coexist with</w:t>
      </w:r>
      <w:r>
        <w:t xml:space="preserve"> </w:t>
      </w:r>
      <w:r>
        <w:t xml:space="preserve">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9"/>
    <w:bookmarkStart w:id="96" w:name="submission-statements"/>
    <w:p>
      <w:pPr>
        <w:pStyle w:val="Heading2"/>
        <w:keepNext/>
      </w:pPr>
      <w:r>
        <w:t xml:space="preserve">Submission statements</w:t>
      </w:r>
    </w:p>
    <w:bookmarkStart w:id="90" w:name="competing-interests"/>
    <w:p>
      <w:pPr>
        <w:pStyle w:val="Heading3"/>
        <w:keepNext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90"/>
    <w:bookmarkStart w:id="91" w:name="funding"/>
    <w:p>
      <w:pPr>
        <w:pStyle w:val="Heading3"/>
        <w:keepNext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91"/>
    <w:bookmarkStart w:id="92" w:name="data-and-code-availability"/>
    <w:p>
      <w:pPr>
        <w:pStyle w:val="Heading3"/>
        <w:keepNext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92"/>
    <w:bookmarkStart w:id="93" w:name="X071796dd6bc546c91e96cca1cf5ff96599de61f"/>
    <w:p>
      <w:pPr>
        <w:pStyle w:val="Heading3"/>
        <w:keepNext/>
      </w:pPr>
      <w:r>
        <w:t xml:space="preserve">Declaration of generative AI and AI-assisted technologies in the writing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The authors reviewed and revised the resulting material and take</w:t>
      </w:r>
      <w:r>
        <w:t xml:space="preserve"> </w:t>
      </w:r>
      <w:r>
        <w:t xml:space="preserve">full responsibility for the analysis, interpretation, citations, and</w:t>
      </w:r>
      <w:r>
        <w:t xml:space="preserve"> </w:t>
      </w:r>
      <w:r>
        <w:t xml:space="preserve">manuscript content. DeepSeek and Gemini are evaluated research systems in this</w:t>
      </w:r>
      <w:r>
        <w:t xml:space="preserve"> </w:t>
      </w:r>
      <w:r>
        <w:t xml:space="preserve">study rather than writing assistants.</w:t>
      </w:r>
    </w:p>
    <w:bookmarkEnd w:id="93"/>
    <w:bookmarkStart w:id="94" w:name="ethics-and-safety"/>
    <w:p>
      <w:pPr>
        <w:pStyle w:val="Heading3"/>
        <w:keepNext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94"/>
    <w:bookmarkStart w:id="95" w:name="author-contributions"/>
    <w:p>
      <w:pPr>
        <w:pStyle w:val="Heading3"/>
        <w:keepNext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95"/>
    <w:bookmarkEnd w:id="96"/>
    <w:bookmarkStart w:id="140" w:name="references"/>
    <w:p>
      <w:pPr>
        <w:pStyle w:val="Heading2"/>
        <w:keepNext/>
      </w:pPr>
      <w:r>
        <w:t xml:space="preserve">References</w:t>
      </w:r>
    </w:p>
    <w:bookmarkStart w:id="139" w:name="refs"/>
    <w:bookmarkStart w:id="98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7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8"/>
    <w:bookmarkStart w:id="100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9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100"/>
    <w:bookmarkStart w:id="102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101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102"/>
    <w:bookmarkStart w:id="104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103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104"/>
    <w:bookmarkStart w:id="106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105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6"/>
    <w:bookmarkStart w:id="108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7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8"/>
    <w:bookmarkStart w:id="110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9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10"/>
    <w:bookmarkStart w:id="112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11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12"/>
    <w:bookmarkStart w:id="114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13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14"/>
    <w:bookmarkStart w:id="116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15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6"/>
    <w:bookmarkStart w:id="118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7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8"/>
    <w:bookmarkStart w:id="120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 Llm Jailbreaks and Prompt Injections.”</w:t>
      </w:r>
      <w:r>
        <w:t xml:space="preserve"> </w:t>
      </w:r>
      <w:hyperlink r:id="rId119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20"/>
    <w:bookmarkStart w:id="122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21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22"/>
    <w:bookmarkStart w:id="124" w:name="ref-L08"/>
    <w:p>
      <w:pPr>
        <w:pStyle w:val="Bibliography"/>
      </w:pPr>
      <w:r>
        <w:t xml:space="preserve">Tsai, Lillian, and Eugene Bagdasarian.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23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24"/>
    <w:bookmarkStart w:id="126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25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6"/>
    <w:bookmarkStart w:id="128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28"/>
    <w:bookmarkStart w:id="130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9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30"/>
    <w:bookmarkStart w:id="132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31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32"/>
    <w:bookmarkStart w:id="134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33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34"/>
    <w:bookmarkStart w:id="136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 </w:t>
      </w:r>
      <w:r>
        <w:t xml:space="preserve">2025: 35331–66.</w:t>
      </w:r>
      <w:r>
        <w:t xml:space="preserve"> </w:t>
      </w:r>
      <w:hyperlink r:id="rId135">
        <w:r>
          <w:rPr>
            <w:rStyle w:val="Hyperlink"/>
          </w:rPr>
          <w:t xml:space="preserve">https://proceedings.iclr.cc/paper_files/paper/2025/hash/5750f91d8fb9d5c02bd8ad2c3b44456b-Abstract-Conference.html</w:t>
        </w:r>
      </w:hyperlink>
      <w:r>
        <w:t xml:space="preserve">.</w:t>
      </w:r>
    </w:p>
    <w:bookmarkEnd w:id="136"/>
    <w:bookmarkStart w:id="138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7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8"/>
    <w:bookmarkEnd w:id="139"/>
    <w:bookmarkEnd w:id="140"/>
    <w:bookmarkEnd w:id="141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6" Type="http://schemas.openxmlformats.org/officeDocument/2006/relationships/image" Target="media/rId76.png"/><Relationship Id="rId77" Type="http://schemas.openxmlformats.org/officeDocument/2006/relationships/image" Target="media/rId77.png"/><Relationship Id="rId78" Type="http://schemas.openxmlformats.org/officeDocument/2006/relationships/image" Target="media/rId78.png"/><Relationship Id="rId79" Type="http://schemas.openxmlformats.org/officeDocument/2006/relationships/image" Target="media/rId79.png"/><Relationship Id="rId80" Type="http://schemas.openxmlformats.org/officeDocument/2006/relationships/image" Target="media/rId80.png"/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2026-08-20T03:57:22Z</dcterms:created>
  <dcterms:modified xsi:type="dcterms:W3CDTF">2026-08-20T03:57:22Z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