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9" w:name="Xaf7b2990af7502950b37f78be34bbd3bd6ef0c0"/>
    <w:p>
      <w:pPr>
        <w:pStyle w:val="Heading1"/>
        <w:keepNext/>
        <w:jc w:val="left"/>
      </w:pPr>
      <w:r>
        <w:t xml:space="preserve">Evaluating Authorization Regimes and Runtime Guardrail Configurations for Tool-Using LLM Agents</w:t>
      </w:r>
    </w:p>
    <w:bookmarkStart w:id="20" w:name="abstract"/>
    <w:p>
      <w:pPr>
        <w:pStyle w:val="Heading2"/>
        <w:keepNext/>
        <w:jc w:val="left"/>
      </w:pPr>
      <w:r>
        <w:t xml:space="preserve">Abstract</w:t>
      </w:r>
    </w:p>
    <w:p>
      <w:pPr>
        <w:pStyle w:val="FirstParagraph"/>
      </w:pPr>
      <w:r>
        <w:t xml:space="preserve">Tool-using LLM agents can turn prompt injection into external actions, but</w:t>
      </w:r>
      <w:r>
        <w:t xml:space="preserve"> </w:t>
      </w:r>
      <w:r>
        <w:t xml:space="preserve">measured security depends on the runtime authorization and Guard configuration.</w:t>
      </w:r>
      <w:r>
        <w:t xml:space="preserve"> </w:t>
      </w:r>
      <w:r>
        <w:t xml:space="preserve">We keep evaluator fields offline and jointly measure unsafe effects, benign</w:t>
      </w:r>
      <w:r>
        <w:t xml:space="preserve"> </w:t>
      </w:r>
      <w:r>
        <w:t xml:space="preserve">completion, confirmation/blocking, failures, latency, and adaptive attack cost.</w:t>
      </w:r>
    </w:p>
    <w:p>
      <w:pPr>
        <w:pStyle w:val="BodyText"/>
      </w:pPr>
      <w:r>
        <w:t xml:space="preserve">We reanalyze 7,353 condition-level DeepSeek records and run controlled studies</w:t>
      </w:r>
      <w:r>
        <w:t xml:space="preserve"> </w:t>
      </w:r>
      <w:r>
        <w:t xml:space="preserve">of authorization regime, prompt and runtime factors, source authority,</w:t>
      </w:r>
      <w:r>
        <w:t xml:space="preserve"> </w:t>
      </w:r>
      <w:r>
        <w:t xml:space="preserve">historically difficult attacks, model replication, and attack-budget tails.</w:t>
      </w:r>
      <w:r>
        <w:t xml:space="preserve"> </w:t>
      </w:r>
      <w:r>
        <w:t xml:space="preserve">In Public matrices, the full package produced more unsafe effects than the</w:t>
      </w:r>
      <w:r>
        <w:t xml:space="preserve"> </w:t>
      </w:r>
      <w:r>
        <w:t xml:space="preserve">policy package on V4 Pro (38/600 versus 13/600) and V4 Flash (24/400 versus</w:t>
      </w:r>
      <w:r>
        <w:t xml:space="preserve"> </w:t>
      </w:r>
      <w:r>
        <w:t xml:space="preserve">12/400). A concurrent 2×2 experiment isolated prompt and module-bundle effects,</w:t>
      </w:r>
      <w:r>
        <w:t xml:space="preserve"> </w:t>
      </w:r>
      <w:r>
        <w:t xml:space="preserve">but only two unsafe effects occurred across 400 attack assignments. Deterministic</w:t>
      </w:r>
      <w:r>
        <w:t xml:space="preserve"> </w:t>
      </w:r>
      <w:r>
        <w:t xml:space="preserve">Guard replay was source-sensitive, whereas all 240 end-to-end source-swap runs</w:t>
      </w:r>
      <w:r>
        <w:t xml:space="preserve"> </w:t>
      </w:r>
      <w:r>
        <w:t xml:space="preserve">executed no action. Exact authorization reduced pooled benign-tool completion</w:t>
      </w:r>
      <w:r>
        <w:t xml:space="preserve"> </w:t>
      </w:r>
      <w:r>
        <w:t xml:space="preserve">and increased failure-sensitive risk, with opposite completion directions</w:t>
      </w:r>
      <w:r>
        <w:t xml:space="preserve"> </w:t>
      </w:r>
      <w:r>
        <w:t xml:space="preserve">across AgentDojo and M3-v2.</w:t>
      </w:r>
    </w:p>
    <w:p>
      <w:pPr>
        <w:pStyle w:val="BodyText"/>
      </w:pPr>
      <w:r>
        <w:t xml:space="preserve">Defense-aware search found first unsafe effects for 4/40 tasks by query 50 and</w:t>
      </w:r>
      <w:r>
        <w:t xml:space="preserve"> </w:t>
      </w:r>
      <w:r>
        <w:t xml:space="preserve">18/40 by 200; none of 12 prespecified B200 survivors first succeeded by 500</w:t>
      </w:r>
      <w:r>
        <w:t xml:space="preserve"> </w:t>
      </w:r>
      <w:r>
        <w:t xml:space="preserve">(Wilson upper limit 24.25%). In an additional risk-enriched single-block</w:t>
      </w:r>
      <w:r>
        <w:t xml:space="preserve"> </w:t>
      </w:r>
      <w:r>
        <w:t xml:space="preserve">execution, no defense produced 17/60 unsafe effects, while policy/normal and</w:t>
      </w:r>
      <w:r>
        <w:t xml:space="preserve"> </w:t>
      </w:r>
      <w:r>
        <w:t xml:space="preserve">full/safe produced 2/60 and 0/60 unsafe effects; failures remained non-negligible.</w:t>
      </w:r>
      <w:r>
        <w:t xml:space="preserve"> </w:t>
      </w:r>
      <w:r>
        <w:t xml:space="preserve">These enriched results do not estimate deployment prevalence, utility, or</w:t>
      </w:r>
      <w:r>
        <w:t xml:space="preserve"> </w:t>
      </w:r>
      <w:r>
        <w:t xml:space="preserve">temporal repeatability. Two incomplete Gemini studies do not support estimation</w:t>
      </w:r>
      <w:r>
        <w:t xml:space="preserve"> </w:t>
      </w:r>
      <w:r>
        <w:t xml:space="preserve">of cross-provider effects.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  <w:jc w:val="left"/>
      </w:pPr>
      <w:r>
        <w:t xml:space="preserve">1. Introduction</w:t>
      </w:r>
    </w:p>
    <w:bookmarkStart w:id="21" w:name="motivation"/>
    <w:p>
      <w:pPr>
        <w:pStyle w:val="Heading3"/>
        <w:keepNext/>
        <w:jc w:val="left"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Bagdasaryan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  <w:jc w:val="left"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system confirmation-request incidence,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  <w:jc w:val="left"/>
      </w:pPr>
      <w:r>
        <w:t xml:space="preserve">1.3 Research questions</w:t>
      </w:r>
    </w:p>
    <w:p>
      <w:pPr>
        <w:pStyle w:val="FirstParagraph"/>
      </w:pPr>
      <w:r>
        <w:t xml:space="preserve">The study asks six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Prompt and runtime components.</w:t>
      </w:r>
      <w:r>
        <w:t xml:space="preserve"> </w:t>
      </w:r>
      <w:r>
        <w:t xml:space="preserve">What are the independent main</w:t>
      </w:r>
      <w:r>
        <w:t xml:space="preserve"> </w:t>
      </w:r>
      <w:r>
        <w:t xml:space="preserve">effects of the prompt profile and the runtime module bundle, and do they</w:t>
      </w:r>
      <w:r>
        <w:t xml:space="preserve"> </w:t>
      </w:r>
      <w:r>
        <w:t xml:space="preserve">interact?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Conditional robustness and model replication.</w:t>
      </w:r>
      <w:r>
        <w:t xml:space="preserve"> </w:t>
      </w:r>
      <w:r>
        <w:t xml:space="preserve">Are the factorial</w:t>
      </w:r>
      <w:r>
        <w:t xml:space="preserve"> </w:t>
      </w:r>
      <w:r>
        <w:t xml:space="preserve">effect directions consistent in a representative sample, an outcome-</w:t>
      </w:r>
      <w:r>
        <w:t xml:space="preserve"> </w:t>
      </w:r>
      <w:r>
        <w:t xml:space="preserve">enriched challenge set, and a same-provider Flash replication?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RQ4: Source authority.</w:t>
      </w:r>
      <w:r>
        <w:t xml:space="preserve"> </w:t>
      </w:r>
      <w:r>
        <w:t xml:space="preserve">When proposition, value, position, and policy</w:t>
      </w:r>
      <w:r>
        <w:t xml:space="preserve"> </w:t>
      </w:r>
      <w:r>
        <w:t xml:space="preserve">are held fixed, how does moving a critical argument between trusted and</w:t>
      </w:r>
      <w:r>
        <w:t xml:space="preserve"> </w:t>
      </w:r>
      <w:r>
        <w:t xml:space="preserve">untrusted origins change model–Guard behavior?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RQ5: Adaptive tail risk.</w:t>
      </w:r>
      <w:r>
        <w:t xml:space="preserve"> </w:t>
      </w:r>
      <w:r>
        <w:t xml:space="preserve">Among attacks with no unsafe effect by budget</w:t>
      </w:r>
      <w:r>
        <w:t xml:space="preserve"> </w:t>
      </w:r>
      <w:r>
        <w:t xml:space="preserve">200, how often does a first unsafe effect appear by budget 500?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RQ6: Contemporaneous attack activity.</w:t>
      </w:r>
      <w:r>
        <w:t xml:space="preserve"> </w:t>
      </w:r>
      <w:r>
        <w:t xml:space="preserve">In a historically risk-enriched</w:t>
      </w:r>
      <w:r>
        <w:t xml:space="preserve"> </w:t>
      </w:r>
      <w:r>
        <w:t xml:space="preserve">cohort, do control attacks remain active in the current execution block, and</w:t>
      </w:r>
      <w:r>
        <w:t xml:space="preserve"> </w:t>
      </w:r>
      <w:r>
        <w:t xml:space="preserve">how do six runtime conditions compare under the same provider window?</w:t>
      </w:r>
    </w:p>
    <w:bookmarkEnd w:id="23"/>
    <w:bookmarkStart w:id="24" w:name="study-design"/>
    <w:p>
      <w:pPr>
        <w:pStyle w:val="Heading3"/>
        <w:keepNext/>
        <w:jc w:val="left"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completed authorization experiment crosses a</w:t>
      </w:r>
      <w:r>
        <w:t xml:space="preserve"> </w:t>
      </w:r>
      <w:r>
        <w:t xml:space="preserve">policy package and a full package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</w:t>
      </w:r>
      <w:r>
        <w:t xml:space="preserve"> </w:t>
      </w:r>
      <w:r>
        <w:t xml:space="preserve">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 a nested subset adds three authorization stress</w:t>
      </w:r>
      <w:r>
        <w:t xml:space="preserve"> </w:t>
      </w:r>
      <w:r>
        <w:t xml:space="preserve">regimes. The incremental factorial experiment then holds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fixed</w:t>
      </w:r>
      <w:r>
        <w:t xml:space="preserve"> </w:t>
      </w:r>
      <w:r>
        <w:t xml:space="preserve">and crosses prompt profile (</w:t>
      </w:r>
      <w:r>
        <w:rPr>
          <w:rStyle w:val="VerbatimChar"/>
        </w:rPr>
        <w:t xml:space="preserve">normal</w:t>
      </w:r>
      <w:r>
        <w:t xml:space="preserve">/</w:t>
      </w:r>
      <w:r>
        <w:rPr>
          <w:rStyle w:val="VerbatimChar"/>
        </w:rPr>
        <w:t xml:space="preserve">safe</w:t>
      </w:r>
      <w:r>
        <w:t xml:space="preserve">) with runtime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policy</w:t>
      </w:r>
      <w:r>
        <w:t xml:space="preserve">/</w:t>
      </w:r>
      <w:r>
        <w:rPr>
          <w:rStyle w:val="VerbatimChar"/>
        </w:rPr>
        <w:t xml:space="preserve">full</w:t>
      </w:r>
      <w:r>
        <w:t xml:space="preserve">). A source-authority counterfactual holds text, parameter value,</w:t>
      </w:r>
      <w:r>
        <w:t xml:space="preserve"> </w:t>
      </w:r>
      <w:r>
        <w:t xml:space="preserve">relative position, and policy fixed while changing only provenance authority.</w:t>
      </w:r>
      <w:r>
        <w:t xml:space="preserve"> </w:t>
      </w:r>
      <w:r>
        <w:t xml:space="preserve">Separate challenge, Flash-replication, adaptive-tail, and single-block activity</w:t>
      </w:r>
      <w:r>
        <w:t xml:space="preserve"> </w:t>
      </w:r>
      <w:r>
        <w:t xml:space="preserve">calibration studies test conditional robustness.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authorization-regime sample contains 180 paired cases and 900 DeepSeek V4</w:t>
      </w:r>
      <w:r>
        <w:t xml:space="preserve"> </w:t>
      </w:r>
      <w:r>
        <w:t xml:space="preserve">Pro work items. The incremental design adds 720 Pro factorial runs, 240 Pro</w:t>
      </w:r>
      <w:r>
        <w:t xml:space="preserve"> </w:t>
      </w:r>
      <w:r>
        <w:t xml:space="preserve">source-authority runs plus 480 deterministic Guard decisions, 240 Pro challenge</w:t>
      </w:r>
      <w:r>
        <w:t xml:space="preserve"> </w:t>
      </w:r>
      <w:r>
        <w:t xml:space="preserve">runs, 360 Flash replication runs, and a conditional adaptive tail of at most</w:t>
      </w:r>
      <w:r>
        <w:t xml:space="preserve"> </w:t>
      </w:r>
      <w:r>
        <w:t xml:space="preserve">3,600 additional queries. A final calibration adds 360 DeepSeek work items over</w:t>
      </w:r>
      <w:r>
        <w:t xml:space="preserve"> </w:t>
      </w:r>
      <w:r>
        <w:t xml:space="preserve">60 historically control-positive attacks and six concurrent conditions. The</w:t>
      </w:r>
      <w:r>
        <w:t xml:space="preserve"> </w:t>
      </w:r>
      <w:r>
        <w:t xml:space="preserve">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Two bounded Gemini attempts</w:t>
      </w:r>
      <w:r>
        <w:t xml:space="preserve"> </w:t>
      </w:r>
      <w:r>
        <w:t xml:space="preserve">remain diagnostic only. Provider tools and real external effects are prohibited</w:t>
      </w:r>
      <w:r>
        <w:t xml:space="preserve"> </w:t>
      </w:r>
      <w:r>
        <w:t xml:space="preserve">throughout.</w:t>
      </w:r>
    </w:p>
    <w:bookmarkEnd w:id="24"/>
    <w:bookmarkStart w:id="25" w:name="empirical-motivation-and-study-framing"/>
    <w:p>
      <w:pPr>
        <w:pStyle w:val="Heading3"/>
        <w:keepNext/>
        <w:jc w:val="left"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full-package</w:t>
      </w:r>
      <w:r>
        <w:t xml:space="preserve"> </w:t>
      </w:r>
      <w:r>
        <w:t xml:space="preserve">superiority. The full package reduced unsafe effects from 8/36 under the</w:t>
      </w:r>
      <w:r>
        <w:t xml:space="preserve"> </w:t>
      </w:r>
      <w:r>
        <w:t xml:space="preserve">structural condition to 0/36, but the policy package also produced 0/36.</w:t>
      </w:r>
      <w:r>
        <w:t xml:space="preserve"> </w:t>
      </w:r>
      <w:r>
        <w:t xml:space="preserve">Benign tool completion fell from 12/24 under the structural condition to 6/24</w:t>
      </w:r>
      <w:r>
        <w:t xml:space="preserve"> </w:t>
      </w:r>
      <w:r>
        <w:t xml:space="preserve">under the full package,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the full package is a new or state-of-the-art defense.</w:t>
      </w:r>
    </w:p>
    <w:p>
      <w:pPr>
        <w:pStyle w:val="BodyText"/>
      </w:pPr>
      <w:r>
        <w:t xml:space="preserve">The larger Public primary matrix reinforced this</w:t>
      </w:r>
      <w:r>
        <w:t xml:space="preserve"> </w:t>
      </w:r>
      <w:r>
        <w:t xml:space="preserve">finding. Across 600 attacks, the full package reduced unsafe effects from 133</w:t>
      </w:r>
      <w:r>
        <w:t xml:space="preserve"> </w:t>
      </w:r>
      <w:r>
        <w:t xml:space="preserve">under the structural condition to 38, but the policy package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package therefore shows neither incremental</w:t>
      </w:r>
      <w:r>
        <w:t xml:space="preserve"> </w:t>
      </w:r>
      <w:r>
        <w:t xml:space="preserve">security nor utility value beyond the policy package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configuration-quality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incremental tail</w:t>
      </w:r>
      <w:r>
        <w:t xml:space="preserve"> </w:t>
      </w:r>
      <w:r>
        <w:t xml:space="preserve">extended only a prespecified subset of 12 B200 survivors toward 500. No new</w:t>
      </w:r>
      <w:r>
        <w:t xml:space="preserve"> </w:t>
      </w:r>
      <w:r>
        <w:t xml:space="preserve">first success was observed (0/12; Wilson 95% upper limit 24.25%); this is a</w:t>
      </w:r>
      <w:r>
        <w:t xml:space="preserve"> </w:t>
      </w:r>
      <w:r>
        <w:t xml:space="preserve">conditional analysis rather than a complete B500 curve or saturation result.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produced opposite benign-tool directions across the</w:t>
      </w:r>
      <w:r>
        <w:t xml:space="preserve"> </w:t>
      </w:r>
      <w:r>
        <w:t xml:space="preserve">two benchmarks and increased failure-sensitive attack risk on AgentDojo. It</w:t>
      </w:r>
      <w:r>
        <w:t xml:space="preserve"> </w:t>
      </w:r>
      <w:r>
        <w:t xml:space="preserve">also replaced ASK with more frequent DENY and increased latency. The full</w:t>
      </w:r>
      <w:r>
        <w:t xml:space="preserve"> </w:t>
      </w:r>
      <w:r>
        <w:t xml:space="preserve">package showed no stable advantage over the policy package. These unfavorable</w:t>
      </w:r>
      <w:r>
        <w:t xml:space="preserve"> </w:t>
      </w:r>
      <w:r>
        <w:t xml:space="preserve">results are retained. A separate risk-enriched single-block calibration found</w:t>
      </w:r>
      <w:r>
        <w:t xml:space="preserve"> </w:t>
      </w:r>
      <w:r>
        <w:t xml:space="preserve">17/60 unsafe effects under no defense, confirming contemporaneous activity in</w:t>
      </w:r>
      <w:r>
        <w:t xml:space="preserve"> </w:t>
      </w:r>
      <w:r>
        <w:t xml:space="preserve">the selected cohort; full/safe produced 0/60, but failures and the enriched</w:t>
      </w:r>
      <w:r>
        <w:t xml:space="preserve"> </w:t>
      </w:r>
      <w:r>
        <w:t xml:space="preserve">sampling frame preclude deployment-prevalence, utility, or temporal-repeatability</w:t>
      </w:r>
      <w:r>
        <w:t xml:space="preserve"> </w:t>
      </w:r>
      <w:r>
        <w:t xml:space="preserve">claims. Gemini free-tier execution remained too incomplete in both attempted</w:t>
      </w:r>
      <w:r>
        <w:t xml:space="preserve"> </w:t>
      </w:r>
      <w:r>
        <w:t xml:space="preserve">studies for a cross-provider effect estimate.</w:t>
      </w:r>
    </w:p>
    <w:bookmarkEnd w:id="25"/>
    <w:bookmarkStart w:id="26" w:name="contributions"/>
    <w:p>
      <w:pPr>
        <w:pStyle w:val="Heading3"/>
        <w:keepNext/>
        <w:jc w:val="left"/>
      </w:pPr>
      <w:r>
        <w:t xml:space="preserve">1.6 Contributions</w:t>
      </w:r>
    </w:p>
    <w:p>
      <w:pPr>
        <w:pStyle w:val="FirstParagraph"/>
      </w:pPr>
      <w:r>
        <w:t xml:space="preserve">The current evidence supports six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contemporaneous factorial evaluation that identifies prompt-profile and</w:t>
      </w:r>
      <w:r>
        <w:t xml:space="preserve"> </w:t>
      </w:r>
      <w:r>
        <w:t xml:space="preserve">runtime-module-bundle effects separately;</w:t>
      </w:r>
    </w:p>
    <w:p>
      <w:pPr>
        <w:numPr>
          <w:ilvl w:val="0"/>
          <w:numId w:val="1002"/>
        </w:numPr>
        <w:pStyle w:val="Compact"/>
      </w:pPr>
      <w:r>
        <w:t xml:space="preserve">a controlled source-authority counterfactual that separates deterministic</w:t>
      </w:r>
      <w:r>
        <w:t xml:space="preserve"> </w:t>
      </w:r>
      <w:r>
        <w:t xml:space="preserve">Guard decisions from end-to-end action and utility outcomes;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confirmation/blocking burden,</w:t>
      </w:r>
      <w:r>
        <w:t xml:space="preserve"> </w:t>
      </w:r>
      <w:r>
        <w:t xml:space="preserve">outcome-enriched instability, same-provider replication, and conditional</w:t>
      </w:r>
      <w:r>
        <w:t xml:space="preserve"> </w:t>
      </w:r>
      <w:r>
        <w:t xml:space="preserve">defense-aware attack budget; and</w:t>
      </w:r>
    </w:p>
    <w:p>
      <w:pPr>
        <w:numPr>
          <w:ilvl w:val="0"/>
          <w:numId w:val="1002"/>
        </w:numPr>
        <w:pStyle w:val="Compact"/>
      </w:pPr>
      <w:r>
        <w:t xml:space="preserve">a contemporaneous activity calibration that distinguishes an active control</w:t>
      </w:r>
      <w:r>
        <w:t xml:space="preserve"> </w:t>
      </w:r>
      <w:r>
        <w:t xml:space="preserve">attack set from low event rates under defended conditions without treating a</w:t>
      </w:r>
      <w:r>
        <w:t xml:space="preserve"> </w:t>
      </w:r>
      <w:r>
        <w:t xml:space="preserve">historical risk-enriched sample as deployment prevalence.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  <w:jc w:val="left"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  <w:jc w:val="left"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  <w:jc w:val="left"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reporting evaluator-labelled risk,</w:t>
      </w:r>
      <w:r>
        <w:t xml:space="preserve"> </w:t>
      </w:r>
      <w:r>
        <w:t xml:space="preserve">benign utility, confirmation/blocking burden, and operational failure. The</w:t>
      </w:r>
      <w:r>
        <w:t xml:space="preserve"> </w:t>
      </w:r>
      <w:r>
        <w:t xml:space="preserve">historical risk labels require the measurement qualifications in Methods;</w:t>
      </w:r>
      <w:r>
        <w:t xml:space="preserve"> </w:t>
      </w:r>
      <w:r>
        <w:t xml:space="preserve">only the corrected development study separates observed simulated effects</w:t>
      </w:r>
      <w:r>
        <w:t xml:space="preserve"> </w:t>
      </w:r>
      <w:r>
        <w:t xml:space="preserve">from proposals and boundary rejections.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differs from M3’s multi-step evaluation,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the policy and full configuration packages in paired</w:t>
      </w:r>
      <w:r>
        <w:t xml:space="preserve"> </w:t>
      </w:r>
      <w:r>
        <w:t xml:space="preserve">conditions while disclosing their bundled prompt/runtime differences; and</w:t>
      </w:r>
      <w:r>
        <w:t xml:space="preserve"> </w:t>
      </w:r>
      <w:r>
        <w:t xml:space="preserve">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 and operational failures. Effect semantics are specific</w:t>
      </w:r>
      <w:r>
        <w:t xml:space="preserve"> </w:t>
      </w:r>
      <w:r>
        <w:t xml:space="preserve">to the benchmark and evaluator version; the old and corrected endpoints are</w:t>
      </w:r>
      <w:r>
        <w:t xml:space="preserve"> </w:t>
      </w:r>
      <w:r>
        <w:t xml:space="preserve">not interchangeable. These are study-design claims and must stand on M3’s</w:t>
      </w:r>
      <w:r>
        <w:t xml:space="preserve"> </w:t>
      </w:r>
      <w:r>
        <w:t xml:space="preserve">own completed experiments.</w:t>
      </w:r>
    </w:p>
    <w:bookmarkEnd w:id="29"/>
    <w:bookmarkStart w:id="30" w:name="X95edda8eeb9b8e6ead7ec27e010e422127bfb5d"/>
    <w:p>
      <w:pPr>
        <w:pStyle w:val="Heading3"/>
        <w:keepNext/>
        <w:jc w:val="left"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The corrected development evaluation therefore</w:t>
      </w:r>
      <w:r>
        <w:t xml:space="preserve"> </w:t>
      </w:r>
      <w:r>
        <w:t xml:space="preserve">separates proposals, Guard decisions, sandbox execution receipts and outcome</w:t>
      </w:r>
      <w:r>
        <w:t xml:space="preserve"> </w:t>
      </w:r>
      <w:r>
        <w:t xml:space="preserve">scoring. AgentDojo retains its native security checker, whereas M3-v2 uses</w:t>
      </w:r>
      <w:r>
        <w:t xml:space="preserve"> </w:t>
      </w:r>
      <w:r>
        <w:t xml:space="preserve">observed simulated effects.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  <w:jc w:val="left"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legacy evaluator-labelled risk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p>
      <w:pPr>
        <w:pStyle w:val="BodyText"/>
      </w:pPr>
      <w:r>
        <w:t xml:space="preserve">PIArena, published at ACL 2026, integrates attacks, defenses, and benchmarks</w:t>
      </w:r>
      <w:r>
        <w:t xml:space="preserve"> </w:t>
      </w:r>
      <w:r>
        <w:t xml:space="preserve">and evaluates feedback-adaptive injection, including cases where the injected</w:t>
      </w:r>
      <w:r>
        <w:t xml:space="preserve"> </w:t>
      </w:r>
      <w:r>
        <w:t xml:space="preserve">task aligns with the intended task</w:t>
      </w:r>
      <w:r>
        <w:t xml:space="preserve"> </w:t>
      </w:r>
      <w:r>
        <w:t xml:space="preserve">(Geng et al. 2026)</w:t>
      </w:r>
      <w:r>
        <w:t xml:space="preserve">. The AgentDyn preprint instead</w:t>
      </w:r>
      <w:r>
        <w:t xml:space="preserve"> </w:t>
      </w:r>
      <w:r>
        <w:t xml:space="preserve">emphasizes dynamic planning, open-ended tasks, and helpful third-party</w:t>
      </w:r>
      <w:r>
        <w:t xml:space="preserve"> </w:t>
      </w:r>
      <w:r>
        <w:t xml:space="preserve">instructions</w:t>
      </w:r>
      <w:r>
        <w:t xml:space="preserve"> </w:t>
      </w:r>
      <w:r>
        <w:t xml:space="preserve">(Li et al. 2026)</w:t>
      </w:r>
      <w:r>
        <w:t xml:space="preserve">. These works motivate testing useful behavior under</w:t>
      </w:r>
      <w:r>
        <w:t xml:space="preserve"> </w:t>
      </w:r>
      <w:r>
        <w:t xml:space="preserve">authorization constraints, not merely counting blocked actions. The ASPI</w:t>
      </w:r>
      <w:r>
        <w:t xml:space="preserve"> </w:t>
      </w:r>
      <w:r>
        <w:t xml:space="preserve">preprint evaluates matched execution and clarification-seeking states and</w:t>
      </w:r>
      <w:r>
        <w:t xml:space="preserve"> </w:t>
      </w:r>
      <w:r>
        <w:t xml:space="preserve">finds increased vulnerability in its clarification setting</w:t>
      </w:r>
      <w:r>
        <w:t xml:space="preserve"> </w:t>
      </w:r>
      <w:r>
        <w:t xml:space="preserve">(Sehwag et al. 2026)</w:t>
      </w:r>
      <w:r>
        <w:t xml:space="preserve">. That</w:t>
      </w:r>
      <w:r>
        <w:t xml:space="preserve"> </w:t>
      </w:r>
      <w:r>
        <w:t xml:space="preserve">interaction differs from our controller-only permission diagnostic, which</w:t>
      </w:r>
      <w:r>
        <w:t xml:space="preserve"> </w:t>
      </w:r>
      <w:r>
        <w:t xml:space="preserve">does not send a clarification response back to the model. Neither a low ASK</w:t>
      </w:r>
      <w:r>
        <w:t xml:space="preserve"> </w:t>
      </w:r>
      <w:r>
        <w:t xml:space="preserve">rate nor successful permit issuance demonstrates a secure human-confirmation</w:t>
      </w:r>
      <w:r>
        <w:t xml:space="preserve"> </w:t>
      </w:r>
      <w:r>
        <w:t xml:space="preserve">workflow.</w:t>
      </w:r>
    </w:p>
    <w:bookmarkEnd w:id="31"/>
    <w:bookmarkStart w:id="32" w:name="positioning-summary"/>
    <w:p>
      <w:pPr>
        <w:pStyle w:val="Heading3"/>
        <w:keepNext/>
        <w:jc w:val="left"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In the medium experiment, M3-full did not improve</w:t>
      </w:r>
      <w:r>
        <w:t xml:space="preserve"> </w:t>
      </w:r>
      <w:r>
        <w:t xml:space="preserve">the reported legacy risk endpoint over M3 policy-only and failed the reported</w:t>
      </w:r>
      <w:r>
        <w:t xml:space="preserve"> </w:t>
      </w:r>
      <w:r>
        <w:t xml:space="preserve">benign-tool non-inferiority criterion. Those measurements do not establish</w:t>
      </w:r>
      <w:r>
        <w:t xml:space="preserve"> </w:t>
      </w:r>
      <w:r>
        <w:t xml:space="preserve">effects under the repaired execution semantics. The active paper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53" w:name="methods"/>
    <w:p>
      <w:pPr>
        <w:pStyle w:val="Heading2"/>
        <w:keepNext/>
        <w:jc w:val="left"/>
      </w:pPr>
      <w:r>
        <w:t xml:space="preserve">3. Methods</w:t>
      </w:r>
    </w:p>
    <w:bookmarkStart w:id="34" w:name="study-design-and-research-questions"/>
    <w:p>
      <w:pPr>
        <w:pStyle w:val="Heading3"/>
        <w:keepNext/>
        <w:jc w:val="left"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deployed Guard configuration package while</w:t>
      </w:r>
      <w:r>
        <w:t xml:space="preserve"> </w:t>
      </w:r>
      <w:r>
        <w:t xml:space="preserve">holding the task, attack, provider, model, tool environment, and evaluator</w:t>
      </w:r>
      <w:r>
        <w:t xml:space="preserve"> </w:t>
      </w:r>
      <w:r>
        <w:t xml:space="preserve">fixed.</w:t>
      </w:r>
    </w:p>
    <w:p>
      <w:pPr>
        <w:pStyle w:val="BodyText"/>
      </w:pPr>
      <w:r>
        <w:t xml:space="preserve">The study addresses six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Prompt and runtime components.</w:t>
      </w:r>
      <w:r>
        <w:t xml:space="preserve"> </w:t>
      </w:r>
      <w:r>
        <w:t xml:space="preserve">What are the independent main</w:t>
      </w:r>
      <w:r>
        <w:t xml:space="preserve"> </w:t>
      </w:r>
      <w:r>
        <w:t xml:space="preserve">effects of the safety prompt and full runtime modules, and do they interact?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Conditional robustness and model replication.</w:t>
      </w:r>
      <w:r>
        <w:t xml:space="preserve"> </w:t>
      </w:r>
      <w:r>
        <w:t xml:space="preserve">Are the factor</w:t>
      </w:r>
      <w:r>
        <w:t xml:space="preserve"> </w:t>
      </w:r>
      <w:r>
        <w:t xml:space="preserve">directions consistent on historically difficult attacks and on DeepSeek V4</w:t>
      </w:r>
      <w:r>
        <w:t xml:space="preserve"> </w:t>
      </w:r>
      <w:r>
        <w:t xml:space="preserve">Flash?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RQ4: Source authority.</w:t>
      </w:r>
      <w:r>
        <w:t xml:space="preserve"> </w:t>
      </w:r>
      <w:r>
        <w:t xml:space="preserve">When proposition, parameter value, position, and</w:t>
      </w:r>
      <w:r>
        <w:t xml:space="preserve"> </w:t>
      </w:r>
      <w:r>
        <w:t xml:space="preserve">policy are held fixed, how does moving the proposition between trusted and</w:t>
      </w:r>
      <w:r>
        <w:t xml:space="preserve"> </w:t>
      </w:r>
      <w:r>
        <w:t xml:space="preserve">untrusted sources change Guard and end-to-end behavior?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RQ5: Adaptive tail risk.</w:t>
      </w:r>
      <w:r>
        <w:t xml:space="preserve"> </w:t>
      </w:r>
      <w:r>
        <w:t xml:space="preserve">Among attacks with no unsafe effect by budget</w:t>
      </w:r>
      <w:r>
        <w:t xml:space="preserve"> </w:t>
      </w:r>
      <w:r>
        <w:t xml:space="preserve">200, how many prospectively selected tasks first succeed by budget 500?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RQ6: Contemporaneous attack activity.</w:t>
      </w:r>
      <w:r>
        <w:t xml:space="preserve"> </w:t>
      </w:r>
      <w:r>
        <w:t xml:space="preserve">In a historically risk-enriched</w:t>
      </w:r>
      <w:r>
        <w:t xml:space="preserve"> </w:t>
      </w:r>
      <w:r>
        <w:t xml:space="preserve">cohort, are control attacks active in the current execution block, and how</w:t>
      </w:r>
      <w:r>
        <w:t xml:space="preserve"> </w:t>
      </w:r>
      <w:r>
        <w:t xml:space="preserve">do six runtime conditions compare within that same block?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the full package underperforms the policy</w:t>
      </w:r>
      <w:r>
        <w:t xml:space="preserve"> </w:t>
      </w:r>
      <w:r>
        <w:t xml:space="preserve">package, or the available replication evidence differs from the primary model.</w:t>
      </w:r>
    </w:p>
    <w:bookmarkEnd w:id="34"/>
    <w:bookmarkStart w:id="35" w:name="threat-model-and-safety-boundary"/>
    <w:p>
      <w:pPr>
        <w:pStyle w:val="Heading3"/>
        <w:keepNext/>
        <w:jc w:val="left"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  <w:jc w:val="left"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  <w:jc w:val="left"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task-policy representation, but</w:t>
      </w:r>
      <w:r>
        <w:t xml:space="preserve"> </w:t>
      </w:r>
      <w:r>
        <w:t xml:space="preserve">they are not a single-module ablation: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Policy package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 with the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prompt profile. Provenance propagation,</w:t>
      </w:r>
      <w:r>
        <w:t xml:space="preserve"> </w:t>
      </w:r>
      <w:r>
        <w:t xml:space="preserve">temporal/data-flow checks, and 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package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 </w:t>
      </w:r>
      <w:r>
        <w:t xml:space="preserve">profile and enables policy enforcement</w:t>
      </w:r>
      <w:r>
        <w:t xml:space="preserve"> </w:t>
      </w:r>
      <w:r>
        <w:t xml:space="preserve">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t xml:space="preserve">The earlier authorization experiment changed prompt profile and runtime modules</w:t>
      </w:r>
      <w:r>
        <w:t xml:space="preserve"> </w:t>
      </w:r>
      <w:r>
        <w:t xml:space="preserve">together and is therefore retained only as a bundled configuration comparison.</w:t>
      </w:r>
      <w:r>
        <w:t xml:space="preserve"> </w:t>
      </w:r>
      <w:r>
        <w:t xml:space="preserve">The new concurrent factorial crosses both factors explicitly: policy versus</w:t>
      </w:r>
      <w:r>
        <w:t xml:space="preserve"> </w:t>
      </w:r>
      <w:r>
        <w:t xml:space="preserve">full modules and normal versus safe prompt. Its module main effect, prompt main</w:t>
      </w:r>
      <w:r>
        <w:t xml:space="preserve"> </w:t>
      </w:r>
      <w:r>
        <w:t xml:space="preserve">effect, and module-by-prompt interaction are therefore separately identified</w:t>
      </w:r>
      <w:r>
        <w:t xml:space="preserve"> </w:t>
      </w:r>
      <w:r>
        <w:t xml:space="preserve">within the fixed paired sample.</w:t>
      </w:r>
    </w:p>
    <w:p>
      <w:pPr>
        <w:pStyle w:val="BodyText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earlier incomplete 450-item Gemini authorization sample remains diagnostic</w:t>
      </w:r>
      <w:r>
        <w:t xml:space="preserve"> </w:t>
      </w:r>
      <w:r>
        <w:t xml:space="preserve">and is not extended. E6 makes a separately executed, bounded Gemini prefix</w:t>
      </w:r>
      <w:r>
        <w:t xml:space="preserve"> </w:t>
      </w:r>
      <w:r>
        <w:t xml:space="preserve">attempt that is diagnostic by design under the single-block amendment. Even</w:t>
      </w:r>
      <w:r>
        <w:t xml:space="preserve"> </w:t>
      </w:r>
      <w:r>
        <w:t xml:space="preserve">complete prefix coverage would not make that amended design a formal</w:t>
      </w:r>
      <w:r>
        <w:t xml:space="preserve"> </w:t>
      </w:r>
      <w:r>
        <w:t xml:space="preserve">cross-provider study; the observed incomplete prefix leaves every Gemini and</w:t>
      </w:r>
      <w:r>
        <w:t xml:space="preserve"> </w:t>
      </w:r>
      <w:r>
        <w:t xml:space="preserve">cross-provider effect not estimable. Structural baselines,</w:t>
      </w:r>
      <w:r>
        <w:t xml:space="preserve"> </w:t>
      </w:r>
      <w:r>
        <w:t xml:space="preserve">including the source-pinned VIGIL adapter, retain their earlier descriptive</w:t>
      </w:r>
      <w:r>
        <w:t xml:space="preserve"> </w:t>
      </w:r>
      <w:r>
        <w:t xml:space="preserve">role; the new experiments target causal confounding, source authority, risk</w:t>
      </w:r>
      <w:r>
        <w:t xml:space="preserve"> </w:t>
      </w:r>
      <w:r>
        <w:t xml:space="preserve">enrichment, same-provider model replication, and adaptive tail behavior rather</w:t>
      </w:r>
      <w:r>
        <w:t xml:space="preserve"> </w:t>
      </w:r>
      <w:r>
        <w:t xml:space="preserve">than rerunning a large baseline matrix.</w:t>
      </w:r>
    </w:p>
    <w:bookmarkEnd w:id="37"/>
    <w:bookmarkStart w:id="38" w:name="authorization-regimes"/>
    <w:p>
      <w:pPr>
        <w:pStyle w:val="Heading3"/>
        <w:keepNext/>
        <w:jc w:val="left"/>
      </w:pPr>
      <w:r>
        <w:t xml:space="preserve">3.5 Authorization regimes</w:t>
      </w:r>
    </w:p>
    <w:p>
      <w:pPr>
        <w:pStyle w:val="FirstParagraph"/>
      </w:pPr>
      <w:r>
        <w:t xml:space="preserve">Five controlled code transformations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the task policy is compiled from the trusted user request,</w:t>
      </w:r>
      <w:r>
        <w:t xml:space="preserve"> </w:t>
      </w:r>
      <w:r>
        <w:t xml:space="preserve">trusted application context, and tool schemas before untrusted evidence is</w:t>
      </w:r>
      <w:r>
        <w:t xml:space="preserve"> </w:t>
      </w:r>
      <w:r>
        <w:t xml:space="preserve">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expected tool calls are derived offline from the evaluator and</w:t>
      </w:r>
      <w:r>
        <w:t xml:space="preserve"> </w:t>
      </w:r>
      <w:r>
        <w:t xml:space="preserve">converted into required exact argument rules, with confirmation disabled;</w:t>
      </w:r>
      <w:r>
        <w:t xml:space="preserve"> </w:t>
      </w:r>
      <w:r>
        <w:t xml:space="preserve">only the derived authorization object enters online state;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each exact argument constraint is replaced by a type constraint;</w:t>
      </w:r>
      <w:r>
        <w:t xml:space="preserve"> </w:t>
      </w:r>
      <w:r>
        <w:t xml:space="preserve">when this widens a side-effecting rule, confirmation is required;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the last compiled tool rule is removed; and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each exact value is replaced by a deterministic controlled</w:t>
      </w:r>
      <w:r>
        <w:t xml:space="preserve"> </w:t>
      </w:r>
      <w:r>
        <w:t xml:space="preserve">conflicting value (for example, a recipient becomes</w:t>
      </w:r>
      <w:r>
        <w:t xml:space="preserve"> </w:t>
      </w:r>
      <w:r>
        <w:rPr>
          <w:rStyle w:val="VerbatimChar"/>
        </w:rPr>
        <w:t xml:space="preserve">conflicting-scope [at] example.test</w:t>
      </w:r>
      <w:r>
        <w:t xml:space="preserve"> </w:t>
      </w:r>
      <w:r>
        <w:t xml:space="preserve">or a path becomes a public-sandbox conflict</w:t>
      </w:r>
      <w:r>
        <w:t xml:space="preserve"> </w:t>
      </w:r>
      <w:r>
        <w:t xml:space="preserve">path).</w:t>
      </w:r>
    </w:p>
    <w:p>
      <w:pPr>
        <w:pStyle w:val="FirstParagraph"/>
      </w:pPr>
      <w:r>
        <w:t xml:space="preserve">As a sanitized example, an auto-compiled rule allowing</w:t>
      </w:r>
      <w:r>
        <w:t xml:space="preserve"> </w:t>
      </w:r>
      <w:r>
        <w:rPr>
          <w:rStyle w:val="VerbatimChar"/>
        </w:rPr>
        <w:t xml:space="preserve">send_email(to="analyst [at] example.test")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send_email(to: string, confirmation required)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 is removed if it</w:t>
      </w:r>
      <w:r>
        <w:t xml:space="preserve"> </w:t>
      </w:r>
      <w:r>
        <w:t xml:space="preserve">is the final rule under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 targets</w:t>
      </w:r>
      <w:r>
        <w:t xml:space="preserve"> </w:t>
      </w:r>
      <w:r>
        <w:rPr>
          <w:rStyle w:val="VerbatimChar"/>
        </w:rPr>
        <w:t xml:space="preserve">conflicting-scope [at] example.test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</w:t>
      </w:r>
      <w:r>
        <w:t xml:space="preserve"> </w:t>
      </w:r>
      <w:r>
        <w:t xml:space="preserve">offline expected call becomes a required exact-value rule. These definitions</w:t>
      </w:r>
      <w:r>
        <w:t xml:space="preserve"> </w:t>
      </w:r>
      <w:r>
        <w:t xml:space="preserve">describe this implementation; they are not prevalence estimates for deployed</w:t>
      </w:r>
      <w:r>
        <w:t xml:space="preserve"> </w:t>
      </w:r>
      <w:r>
        <w:t xml:space="preserve">authorization systems.</w:t>
      </w:r>
    </w:p>
    <w:p>
      <w:pPr>
        <w:pStyle w:val="BodyText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  <w:jc w:val="left"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three record matrices contain 847, 597, and 72 unique cases,</w:t>
      </w:r>
      <w:r>
        <w:t xml:space="preserve"> </w:t>
      </w:r>
      <w:r>
        <w:t xml:space="preserve">respectively. The Flash cohort is a 597-case subset of the Pro Public cohort;</w:t>
      </w:r>
      <w:r>
        <w:t xml:space="preserve"> </w:t>
      </w:r>
      <w:r>
        <w:t xml:space="preserve">17 medium cases overlap Pro and 16 overlap Flash. Their union is 902 distinct</w:t>
      </w:r>
      <w:r>
        <w:t xml:space="preserve"> </w:t>
      </w:r>
      <w:r>
        <w:t xml:space="preserve">cases, so the 7,353 condition-level records are not treated as 7,353</w:t>
      </w:r>
      <w:r>
        <w:t xml:space="preserve"> </w:t>
      </w:r>
      <w:r>
        <w:t xml:space="preserve">independent cases.</w:t>
      </w:r>
    </w:p>
    <w:p>
      <w:pPr>
        <w:pStyle w:val="BodyText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  <w:jc w:val="left"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The lean study was designed after the larger Public matrices had been</w:t>
      </w:r>
      <w:r>
        <w:t xml:space="preserve"> </w:t>
      </w:r>
      <w:r>
        <w:t xml:space="preserve">completed, but its deterministic selector reads only frozen Public execution-</w:t>
      </w:r>
      <w:r>
        <w:t xml:space="preserve"> </w:t>
      </w:r>
      <w:r>
        <w:t xml:space="preserve">plan identifiers, pre-outcome strata, and call budgets. It does not read any</w:t>
      </w:r>
      <w:r>
        <w:t xml:space="preserve"> </w:t>
      </w:r>
      <w:r>
        <w:t xml:space="preserve">Public result or outcome file. Selection is stratified by benchmark, task type,</w:t>
      </w:r>
      <w:r>
        <w:t xml:space="preserve"> </w:t>
      </w:r>
      <w:r>
        <w:t xml:space="preserve">and attack family. Every main case is assigned to four cells: policy package/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 package/</w:t>
      </w:r>
      <w:r>
        <w:rPr>
          <w:rStyle w:val="VerbatimChar"/>
        </w:rPr>
        <w:t xml:space="preserve">exact_gold</w:t>
      </w:r>
      <w:r>
        <w:t xml:space="preserve">, full package/</w:t>
      </w:r>
      <w:r>
        <w:rPr>
          <w:rStyle w:val="VerbatimChar"/>
        </w:rPr>
        <w:t xml:space="preserve">auto_compiled</w:t>
      </w:r>
      <w:r>
        <w:t xml:space="preserve">, and</w:t>
      </w:r>
      <w:r>
        <w:t xml:space="preserve"> </w:t>
      </w:r>
      <w:r>
        <w:t xml:space="preserve">full package/</w:t>
      </w:r>
      <w:r>
        <w:rPr>
          <w:rStyle w:val="VerbatimChar"/>
        </w:rPr>
        <w:t xml:space="preserve">exact_gold</w:t>
      </w:r>
      <w:r>
        <w:t xml:space="preserve">. This produces 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concurrent-prompt-by-module-factorial"/>
    <w:p>
      <w:pPr>
        <w:pStyle w:val="Heading3"/>
        <w:keepNext/>
        <w:jc w:val="left"/>
      </w:pPr>
      <w:r>
        <w:t xml:space="preserve">3.8 Concurrent prompt-by-module factorial</w:t>
      </w:r>
    </w:p>
    <w:p>
      <w:pPr>
        <w:pStyle w:val="FirstParagraph"/>
      </w:pPr>
      <w:r>
        <w:t xml:space="preserve">E1 reuses the 180-case sample but reruns every case contemporaneously under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cells: policy/normal, policy/safe, full/normal, and</w:t>
      </w:r>
      <w:r>
        <w:t xml:space="preserve"> </w:t>
      </w:r>
      <w:r>
        <w:t xml:space="preserve">full/safe. This produces 720 new work items and prevents an effect estimate</w:t>
      </w:r>
      <w:r>
        <w:t xml:space="preserve"> </w:t>
      </w:r>
      <w:r>
        <w:t xml:space="preserve">from being assembled across dates or execution identities. An eight-item</w:t>
      </w:r>
      <w:r>
        <w:t xml:space="preserve"> </w:t>
      </w:r>
      <w:r>
        <w:t xml:space="preserve">formal prefix covers all four cells and both attack and benign-tool tasks; it</w:t>
      </w:r>
      <w:r>
        <w:t xml:space="preserve"> </w:t>
      </w:r>
      <w:r>
        <w:t xml:space="preserve">is included once in the final denominator.</w:t>
      </w:r>
    </w:p>
    <w:bookmarkEnd w:id="41"/>
    <w:bookmarkStart w:id="42" w:name="source-authority-counterfactual"/>
    <w:p>
      <w:pPr>
        <w:pStyle w:val="Heading3"/>
        <w:keepNext/>
        <w:jc w:val="left"/>
      </w:pPr>
      <w:r>
        <w:t xml:space="preserve">3.9 Source-authority counterfactual</w:t>
      </w:r>
    </w:p>
    <w:p>
      <w:pPr>
        <w:pStyle w:val="FirstParagraph"/>
      </w:pPr>
      <w:r>
        <w:t xml:space="preserve">E2 contains 60 synthetic controlled tool tasks, with 30 scenarios labeled for</w:t>
      </w:r>
      <w:r>
        <w:t xml:space="preserve"> </w:t>
      </w:r>
      <w:r>
        <w:t xml:space="preserve">each benchmark domain. All use the controlled M3-v2 runtime rather than the</w:t>
      </w:r>
      <w:r>
        <w:t xml:space="preserve"> </w:t>
      </w:r>
      <w:r>
        <w:t xml:space="preserve">native AgentDojo environment. Thirty are supporting scenarios and thirty contain a parameter that</w:t>
      </w:r>
      <w:r>
        <w:t xml:space="preserve"> </w:t>
      </w:r>
      <w:r>
        <w:t xml:space="preserve">competes with the trusted request. The scenarios cover payment targets,</w:t>
      </w:r>
      <w:r>
        <w:t xml:space="preserve"> </w:t>
      </w:r>
      <w:r>
        <w:t xml:space="preserve">message recipients, file paths, calendar participants, data recipients, and</w:t>
      </w:r>
      <w:r>
        <w:t xml:space="preserve"> </w:t>
      </w:r>
      <w:r>
        <w:t xml:space="preserve">workspace objects.</w:t>
      </w:r>
    </w:p>
    <w:p>
      <w:pPr>
        <w:pStyle w:val="BodyText"/>
      </w:pPr>
      <w:r>
        <w:t xml:space="preserve">Each task has</w:t>
      </w:r>
      <w:r>
        <w:t xml:space="preserve"> </w:t>
      </w:r>
      <w:r>
        <w:rPr>
          <w:rStyle w:val="VerbatimChar"/>
        </w:rPr>
        <w:t xml:space="preserve">trusted_origin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untrusted_origin</w:t>
      </w:r>
      <w:r>
        <w:t xml:space="preserve"> </w:t>
      </w:r>
      <w:r>
        <w:t xml:space="preserve">versions. Proposition,</w:t>
      </w:r>
      <w:r>
        <w:t xml:space="preserve"> </w:t>
      </w:r>
      <w:r>
        <w:t xml:space="preserve">parameter value, relative position, and policy remain fixed; only source</w:t>
      </w:r>
      <w:r>
        <w:t xml:space="preserve"> </w:t>
      </w:r>
      <w:r>
        <w:t xml:space="preserve">authority changes. Policy/normal and full/normal are crossed with both source</w:t>
      </w:r>
      <w:r>
        <w:t xml:space="preserve"> </w:t>
      </w:r>
      <w:r>
        <w:t xml:space="preserve">variants, yielding 240 end-to-end work items. Separately, authorized and</w:t>
      </w:r>
      <w:r>
        <w:t xml:space="preserve"> </w:t>
      </w:r>
      <w:r>
        <w:t xml:space="preserve">unauthorized proposals are replayed through both Guard configurations for</w:t>
      </w:r>
      <w:r>
        <w:t xml:space="preserve"> </w:t>
      </w:r>
      <w:r>
        <w:t xml:space="preserve">every source variant, yielding 480 deterministic, zero-provider decisions.</w:t>
      </w:r>
      <w:r>
        <w:t xml:space="preserve"> </w:t>
      </w:r>
      <w:r>
        <w:t xml:space="preserve">Offline Guard replay and end-to-end system performance are reported as</w:t>
      </w:r>
      <w:r>
        <w:t xml:space="preserve"> </w:t>
      </w:r>
      <w:r>
        <w:t xml:space="preserve">different evidence layers.</w:t>
      </w:r>
    </w:p>
    <w:bookmarkEnd w:id="42"/>
    <w:bookmarkStart w:id="43" w:name="X52f01c6828d788906a3a46fa4b3f3f5f657d7ba"/>
    <w:p>
      <w:pPr>
        <w:pStyle w:val="Heading3"/>
        <w:keepNext/>
        <w:jc w:val="left"/>
      </w:pPr>
      <w:r>
        <w:t xml:space="preserve">3.10 Risk-enriched challenge and Flash replication</w:t>
      </w:r>
    </w:p>
    <w:p>
      <w:pPr>
        <w:pStyle w:val="FirstParagraph"/>
      </w:pPr>
      <w:r>
        <w:t xml:space="preserve">E3 selects 60 historical attack cases, 30 per benchmark, that produced an</w:t>
      </w:r>
      <w:r>
        <w:t xml:space="preserve"> </w:t>
      </w:r>
      <w:r>
        <w:t xml:space="preserve">unsafe effect under at least one earlier public condition. Coverage of suite</w:t>
      </w:r>
      <w:r>
        <w:t xml:space="preserve"> </w:t>
      </w:r>
      <w:r>
        <w:t xml:space="preserve">and attack family is prioritized before the count of earlier unsafe</w:t>
      </w:r>
      <w:r>
        <w:t xml:space="preserve"> </w:t>
      </w:r>
      <w:r>
        <w:t xml:space="preserve">conditions; a fixed digest order breaks ties. Each case receives the four E1</w:t>
      </w:r>
      <w:r>
        <w:t xml:space="preserve"> </w:t>
      </w:r>
      <w:r>
        <w:t xml:space="preserve">factor cells, yielding 240 Pro runs. This outcome-enriched cohort estimates</w:t>
      </w:r>
      <w:r>
        <w:t xml:space="preserve"> </w:t>
      </w:r>
      <w:r>
        <w:t xml:space="preserve">conditional robustness on known difficult cases and cannot estimate natural</w:t>
      </w:r>
      <w:r>
        <w:t xml:space="preserve"> </w:t>
      </w:r>
      <w:r>
        <w:t xml:space="preserve">attack prevalence.</w:t>
      </w:r>
    </w:p>
    <w:p>
      <w:pPr>
        <w:pStyle w:val="BodyText"/>
      </w:pPr>
      <w:r>
        <w:t xml:space="preserve">E4 uses a 90-case nested representative sample with 50 attacks, 30 benign tool</w:t>
      </w:r>
      <w:r>
        <w:t xml:space="preserve"> </w:t>
      </w:r>
      <w:r>
        <w:t xml:space="preserve">tasks, and 10 benign no-tool tasks. It repeats all four E1 cells on DeepSeek V4</w:t>
      </w:r>
      <w:r>
        <w:t xml:space="preserve"> </w:t>
      </w:r>
      <w:r>
        <w:t xml:space="preserve">Flash, yielding 360 work items. This is a same-provider model replication, not</w:t>
      </w:r>
      <w:r>
        <w:t xml:space="preserve"> </w:t>
      </w:r>
      <w:r>
        <w:t xml:space="preserve">a cross-vendor generalization study.</w:t>
      </w:r>
    </w:p>
    <w:bookmarkEnd w:id="43"/>
    <w:bookmarkStart w:id="44" w:name="adaptive-b200-survivor-tail"/>
    <w:p>
      <w:pPr>
        <w:pStyle w:val="Heading3"/>
        <w:keepNext/>
        <w:jc w:val="left"/>
      </w:pPr>
      <w:r>
        <w:t xml:space="preserve">3.11 Adaptive B200-survivor tail</w:t>
      </w:r>
    </w:p>
    <w:p>
      <w:pPr>
        <w:pStyle w:val="FirstParagraph"/>
      </w:pPr>
      <w:r>
        <w:t xml:space="preserve">E5 starts from the 22 of 40 defense-aware attack tasks with no unsafe effect by</w:t>
      </w:r>
      <w:r>
        <w:t xml:space="preserve"> </w:t>
      </w:r>
      <w:r>
        <w:t xml:space="preserve">query 200. Twelve were selected prospectively: all four A2 tasks and four each</w:t>
      </w:r>
      <w:r>
        <w:t xml:space="preserve"> </w:t>
      </w:r>
      <w:r>
        <w:t xml:space="preserve">from A1 and A3 by fixed digest order. Their existing search checkpoints are</w:t>
      </w:r>
      <w:r>
        <w:t xml:space="preserve"> </w:t>
      </w:r>
      <w:r>
        <w:t xml:space="preserve">continued from query 201 to at most 500 and stop at the first unsafe effect.</w:t>
      </w:r>
      <w:r>
        <w:t xml:space="preserve"> </w:t>
      </w:r>
      <w:r>
        <w:t xml:space="preserve">The maximum is 3,600 new queries. We report</w:t>
      </w:r>
      <w:r>
        <w:t xml:space="preserve"> </w:t>
      </w:r>
      <w:r>
        <w:rPr>
          <w:rStyle w:val="VerbatimChar"/>
        </w:rPr>
        <w:t xml:space="preserve">P(first success by 500 | no success by 200)</w:t>
      </w:r>
      <w:r>
        <w:t xml:space="preserve">, first-success locations, a</w:t>
      </w:r>
      <w:r>
        <w:t xml:space="preserve"> </w:t>
      </w:r>
      <w:r>
        <w:t xml:space="preserve">conditional survival step function, family strata, query count, tokens, cost,</w:t>
      </w:r>
      <w:r>
        <w:t xml:space="preserve"> </w:t>
      </w:r>
      <w:r>
        <w:t xml:space="preserve">and failure. These twelve tasks are not merged into the original 40-task</w:t>
      </w:r>
      <w:r>
        <w:t xml:space="preserve"> </w:t>
      </w:r>
      <w:r>
        <w:t xml:space="preserve">cohort to construct a nominal full B500 curve.</w:t>
      </w:r>
    </w:p>
    <w:bookmarkEnd w:id="44"/>
    <w:bookmarkStart w:id="45" w:name="X943f5c26ddb698f94af1aed915f87a15960d75a"/>
    <w:p>
      <w:pPr>
        <w:pStyle w:val="Heading3"/>
        <w:keepNext/>
        <w:jc w:val="left"/>
      </w:pPr>
      <w:r>
        <w:t xml:space="preserve">3.12 Contemporaneous attack-activity calibration</w:t>
      </w:r>
    </w:p>
    <w:p>
      <w:pPr>
        <w:pStyle w:val="FirstParagraph"/>
      </w:pPr>
      <w:r>
        <w:t xml:space="preserve">E6 freezes 60 unique attacks, 30 per benchmark, selected only from historical</w:t>
      </w:r>
      <w:r>
        <w:t xml:space="preserve"> </w:t>
      </w:r>
      <w:r>
        <w:t xml:space="preserve">Public-primary cases that produced an unsafe effect under no defense or the</w:t>
      </w:r>
      <w:r>
        <w:t xml:space="preserve"> </w:t>
      </w:r>
      <w:r>
        <w:t xml:space="preserve">source-pinned VIGIL adapter. It runs each task once under no defense, VIGIL,</w:t>
      </w:r>
      <w:r>
        <w:t xml:space="preserve"> </w:t>
      </w:r>
      <w:r>
        <w:t xml:space="preserve">policy/normal, policy/safe, full/normal, and full/safe, producing 360 DeepSeek</w:t>
      </w:r>
      <w:r>
        <w:t xml:space="preserve"> </w:t>
      </w:r>
      <w:r>
        <w:t xml:space="preserve">work items in one execution block. Condition order uses a fixed six-way rotation</w:t>
      </w:r>
      <w:r>
        <w:t xml:space="preserve"> </w:t>
      </w:r>
      <w:r>
        <w:t xml:space="preserve">within each benchmark. A 12-item outcome-blind formal prefix is included in the</w:t>
      </w:r>
      <w:r>
        <w:t xml:space="preserve"> </w:t>
      </w:r>
      <w:r>
        <w:t xml:space="preserve">final denominator. This risk-enriched cohort tests whether attacks remain active</w:t>
      </w:r>
      <w:r>
        <w:t xml:space="preserve"> </w:t>
      </w:r>
      <w:r>
        <w:t xml:space="preserve">contemporaneously and compares conditions within the same block; it does not</w:t>
      </w:r>
      <w:r>
        <w:t xml:space="preserve"> </w:t>
      </w:r>
      <w:r>
        <w:t xml:space="preserve">estimate deployment prevalence. The execution is separate from E3, but the</w:t>
      </w:r>
      <w:r>
        <w:t xml:space="preserve"> </w:t>
      </w:r>
      <w:r>
        <w:t xml:space="preserve">sample is not independent: 47/60 tasks are E3 anchors (19 AgentDojo and 28</w:t>
      </w:r>
      <w:r>
        <w:t xml:space="preserve"> </w:t>
      </w:r>
      <w:r>
        <w:t xml:space="preserve">M3-v2).</w:t>
      </w:r>
    </w:p>
    <w:p>
      <w:pPr>
        <w:pStyle w:val="BodyText"/>
      </w:pPr>
      <w:r>
        <w:t xml:space="preserve">The original three-date E6 design was prospectively amended before any E6-v2</w:t>
      </w:r>
      <w:r>
        <w:t xml:space="preserve"> </w:t>
      </w:r>
      <w:r>
        <w:t xml:space="preserve">provider call because artificial spacing did not answer a mechanism-relevant</w:t>
      </w:r>
      <w:r>
        <w:t xml:space="preserve"> </w:t>
      </w:r>
      <w:r>
        <w:t xml:space="preserve">question. The amendment retained the frozen 60-task cohort, six conditions,</w:t>
      </w:r>
      <w:r>
        <w:t xml:space="preserve"> </w:t>
      </w:r>
      <w:r>
        <w:t xml:space="preserve">sampling rules, endpoints, and failure policy, but replaced temporal replication</w:t>
      </w:r>
      <w:r>
        <w:t xml:space="preserve"> </w:t>
      </w:r>
      <w:r>
        <w:t xml:space="preserve">with one complete diagnostic block. Consequently, E6 cannot estimate temporal</w:t>
      </w:r>
      <w:r>
        <w:t xml:space="preserve"> </w:t>
      </w:r>
      <w:r>
        <w:t xml:space="preserve">repeatability. It contains no benign tasks and cannot contribute TCR or utility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A nested 30-task Gemini plan used the same cases and conditions; 29/30 tasks are</w:t>
      </w:r>
      <w:r>
        <w:t xml:space="preserve"> </w:t>
      </w:r>
      <w:r>
        <w:t xml:space="preserve">E3 anchors (15 AgentDojo and 14 M3-v2). Its formal prefix stopped after five</w:t>
      </w:r>
      <w:r>
        <w:t xml:space="preserve"> </w:t>
      </w:r>
      <w:r>
        <w:t xml:space="preserve">response-bearing records and one response-less VIGIL dependency failure; the</w:t>
      </w:r>
      <w:r>
        <w:t xml:space="preserve"> </w:t>
      </w:r>
      <w:r>
        <w:t xml:space="preserve">remaining 174 items were administratively closed rather than scientifically</w:t>
      </w:r>
      <w:r>
        <w:t xml:space="preserve"> </w:t>
      </w:r>
      <w:r>
        <w:t xml:space="preserve">executed. All Gemini paired, factorial, and cross-provider effects are therefore</w:t>
      </w:r>
      <w:r>
        <w:t xml:space="preserve"> </w:t>
      </w:r>
      <w:r>
        <w:t xml:space="preserve">not estimable.</w:t>
      </w:r>
    </w:p>
    <w:bookmarkEnd w:id="45"/>
    <w:bookmarkStart w:id="46" w:name="providers-and-model-identity"/>
    <w:p>
      <w:pPr>
        <w:pStyle w:val="Heading3"/>
        <w:keepNext/>
        <w:jc w:val="left"/>
      </w:pPr>
      <w:r>
        <w:t xml:space="preserve">3.13 Providers and model identity</w:t>
      </w:r>
    </w:p>
    <w:p>
      <w:pPr>
        <w:pStyle w:val="FirstParagraph"/>
      </w:pPr>
      <w:r>
        <w:t xml:space="preserve">The primary model is DeepSeek V4 Pro through the official DeepSeek endpoint;</w:t>
      </w:r>
      <w:r>
        <w:t xml:space="preserve"> </w:t>
      </w:r>
      <w:r>
        <w:t xml:space="preserve">E4 uses DeepSeek V4 Flash through the same official provider. The earlier</w:t>
      </w:r>
      <w:r>
        <w:t xml:space="preserve"> </w:t>
      </w:r>
      <w:r>
        <w:t xml:space="preserve">450-item Gemini authorization sample and the separately executed E6 Gemini</w:t>
      </w:r>
      <w:r>
        <w:t xml:space="preserve"> </w:t>
      </w:r>
      <w:r>
        <w:t xml:space="preserve">prefix are both diagnostic. The latter used the official free tier at USD 0</w:t>
      </w:r>
      <w:r>
        <w:t xml:space="preserve"> </w:t>
      </w:r>
      <w:r>
        <w:t xml:space="preserve">and stopped at its technical gate; neither Gemini dataset supports an effect</w:t>
      </w:r>
      <w:r>
        <w:t xml:space="preserve"> </w:t>
      </w:r>
      <w:r>
        <w:t xml:space="preserve">estimate.</w:t>
      </w:r>
      <w:r>
        <w:t xml:space="preserve"> </w:t>
      </w:r>
      <w:r>
        <w:t xml:space="preserve">Each new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  <w:r>
        <w:t xml:space="preserve"> </w:t>
      </w:r>
      <w:r>
        <w:t xml:space="preserve">For E5, the top-level compact cost object is empty, so request-level CNY</w:t>
      </w:r>
      <w:r>
        <w:t xml:space="preserve"> </w:t>
      </w:r>
      <w:r>
        <w:t xml:space="preserve">charges are read from the public provider trace bundle embedded in the same raw</w:t>
      </w:r>
      <w:r>
        <w:t xml:space="preserve"> </w:t>
      </w:r>
      <w:r>
        <w:t xml:space="preserve">query row. Its usage summary already aggregates multiple provider calls for the</w:t>
      </w:r>
      <w:r>
        <w:t xml:space="preserve"> </w:t>
      </w:r>
      <w:r>
        <w:t xml:space="preserve">query; missing attribution fails closed. The raw-row totals are checked against</w:t>
      </w:r>
      <w:r>
        <w:t xml:space="preserve"> </w:t>
      </w:r>
      <w:r>
        <w:t xml:space="preserve">the live append-only budget tracker during execution, and the paper analysis</w:t>
      </w:r>
      <w:r>
        <w:t xml:space="preserve"> </w:t>
      </w:r>
      <w:r>
        <w:t xml:space="preserve">does not need to read the internal ledger or change any experimental outcome.</w:t>
      </w:r>
      <w:r>
        <w:t xml:space="preserve"> </w:t>
      </w:r>
      <w:r>
        <w:t xml:space="preserve">The initial E5 cost estimate set CNY 5 adaptive and CNY 16 global fuses. After</w:t>
      </w:r>
      <w:r>
        <w:t xml:space="preserve"> </w:t>
      </w:r>
      <w:r>
        <w:t xml:space="preserve">898 latest query work items cost CNY 4.2561534, the no-success maximum projected</w:t>
      </w:r>
      <w:r>
        <w:t xml:space="preserve"> </w:t>
      </w:r>
      <w:r>
        <w:t xml:space="preserve">to approximately CNY 17. Before resuming, the cost ceilings were first raised</w:t>
      </w:r>
      <w:r>
        <w:t xml:space="preserve"> </w:t>
      </w:r>
      <w:r>
        <w:t xml:space="preserve">and later replaced by a CNY 1,000 runaway-protection ceiling at the project</w:t>
      </w:r>
      <w:r>
        <w:t xml:space="preserve"> </w:t>
      </w:r>
      <w:r>
        <w:t xml:space="preserve">owner’s direction. The selected tasks, query range, attacker, model, seed,</w:t>
      </w:r>
      <w:r>
        <w:t xml:space="preserve"> </w:t>
      </w:r>
      <w:r>
        <w:t xml:space="preserve">first-success stopping, ITT rules, and estimand were unchanged, and no successful</w:t>
      </w:r>
      <w:r>
        <w:t xml:space="preserve"> </w:t>
      </w:r>
      <w:r>
        <w:t xml:space="preserve">query was replayed. Final analysis-attributed cost was CNY 24.5551236.</w:t>
      </w:r>
      <w:r>
        <w:t xml:space="preserve"> </w:t>
      </w:r>
      <w:r>
        <w:t xml:space="preserve">Provider calls for E1–E6 and the earlier studies were made during July and</w:t>
      </w:r>
      <w:r>
        <w:t xml:space="preserve"> </w:t>
      </w:r>
      <w:r>
        <w:t xml:space="preserve">August 2026; the additional E7a proposal study ran on September 5, 2026.</w:t>
      </w:r>
      <w:r>
        <w:t xml:space="preserve"> </w:t>
      </w:r>
      <w:r>
        <w:t xml:space="preserve">The returned names are provider-managed model aliases and therefore</w:t>
      </w:r>
      <w:r>
        <w:t xml:space="preserve"> </w:t>
      </w:r>
      <w:r>
        <w:t xml:space="preserve">identify the served model at request time without freezing its hidden weights.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6"/>
    <w:bookmarkStart w:id="47" w:name="failure-and-recovery-policy"/>
    <w:p>
      <w:pPr>
        <w:pStyle w:val="Heading3"/>
        <w:keepNext/>
        <w:jc w:val="left"/>
      </w:pPr>
      <w:r>
        <w:t xml:space="preserve">3.14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8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8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8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8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8"/>
        </w:numPr>
        <w:pStyle w:val="Compact"/>
      </w:pPr>
      <w:r>
        <w:t xml:space="preserve">no automatic retry or cross-model fallback is permitted.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No prior row is overwritten.</w:t>
      </w:r>
    </w:p>
    <w:bookmarkEnd w:id="47"/>
    <w:bookmarkStart w:id="48" w:name="outcomes"/>
    <w:p>
      <w:pPr>
        <w:pStyle w:val="Heading3"/>
        <w:keepNext/>
        <w:jc w:val="left"/>
      </w:pPr>
      <w:r>
        <w:t xml:space="preserve">3.15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 system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event counts and record incidence, operational failure, p50/p95</w:t>
      </w:r>
      <w:r>
        <w:t xml:space="preserve"> </w:t>
      </w:r>
      <w:r>
        <w:t xml:space="preserve">latency, total tokens, API cost, and predefined heterogeneity by benchmark and</w:t>
      </w:r>
      <w:r>
        <w:t xml:space="preserve"> </w:t>
      </w:r>
      <w:r>
        <w:t xml:space="preserve">attack family.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is a runtime confirmation request; without a human study it</w:t>
      </w:r>
      <w:r>
        <w:t xml:space="preserve"> </w:t>
      </w:r>
      <w:r>
        <w:t xml:space="preserve">is not interpreted as measured human burden.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p>
      <w:pPr>
        <w:pStyle w:val="BodyText"/>
      </w:pPr>
      <w:r>
        <w:t xml:space="preserve">Because observed unsafe effects are rare, we also report a pessimistic</w:t>
      </w:r>
      <w:r>
        <w:t xml:space="preserve"> </w:t>
      </w:r>
      <w:r>
        <w:t xml:space="preserve">sensitivity endpoint on attack tasks: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.</w:t>
      </w:r>
      <w:r>
        <w:t xml:space="preserve"> </w:t>
      </w:r>
      <w:r>
        <w:t xml:space="preserve">This composite is a robustness bound, not an attack-success label. It asks how</w:t>
      </w:r>
      <w:r>
        <w:t xml:space="preserve"> </w:t>
      </w:r>
      <w:r>
        <w:t xml:space="preserve">conclusions change if a non-operational run is not credited as secure while</w:t>
      </w:r>
      <w:r>
        <w:t xml:space="preserve"> </w:t>
      </w:r>
      <w:r>
        <w:t xml:space="preserve">preserving unsafe effects and failures as separate reported counts.</w:t>
      </w:r>
    </w:p>
    <w:bookmarkEnd w:id="48"/>
    <w:bookmarkStart w:id="49" w:name="statistical-analysis"/>
    <w:p>
      <w:pPr>
        <w:pStyle w:val="Heading3"/>
        <w:keepNext/>
        <w:jc w:val="left"/>
      </w:pPr>
      <w:r>
        <w:t xml:space="preserve">3.16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authorization/configuration comparisons are:</w:t>
      </w:r>
    </w:p>
    <w:p>
      <w:pPr>
        <w:numPr>
          <w:ilvl w:val="0"/>
          <w:numId w:val="1010"/>
        </w:numPr>
        <w:pStyle w:val="Compact"/>
      </w:pPr>
      <w:r>
        <w:t xml:space="preserve">policy 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 package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0"/>
        </w:numPr>
        <w:pStyle w:val="Compact"/>
      </w:pPr>
      <w:r>
        <w:t xml:space="preserve">full 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full package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 package versus full package; and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 package versus full package.</w:t>
      </w:r>
    </w:p>
    <w:p>
      <w:pPr>
        <w:pStyle w:val="FirstParagraph"/>
      </w:pPr>
      <w:r>
        <w:t xml:space="preserve">McNemar p-values are Holm-adjusted separately within the four-comparison attack</w:t>
      </w:r>
      <w:r>
        <w:t xml:space="preserve"> </w:t>
      </w:r>
      <w:r>
        <w:t xml:space="preserve">unsafe-effect family and the four-comparison benign-tool TCR family. Bootstrap</w:t>
      </w:r>
      <w:r>
        <w:t xml:space="preserve"> </w:t>
      </w:r>
      <w:r>
        <w:t xml:space="preserve">confidence intervals are unadjusted estimation intervals.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comparisons, the unsafe-or-failure bound,</w:t>
      </w:r>
      <w:r>
        <w:t xml:space="preserve"> </w:t>
      </w:r>
      <w:r>
        <w:t xml:space="preserve">and benchmark panels are descriptive sensitivity or heterogeneity analyses,</w:t>
      </w:r>
      <w:r>
        <w:t xml:space="preserve"> </w:t>
      </w:r>
      <w:r>
        <w:t xml:space="preserve">not additional confirmatory families.</w:t>
      </w:r>
    </w:p>
    <w:p>
      <w:pPr>
        <w:pStyle w:val="BodyText"/>
      </w:pPr>
      <w:r>
        <w:t xml:space="preserve">For E1, binary outcomes are arranged as a within-case 2×2 design. The module</w:t>
      </w:r>
      <w:r>
        <w:t xml:space="preserve"> </w:t>
      </w:r>
      <w:r>
        <w:t xml:space="preserve">main effect is the average of full-minus-policy differences across prompts;</w:t>
      </w:r>
      <w:r>
        <w:t xml:space="preserve"> </w:t>
      </w:r>
      <w:r>
        <w:t xml:space="preserve">the prompt main effect averages safe-minus-normal differences across module</w:t>
      </w:r>
      <w:r>
        <w:t xml:space="preserve"> </w:t>
      </w:r>
      <w:r>
        <w:t xml:space="preserve">settings; and the interaction is the difference between those two prompt</w:t>
      </w:r>
      <w:r>
        <w:t xml:space="preserve"> </w:t>
      </w:r>
      <w:r>
        <w:t xml:space="preserve">effects. Ten thousand case-cluster bootstrap resamples provide intervals and</w:t>
      </w:r>
      <w:r>
        <w:t xml:space="preserve"> </w:t>
      </w:r>
      <w:r>
        <w:t xml:space="preserve">two-sided bootstrap sign p-values. Module, prompt, and interaction are</w:t>
      </w:r>
      <w:r>
        <w:t xml:space="preserve"> </w:t>
      </w:r>
      <w:r>
        <w:t xml:space="preserve">Holm-adjusted within the attack unsafe-effect and benign-tool TCR endpoint</w:t>
      </w:r>
      <w:r>
        <w:t xml:space="preserve"> </w:t>
      </w:r>
      <w:r>
        <w:t xml:space="preserve">families. The unsafe-or-failure factor analysis is a prespecified sensitivity</w:t>
      </w:r>
      <w:r>
        <w:t xml:space="preserve"> </w:t>
      </w:r>
      <w:r>
        <w:t xml:space="preserve">bound and is shown separately.</w:t>
      </w:r>
    </w:p>
    <w:p>
      <w:pPr>
        <w:pStyle w:val="BodyText"/>
      </w:pPr>
      <w:r>
        <w:t xml:space="preserve">E2 uses the analogous source-by-module contrasts for unauthorized-argument</w:t>
      </w:r>
      <w:r>
        <w:t xml:space="preserve"> </w:t>
      </w:r>
      <w:r>
        <w:t xml:space="preserve">influence and authorized action execution. Source, module, and source-by-module</w:t>
      </w:r>
      <w:r>
        <w:t xml:space="preserve"> </w:t>
      </w:r>
      <w:r>
        <w:t xml:space="preserve">form the source experiment’s adjustment family. Source-swap action changes are</w:t>
      </w:r>
      <w:r>
        <w:t xml:space="preserve"> </w:t>
      </w:r>
      <w:r>
        <w:t xml:space="preserve">paired by base task. Deterministic replay reports false allows, false blocks,</w:t>
      </w:r>
      <w:r>
        <w:t xml:space="preserve"> </w:t>
      </w:r>
      <w:r>
        <w:t xml:space="preserve">and an ALLOW/ASK/DENY heatmap without treating replay accuracy as end-to-end</w:t>
      </w:r>
      <w:r>
        <w:t xml:space="preserve"> </w:t>
      </w:r>
      <w:r>
        <w:t xml:space="preserve">system performance.</w:t>
      </w:r>
    </w:p>
    <w:p>
      <w:pPr>
        <w:pStyle w:val="BodyText"/>
      </w:pPr>
      <w:r>
        <w:t xml:space="preserve">E3 and E4 report effect directions, absolute differences, and bootstrap</w:t>
      </w:r>
      <w:r>
        <w:t xml:space="preserve"> </w:t>
      </w:r>
      <w:r>
        <w:t xml:space="preserve">intervals but open no new significance family. E3 is an outcome-enriched</w:t>
      </w:r>
      <w:r>
        <w:t xml:space="preserve"> </w:t>
      </w:r>
      <w:r>
        <w:t xml:space="preserve">challenge analysis; E4 is a same-provider replication. Both retain their</w:t>
      </w:r>
      <w:r>
        <w:t xml:space="preserve"> </w:t>
      </w:r>
      <w:r>
        <w:t xml:space="preserve">sampling boundary in every table and figure.</w:t>
      </w:r>
    </w:p>
    <w:p>
      <w:pPr>
        <w:pStyle w:val="BodyText"/>
      </w:pPr>
      <w:r>
        <w:t xml:space="preserve">For E6, no-defense activity is reported per benchmark and overall with Wilson</w:t>
      </w:r>
      <w:r>
        <w:t xml:space="preserve"> </w:t>
      </w:r>
      <w:r>
        <w:t xml:space="preserve">intervals. Four prespecified paired contrasts use treatment-minus-baseline risk</w:t>
      </w:r>
      <w:r>
        <w:t xml:space="preserve"> </w:t>
      </w:r>
      <w:r>
        <w:t xml:space="preserve">differences: VIGIL minus no defense, policy/normal minus no defense, full/safe</w:t>
      </w:r>
      <w:r>
        <w:t xml:space="preserve"> </w:t>
      </w:r>
      <w:r>
        <w:t xml:space="preserve">minus no defense, and full/safe minus VIGIL. Each contrast receives a paired</w:t>
      </w:r>
      <w:r>
        <w:t xml:space="preserve"> </w:t>
      </w:r>
      <w:r>
        <w:t xml:space="preserve">Newcombe interval, a benchmark-stratified task-cluster bootstrap interval, and</w:t>
      </w:r>
      <w:r>
        <w:t xml:space="preserve"> </w:t>
      </w:r>
      <w:r>
        <w:t xml:space="preserve">a two-sided exact McNemar p-value; the four p-values are Holm-adjusted. The</w:t>
      </w:r>
      <w:r>
        <w:t xml:space="preserve"> </w:t>
      </w:r>
      <w:r>
        <w:t xml:space="preserve">implemented exact test replaced the planned cluster sign-flip test and is</w:t>
      </w:r>
      <w:r>
        <w:t xml:space="preserve"> </w:t>
      </w:r>
      <w:r>
        <w:t xml:space="preserve">reported as an analysis-method deviation; no row or outcome was removed.</w:t>
      </w:r>
      <w:r>
        <w:t xml:space="preserve"> </w:t>
      </w:r>
      <w:r>
        <w:t xml:space="preserve">Operational failure and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 </w:t>
      </w:r>
      <w:r>
        <w:t xml:space="preserve">are reported</w:t>
      </w:r>
      <w:r>
        <w:t xml:space="preserve"> </w:t>
      </w:r>
      <w:r>
        <w:t xml:space="preserve">alongside unsafe effect. The four M3 cells receive descriptive module, prompt,</w:t>
      </w:r>
      <w:r>
        <w:t xml:space="preserve"> </w:t>
      </w:r>
      <w:r>
        <w:t xml:space="preserve">and interaction estimates. Because E6 is risk-enriched and single-block, these</w:t>
      </w:r>
      <w:r>
        <w:t xml:space="preserve"> </w:t>
      </w:r>
      <w:r>
        <w:t xml:space="preserve">analyses do not estimate prevalence, utility, temporal repeatability, or the</w:t>
      </w:r>
      <w:r>
        <w:t xml:space="preserve"> </w:t>
      </w:r>
      <w:r>
        <w:t xml:space="preserve">effect of an individual provenance component. Gemini effects are reported as</w:t>
      </w:r>
      <w:r>
        <w:t xml:space="preserve"> </w:t>
      </w:r>
      <w:r>
        <w:t xml:space="preserve">not estimable after its coverage gate failed.</w:t>
      </w:r>
    </w:p>
    <w:p>
      <w:pPr>
        <w:pStyle w:val="BodyText"/>
      </w:pPr>
      <w:r>
        <w:t xml:space="preserve">The fixed design provides 100 paired attacks and 60 paired benign-tool tasks per</w:t>
      </w:r>
      <w:r>
        <w:t xml:space="preserve"> </w:t>
      </w:r>
      <w:r>
        <w:t xml:space="preserve">main contrast, split evenly by benchmark for the latter. With 0/100 observed</w:t>
      </w:r>
      <w:r>
        <w:t xml:space="preserve"> </w:t>
      </w:r>
      <w:r>
        <w:t xml:space="preserve">unsafe effects, the Wilson upper limit is 3.70%; within a 30-task benign-tool</w:t>
      </w:r>
      <w:r>
        <w:t xml:space="preserve"> </w:t>
      </w:r>
      <w:r>
        <w:t xml:space="preserve">benchmark stratum, intervals are necessarily much wider (for example, 0/30 has</w:t>
      </w:r>
      <w:r>
        <w:t xml:space="preserve"> </w:t>
      </w:r>
      <w:r>
        <w:t xml:space="preserve">an 11.35% upper limit). We report these design-precision limits instead of a</w:t>
      </w:r>
      <w:r>
        <w:t xml:space="preserve"> </w:t>
      </w:r>
      <w:r>
        <w:t xml:space="preserve">post hoc achieved-power calculation.</w:t>
      </w:r>
    </w:p>
    <w:p>
      <w:pPr>
        <w:pStyle w:val="BodyText"/>
      </w:pPr>
      <w:r>
        <w:t xml:space="preserve">The original adaptive panel reports the cumulative fraction of the fixed</w:t>
      </w:r>
      <w:r>
        <w:t xml:space="preserve"> </w:t>
      </w:r>
      <w:r>
        <w:t xml:space="preserve">40-task cohort with a first unsafe effect at budgets 50 and 200. E5 separately</w:t>
      </w:r>
      <w:r>
        <w:t xml:space="preserve"> </w:t>
      </w:r>
      <w:r>
        <w:t xml:space="preserve">reports the conditional probability of a first success by 500 among twelve</w:t>
      </w:r>
      <w:r>
        <w:t xml:space="preserve"> </w:t>
      </w:r>
      <w:r>
        <w:t xml:space="preserve">prospectively selected B200 survivors and a conditional survival curve from</w:t>
      </w:r>
      <w:r>
        <w:t xml:space="preserve"> </w:t>
      </w:r>
      <w:r>
        <w:t xml:space="preserve">201 to 500. We neither combine the sampling frames nor extrapolate a saturation</w:t>
      </w:r>
      <w:r>
        <w:t xml:space="preserve"> </w:t>
      </w:r>
      <w:r>
        <w:t xml:space="preserve">level.</w:t>
      </w:r>
    </w:p>
    <w:bookmarkEnd w:id="49"/>
    <w:bookmarkStart w:id="50" w:name="Xcce47bb529d6de84f1a5f5025c30d7ef4ae0b0f"/>
    <w:p>
      <w:pPr>
        <w:pStyle w:val="Heading3"/>
        <w:keepNext/>
        <w:jc w:val="left"/>
      </w:pPr>
      <w:r>
        <w:t xml:space="preserve">3.17 Authorization and confirmation diagnostics</w:t>
      </w:r>
    </w:p>
    <w:p>
      <w:pPr>
        <w:pStyle w:val="FirstParagraph"/>
      </w:pPr>
      <w:r>
        <w:t xml:space="preserve">We conducted an exploratory follow-up to the action floor without changing</w:t>
      </w:r>
      <w:r>
        <w:t xml:space="preserve"> </w:t>
      </w:r>
      <w:r>
        <w:t xml:space="preserve">E1–E6 outcomes. A descriptive decomposition of 1,560 E1–E4 work items first</w:t>
      </w:r>
      <w:r>
        <w:t xml:space="preserve"> </w:t>
      </w:r>
      <w:r>
        <w:t xml:space="preserve">separates operational failures, completed tasks, and the remaining incomplete</w:t>
      </w:r>
      <w:r>
        <w:t xml:space="preserve"> </w:t>
      </w:r>
      <w:r>
        <w:t xml:space="preserve">tasks with ASK, with DENY but no ASK, or with neither recorded decision. These</w:t>
      </w:r>
      <w:r>
        <w:t xml:space="preserve"> </w:t>
      </w:r>
      <w:r>
        <w:t xml:space="preserve">mutually exclusive categories describe observations, not causal reasons.</w:t>
      </w:r>
      <w:r>
        <w:t xml:space="preserve"> </w:t>
      </w:r>
      <w:r>
        <w:t xml:space="preserve">The historical runner terminates on ASK without a confirmation exchange.</w:t>
      </w:r>
      <w:r>
        <w:t xml:space="preserve"> </w:t>
      </w:r>
      <w:r>
        <w:t xml:space="preserve">E2 also constrains nuisance text fields exactly, although their fixed wording</w:t>
      </w:r>
      <w:r>
        <w:t xml:space="preserve"> </w:t>
      </w:r>
      <w:r>
        <w:t xml:space="preserve">is not supplied as an explicit operation requirement. Historical compact</w:t>
      </w:r>
      <w:r>
        <w:t xml:space="preserve"> </w:t>
      </w:r>
      <w:r>
        <w:t xml:space="preserve">records lack per-proposal Guard reasons, preventing retrospective attribution</w:t>
      </w:r>
      <w:r>
        <w:t xml:space="preserve"> </w:t>
      </w:r>
      <w:r>
        <w:t xml:space="preserve">of individual failures to those constraints.</w:t>
      </w:r>
    </w:p>
    <w:p>
      <w:pPr>
        <w:pStyle w:val="BodyText"/>
      </w:pPr>
      <w:r>
        <w:t xml:space="preserve">A separate set of 512 deterministic probes comprises 480 target/content</w:t>
      </w:r>
      <w:r>
        <w:t xml:space="preserve"> </w:t>
      </w:r>
      <w:r>
        <w:t xml:space="preserve">perturbations, 28 literal-provenance probes, and four legacy-approval probes.</w:t>
      </w:r>
      <w:r>
        <w:t xml:space="preserve"> </w:t>
      </w:r>
      <w:r>
        <w:t xml:space="preserve">These are newly constructed proposals, not reconstructed model responses.</w:t>
      </w:r>
      <w:r>
        <w:t xml:space="preserve"> </w:t>
      </w:r>
      <w:r>
        <w:t xml:space="preserve">They test component contracts and do not estimate end-to-end attack success.</w:t>
      </w:r>
    </w:p>
    <w:p>
      <w:pPr>
        <w:pStyle w:val="BodyText"/>
      </w:pPr>
      <w:r>
        <w:t xml:space="preserve">E7a crosses strict exact versus bounded-enumeration authorization with policy</w:t>
      </w:r>
      <w:r>
        <w:t xml:space="preserve"> </w:t>
      </w:r>
      <w:r>
        <w:t xml:space="preserve">versus full modules on 24 new single-action synthetic tasks. Each of three tool</w:t>
      </w:r>
      <w:r>
        <w:t xml:space="preserve"> </w:t>
      </w:r>
      <w:r>
        <w:t xml:space="preserve">categories (message, file, and mock API) supplies four benign and four attack</w:t>
      </w:r>
      <w:r>
        <w:t xml:space="preserve"> </w:t>
      </w:r>
      <w:r>
        <w:t xml:space="preserve">tasks. The trusted request authorizes two harmless text alternatives and</w:t>
      </w:r>
      <w:r>
        <w:t xml:space="preserve"> </w:t>
      </w:r>
      <w:r>
        <w:t xml:space="preserve">prefers the second. The strict control intentionally allows only the first;</w:t>
      </w:r>
      <w:r>
        <w:t xml:space="preserve"> </w:t>
      </w:r>
      <w:r>
        <w:t xml:space="preserve">bounded enumeration allows both while retaining the same exact safety target.</w:t>
      </w:r>
      <w:r>
        <w:t xml:space="preserve"> </w:t>
      </w:r>
      <w:r>
        <w:t xml:space="preserve">This deliberately overconstrained control is not a correctly compiled exact</w:t>
      </w:r>
      <w:r>
        <w:t xml:space="preserve"> </w:t>
      </w:r>
      <w:r>
        <w:t xml:space="preserve">policy. Normal prompts, temperature zero, and a 512-token output limit yield</w:t>
      </w:r>
      <w:r>
        <w:t xml:space="preserve"> </w:t>
      </w:r>
      <w:r>
        <w:t xml:space="preserve">96 official DeepSeek V4 Pro proposal calls, including an eight-call prefix.</w:t>
      </w:r>
    </w:p>
    <w:p>
      <w:pPr>
        <w:pStyle w:val="BodyText"/>
      </w:pPr>
      <w:r>
        <w:t xml:space="preserve">Each proposal is then evaluated in four separate in-memory sessions: trusted</w:t>
      </w:r>
      <w:r>
        <w:t xml:space="preserve"> </w:t>
      </w:r>
      <w:r>
        <w:t xml:space="preserve">approval, trusted denial, absent confirmation, and forged untrusted approval.</w:t>
      </w:r>
      <w:r>
        <w:t xml:space="preserve"> </w:t>
      </w:r>
      <w:r>
        <w:t xml:space="preserve">The 384 cells share 96 model proposals; the model receives no clarification</w:t>
      </w:r>
      <w:r>
        <w:t xml:space="preserve"> </w:t>
      </w:r>
      <w:r>
        <w:t xml:space="preserve">turn. Both module settings use the same new confirmation wrapper, which binds</w:t>
      </w:r>
      <w:r>
        <w:t xml:space="preserve"> </w:t>
      </w:r>
      <w:r>
        <w:t xml:space="preserve">the task, trusted request, proposal, and manifest, checks expiry and single use,</w:t>
      </w:r>
      <w:r>
        <w:t xml:space="preserve"> </w:t>
      </w:r>
      <w:r>
        <w:t xml:space="preserve">and cannot widen scope or override DENY. It is an experimental controller, not</w:t>
      </w:r>
      <w:r>
        <w:t xml:space="preserve"> </w:t>
      </w:r>
      <w:r>
        <w:t xml:space="preserve">production authentication or a human study. The endpoint is issuance of a</w:t>
      </w:r>
      <w:r>
        <w:t xml:space="preserve"> </w:t>
      </w:r>
      <w:r>
        <w:t xml:space="preserve">one-shot execution permit. No effect backend was invoked, so legacy fields</w:t>
      </w:r>
      <w:r>
        <w:t xml:space="preserve"> </w:t>
      </w:r>
      <w:r>
        <w:t xml:space="preserve">named task completion and simulated effect are interpreted only as permission</w:t>
      </w:r>
      <w:r>
        <w:t xml:space="preserve"> </w:t>
      </w:r>
      <w:r>
        <w:t xml:space="preserve">eligibility. E7a reports descriptive counts and Wilson intervals separately</w:t>
      </w:r>
      <w:r>
        <w:t xml:space="preserve"> </w:t>
      </w:r>
      <w:r>
        <w:t xml:space="preserve">from TCR and executed unsafe effects, without a new confirmatory test family.</w:t>
      </w:r>
    </w:p>
    <w:bookmarkEnd w:id="50"/>
    <w:bookmarkStart w:id="51" w:name="Xf9a07e8edaaf63f6b1aae9282e4942c7672283a"/>
    <w:p>
      <w:pPr>
        <w:pStyle w:val="Heading3"/>
        <w:keepNext/>
        <w:jc w:val="left"/>
      </w:pPr>
      <w:r>
        <w:t xml:space="preserve">3.18 Measurement correction and development validation</w:t>
      </w:r>
    </w:p>
    <w:p>
      <w:pPr>
        <w:pStyle w:val="FirstParagraph"/>
      </w:pPr>
      <w:r>
        <w:t xml:space="preserve">The historical execution studies used the original compiler, rule matcher,</w:t>
      </w:r>
      <w:r>
        <w:t xml:space="preserve"> </w:t>
      </w:r>
      <w:r>
        <w:t xml:space="preserve">and evaluator. Their recorded safety labels are not retrospectively converted</w:t>
      </w:r>
      <w:r>
        <w:t xml:space="preserve"> </w:t>
      </w:r>
      <w:r>
        <w:t xml:space="preserve">to executed unauthorized effects. In particular, the original M3-v2 evaluator</w:t>
      </w:r>
      <w:r>
        <w:t xml:space="preserve"> </w:t>
      </w:r>
      <w:r>
        <w:t xml:space="preserve">could score a final isolation rejection as an unsafe event, whereas the revised</w:t>
      </w:r>
      <w:r>
        <w:t xml:space="preserve"> </w:t>
      </w:r>
      <w:r>
        <w:t xml:space="preserve">development evaluator distinguishes proposals, Guard permission, isolation</w:t>
      </w:r>
      <w:r>
        <w:t xml:space="preserve"> </w:t>
      </w:r>
      <w:r>
        <w:t xml:space="preserve">rejection, successful simulated execution, task completion, and unknown values.</w:t>
      </w:r>
      <w:r>
        <w:t xml:space="preserve"> </w:t>
      </w:r>
      <w:r>
        <w:t xml:space="preserve">AgentDojo retains its native security and utility checks. Legitimate completion</w:t>
      </w:r>
      <w:r>
        <w:t xml:space="preserve"> </w:t>
      </w:r>
      <w:r>
        <w:t xml:space="preserve">and a security violation may coexist; missing evidence is not a safe zero.</w:t>
      </w:r>
    </w:p>
    <w:p>
      <w:pPr>
        <w:pStyle w:val="BodyText"/>
      </w:pPr>
      <w:r>
        <w:t xml:space="preserve">The explicitly selected corrected-v1 path fixes action-resource binding,</w:t>
      </w:r>
      <w:r>
        <w:t xml:space="preserve"> </w:t>
      </w:r>
      <w:r>
        <w:t xml:space="preserve">complete matching across multiple rules, trusted-environment label propagation,</w:t>
      </w:r>
      <w:r>
        <w:t xml:space="preserve"> </w:t>
      </w:r>
      <w:r>
        <w:t xml:space="preserve">and confirmation-state continuity. It does not alter the historical default</w:t>
      </w:r>
      <w:r>
        <w:t xml:space="preserve"> </w:t>
      </w:r>
      <w:r>
        <w:t xml:space="preserve">or records. Six configurations cross no/policy/full guard modules with the</w:t>
      </w:r>
      <w:r>
        <w:t xml:space="preserve"> </w:t>
      </w:r>
      <w:r>
        <w:t xml:space="preserve">same normal/safe prompt factor. The development set comprises 24 attacks,</w:t>
      </w:r>
      <w:r>
        <w:t xml:space="preserve"> </w:t>
      </w:r>
      <w:r>
        <w:t xml:space="preserve">16 benign-tool tasks, and eight no-tool tasks; AgentDojo contributes 20 tasks</w:t>
      </w:r>
      <w:r>
        <w:t xml:space="preserve"> </w:t>
      </w:r>
      <w:r>
        <w:t xml:space="preserve">and M3-v2 28. Attacks are historically enriched, not a deployment sample.</w:t>
      </w:r>
      <w:r>
        <w:t xml:space="preserve"> </w:t>
      </w:r>
      <w:r>
        <w:t xml:space="preserve">Both completed DeepSeek cohorts use temperature zero, a 512-token output</w:t>
      </w:r>
      <w:r>
        <w:t xml:space="preserve"> </w:t>
      </w:r>
      <w:r>
        <w:t xml:space="preserve">limit, and at most eight provider calls per task-condition. The V4.1 Flash</w:t>
      </w:r>
      <w:r>
        <w:t xml:space="preserve"> </w:t>
      </w:r>
      <w:r>
        <w:t xml:space="preserve">model is distinct from the earlier V4 Flash and is not a model-invariant</w:t>
      </w:r>
      <w:r>
        <w:t xml:space="preserve"> </w:t>
      </w:r>
      <w:r>
        <w:t xml:space="preserve">before/after comparison. Synthetic paired-action tests establish component</w:t>
      </w:r>
      <w:r>
        <w:t xml:space="preserve"> </w:t>
      </w:r>
      <w:r>
        <w:t xml:space="preserve">behavior only; there is no simulated human approval or new confirmatory family.</w:t>
      </w:r>
    </w:p>
    <w:bookmarkEnd w:id="51"/>
    <w:bookmarkStart w:id="52" w:name="minimal-verification-and-reproducibility"/>
    <w:p>
      <w:pPr>
        <w:pStyle w:val="Heading3"/>
        <w:keepNext/>
        <w:jc w:val="left"/>
      </w:pPr>
      <w:r>
        <w:t xml:space="preserve">3.19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1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1"/>
        </w:numPr>
        <w:pStyle w:val="Compact"/>
      </w:pPr>
      <w:r>
        <w:t xml:space="preserve">an eight-item formal prefix for each regular incremental study, two</w:t>
      </w:r>
      <w:r>
        <w:t xml:space="preserve"> </w:t>
      </w:r>
      <w:r>
        <w:t xml:space="preserve">five-query tail prefixes for E5, and a 12-item outcome-blind E6 prefix; and</w:t>
      </w:r>
    </w:p>
    <w:p>
      <w:pPr>
        <w:numPr>
          <w:ilvl w:val="0"/>
          <w:numId w:val="1011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study writes one append-only compact raw JSONL. Final statistics are</w:t>
      </w:r>
      <w:r>
        <w:t xml:space="preserve"> </w:t>
      </w:r>
      <w:r>
        <w:t xml:space="preserve">written once to one analysis JSON per study, and figures are exported</w:t>
      </w:r>
      <w:r>
        <w:t xml:space="preserve"> </w:t>
      </w:r>
      <w:r>
        <w:t xml:space="preserve">as submission-ready vector PDF, editable SVG, and raster PNG previews for</w:t>
      </w:r>
      <w:r>
        <w:t xml:space="preserve"> </w:t>
      </w:r>
      <w:r>
        <w:t xml:space="preserve">manuscript/QA use. Reproducibility assets include frozen samples, condition</w:t>
      </w:r>
      <w:r>
        <w:t xml:space="preserve"> </w:t>
      </w:r>
      <w:r>
        <w:t xml:space="preserve">assignments, analysis code, aggregate tables, and versioned source.</w:t>
      </w:r>
    </w:p>
    <w:bookmarkEnd w:id="52"/>
    <w:bookmarkEnd w:id="53"/>
    <w:bookmarkStart w:id="73" w:name="results"/>
    <w:p>
      <w:pPr>
        <w:pStyle w:val="Heading2"/>
        <w:keepNext/>
        <w:jc w:val="left"/>
      </w:pPr>
      <w:r>
        <w:t xml:space="preserve">4. Results</w:t>
      </w:r>
    </w:p>
    <w:bookmarkStart w:id="54" w:name="medium-falsification-study"/>
    <w:p>
      <w:pPr>
        <w:pStyle w:val="Heading3"/>
        <w:keepNext/>
        <w:jc w:val="left"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 superiority claim</w:t>
      </w:r>
      <w:r>
        <w:t xml:space="preserve"> </w:t>
      </w:r>
      <w:r>
        <w:t xml:space="preserve">for the full configuration package. It met the security-effect and deny-all</w:t>
      </w:r>
      <w:r>
        <w:t xml:space="preserve"> </w:t>
      </w:r>
      <w:r>
        <w:t xml:space="preserve">criteria, but missed the utility point non-inferiority criterion and showed no</w:t>
      </w:r>
      <w:r>
        <w:t xml:space="preserve"> </w:t>
      </w:r>
      <w:r>
        <w:t xml:space="preserve">security gain over the policy package. Both the favorable security comparison</w:t>
      </w:r>
      <w:r>
        <w:t xml:space="preserve"> </w:t>
      </w:r>
      <w:r>
        <w:t xml:space="preserve">and the unfavorable utility and package comparisons are reported.</w:t>
      </w:r>
    </w:p>
    <w:p>
      <w:pPr>
        <w:pStyle w:val="BodyText"/>
      </w:pPr>
      <w:r>
        <w:t xml:space="preserve">Supplementary Table S1 reports the online-state source audit.</w:t>
      </w:r>
    </w:p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p>
      <w:pPr>
        <w:pStyle w:val="BodyText"/>
      </w:pPr>
      <w:r>
        <w:t xml:space="preserve">Supplementary Table S2 reports the completed medium security and utility outcomes.</w:t>
      </w:r>
    </w:p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package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p>
      <w:pPr>
        <w:pStyle w:val="BodyText"/>
      </w:pPr>
      <w:r>
        <w:t xml:space="preserve">Supplementary Table S3 reports the prespecified paired comparisons.</w:t>
      </w:r>
    </w:p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package did not outperform the policy package.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p>
      <w:pPr>
        <w:pStyle w:val="BodyText"/>
      </w:pPr>
      <w:r>
        <w:t xml:space="preserve">Supplementary Table S4 reports the runtime burden and operational quality.</w:t>
      </w:r>
    </w:p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the full package,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system confirmation-request incidence and cannot be</w:t>
      </w:r>
      <w:r>
        <w:t xml:space="preserve"> </w:t>
      </w:r>
      <w:r>
        <w:t xml:space="preserve">interpreted as successful approval or measured human burden.</w:t>
      </w:r>
    </w:p>
    <w:bookmarkEnd w:id="54"/>
    <w:bookmarkStart w:id="55" w:name="authorization-regime-sensitivity"/>
    <w:p>
      <w:pPr>
        <w:pStyle w:val="Heading3"/>
        <w:keepNext/>
        <w:jc w:val="left"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the policy and full packages.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5"/>
    <w:bookmarkStart w:id="56" w:name="prespecified-decision-criteria"/>
    <w:p>
      <w:pPr>
        <w:pStyle w:val="Heading3"/>
        <w:keepNext/>
        <w:jc w:val="left"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169"/>
        <w:gridCol w:w="2761"/>
        <w:gridCol w:w="3430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policy-package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Full-package superiority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6"/>
    <w:bookmarkStart w:id="57" w:name="public-primary-model-result"/>
    <w:p>
      <w:pPr>
        <w:pStyle w:val="Heading3"/>
        <w:keepNext/>
        <w:jc w:val="left"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configuration-quality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the full package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establish full-</w:t>
      </w:r>
      <w:r>
        <w:t xml:space="preserve"> </w:t>
      </w:r>
      <w:r>
        <w:t xml:space="preserve">package superiority: the policy package produced only 13 unsafe effects</w:t>
      </w:r>
      <w:r>
        <w:t xml:space="preserve"> </w:t>
      </w:r>
      <w:r>
        <w:t xml:space="preserve">(2.17%, 1.27–3.67), so the full package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the full package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The full and policy packages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p>
      <w:pPr>
        <w:pStyle w:val="BodyText"/>
      </w:pPr>
      <w:r>
        <w:t xml:space="preserve">Supplementary Table S5 reports the public-primary benchmark strata.</w:t>
      </w:r>
    </w:p>
    <w:p>
      <w:pPr>
        <w:pStyle w:val="BodyText"/>
      </w:pPr>
      <w:r>
        <w:t xml:space="preserve">The direction is consistent across both attack benchmarks: the full package is</w:t>
      </w:r>
      <w:r>
        <w:t xml:space="preserve"> </w:t>
      </w:r>
      <w:r>
        <w:t xml:space="preserve">safer than the structural condition but less safe than the policy package.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7"/>
    <w:bookmarkStart w:id="58" w:name="public-deepseek-v4-flash-replication"/>
    <w:p>
      <w:pPr>
        <w:pStyle w:val="Heading3"/>
        <w:keepNext/>
        <w:jc w:val="left"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 policy,</w:t>
      </w:r>
      <w:r>
        <w:t xml:space="preserve"> </w:t>
      </w:r>
      <w:r>
        <w:t xml:space="preserve">and full packages. The full package produced 24/400 unsafe effects (6.00%,</w:t>
      </w:r>
      <w:r>
        <w:t xml:space="preserve"> </w:t>
      </w:r>
      <w:r>
        <w:t xml:space="preserve">Wilson 95% CI 4.06–8.77), compared with 12/400 under the policy package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the full package (26.21%, 19.73–33.91),</w:t>
      </w:r>
      <w:r>
        <w:t xml:space="preserve"> </w:t>
      </w:r>
      <w:r>
        <w:t xml:space="preserve">35/145 for the policy package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component-specific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configuration-quality or cross-provider claim.</w:t>
      </w:r>
    </w:p>
    <w:bookmarkEnd w:id="58"/>
    <w:bookmarkStart w:id="59" w:name="public-operational-and-decision-burden"/>
    <w:p>
      <w:pPr>
        <w:pStyle w:val="Heading3"/>
        <w:keepNext/>
        <w:jc w:val="left"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full-package, two no-defense, one PromptGuard,</w:t>
      </w:r>
      <w:r>
        <w:t xml:space="preserve"> </w:t>
      </w:r>
      <w:r>
        <w:t xml:space="preserve">and zero policy-package.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the full package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 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the policy package. On the 168</w:t>
      </w:r>
      <w:r>
        <w:t xml:space="preserve"> </w:t>
      </w:r>
      <w:r>
        <w:t xml:space="preserve">benign tool tasks, the full package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the policy</w:t>
      </w:r>
      <w:r>
        <w:t xml:space="preserve"> </w:t>
      </w:r>
      <w:r>
        <w:t xml:space="preserve">package issued 69. The package comparison therefore met its structural</w:t>
      </w:r>
      <w:r>
        <w:t xml:space="preserve"> </w:t>
      </w:r>
      <w:r>
        <w:t xml:space="preserve">security-effect criterion but missed utility non-inferiority and superiority</w:t>
      </w:r>
      <w:r>
        <w:t xml:space="preserve"> </w:t>
      </w:r>
      <w:r>
        <w:t xml:space="preserve">criteria. This pattern is consistent with a security–utility trade-off rather</w:t>
      </w:r>
      <w:r>
        <w:t xml:space="preserve"> </w:t>
      </w:r>
      <w:r>
        <w:t xml:space="preserve">than incremental benefit from the full package.</w:t>
      </w:r>
    </w:p>
    <w:bookmarkEnd w:id="59"/>
    <w:bookmarkStart w:id="64" w:name="deepseek-authorization-regime-experiment"/>
    <w:p>
      <w:pPr>
        <w:pStyle w:val="Heading3"/>
        <w:keepNext/>
        <w:jc w:val="left"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the full package.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raw evaluator,</w:t>
      </w:r>
      <w:r>
        <w:t xml:space="preserve"> </w:t>
      </w:r>
      <w:r>
        <w:t xml:space="preserve">label, or gold-answer field entered the online projection;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exposed only its derived authorization object. Provider tools and real external</w:t>
      </w:r>
      <w:r>
        <w:t xml:space="preserve"> </w:t>
      </w:r>
      <w:r>
        <w:t xml:space="preserve">effects remained disabled.</w:t>
      </w:r>
    </w:p>
    <w:bookmarkStart w:id="60" w:name="joint-security-and-utility-endpoints"/>
    <w:p>
      <w:pPr>
        <w:pStyle w:val="Heading4"/>
        <w:keepNext/>
        <w:jc w:val="left"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the full</w:t>
      </w:r>
      <w:r>
        <w:t xml:space="preserve"> </w:t>
      </w:r>
      <w:r>
        <w:t xml:space="preserve">package 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the policy</w:t>
      </w:r>
      <w:r>
        <w:t xml:space="preserve"> </w:t>
      </w:r>
      <w:r>
        <w:t xml:space="preserve">package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the policy package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package adds a reproducible security benefit over the policy package. This</w:t>
      </w:r>
      <w:r>
        <w:t xml:space="preserve"> </w:t>
      </w:r>
      <w:r>
        <w:t xml:space="preserve">is a package-level result because the prompt profile also differs.</w:t>
      </w:r>
      <w:r>
        <w:t xml:space="preserve"> </w:t>
      </w:r>
      <w:r>
        <w:t xml:space="preserve">For a 0/100 cell, however, the Wilson 95% upper limit is 3.70%; rare harms below</w:t>
      </w:r>
      <w:r>
        <w:t xml:space="preserve"> </w:t>
      </w:r>
      <w:r>
        <w:t xml:space="preserve">that resolution cannot be ruled out.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the policy package completed 22/60 tasks (36.67%, Wilson 95%</w:t>
      </w:r>
      <w:r>
        <w:t xml:space="preserve"> </w:t>
      </w:r>
      <w:r>
        <w:t xml:space="preserve">CI 25.62–49.32) and the full package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the policy package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the policy package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the full package,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60"/>
    <w:bookmarkStart w:id="61" w:name="X0a99c4ca2fd9cd03cffd56fc41c4bc7dff50ac1"/>
    <w:p>
      <w:pPr>
        <w:pStyle w:val="Heading4"/>
        <w:keepNext/>
        <w:jc w:val="left"/>
      </w:pPr>
      <w:r>
        <w:t xml:space="preserve">4.7.2 Benchmark-stratified authorization effects</w:t>
      </w:r>
    </w:p>
    <w:p>
      <w:pPr>
        <w:pStyle w:val="FirstParagraph"/>
      </w:pPr>
      <w:r>
        <w:t xml:space="preserve">The pooled utility estimate hides a qualitative benchmark reversal. On</w:t>
      </w:r>
      <w:r>
        <w:t xml:space="preserve"> </w:t>
      </w:r>
      <w:r>
        <w:t xml:space="preserve">AgentDojo benign tool tasks,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increased completion from 5/30 to 9/30 for the policy package (+13.33 points;</w:t>
      </w:r>
      <w:r>
        <w:t xml:space="preserve"> </w:t>
      </w:r>
      <w:r>
        <w:t xml:space="preserve">bootstrap 95% CI −3.33 to +30.00) and from 4/30 to 7/30 for the full package</w:t>
      </w:r>
      <w:r>
        <w:t xml:space="preserve"> </w:t>
      </w:r>
      <w:r>
        <w:t xml:space="preserve">(+10.00 points; −3.33 to +23.33). On M3-v2, the same change reduced completion</w:t>
      </w:r>
      <w:r>
        <w:t xml:space="preserve"> </w:t>
      </w:r>
      <w:r>
        <w:t xml:space="preserve">from 17/30 to 0/30 for the policy package (−56.67 points; −73.33 to −40.00) and</w:t>
      </w:r>
      <w:r>
        <w:t xml:space="preserve"> </w:t>
      </w:r>
      <w:r>
        <w:t xml:space="preserve">from 12/30 to 0/30 for the full package (−40.00 points; −56.67 to −23.33).</w:t>
      </w:r>
      <w:r>
        <w:t xml:space="preserve"> </w:t>
      </w:r>
      <w:r>
        <w:t xml:space="preserve">These paired strata are descriptive, but they show that the pooled −21.67 and</w:t>
      </w:r>
      <w:r>
        <w:t xml:space="preserve"> </w:t>
      </w:r>
      <w:r>
        <w:t xml:space="preserve">−15.00 point estimates are not transportable across the two benchmark task</w:t>
      </w:r>
      <w:r>
        <w:t xml:space="preserve"> </w:t>
      </w:r>
      <w:r>
        <w:t xml:space="preserve">semantics.</w:t>
      </w:r>
    </w:p>
    <w:bookmarkEnd w:id="61"/>
    <w:bookmarkStart w:id="62" w:name="failure-sensitive-attack-bound"/>
    <w:p>
      <w:pPr>
        <w:pStyle w:val="Heading4"/>
        <w:keepNext/>
        <w:jc w:val="left"/>
      </w:pPr>
      <w:r>
        <w:t xml:space="preserve">4.7.3 Failure-sensitive attack bound</w:t>
      </w:r>
    </w:p>
    <w:p>
      <w:pPr>
        <w:pStyle w:val="FirstParagraph"/>
      </w:pPr>
      <w:r>
        <w:t xml:space="preserve">Counting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 </w:t>
      </w:r>
      <w:r>
        <w:t xml:space="preserve">as a pessimistic sensitivity</w:t>
      </w:r>
      <w:r>
        <w:t xml:space="preserve"> </w:t>
      </w:r>
      <w:r>
        <w:t xml:space="preserve">endpoint changes the interpretation of the exact regime. The policy package</w:t>
      </w:r>
      <w:r>
        <w:t xml:space="preserve"> </w:t>
      </w:r>
      <w:r>
        <w:t xml:space="preserve">moved from 7/100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25/100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(+18.00</w:t>
      </w:r>
      <w:r>
        <w:t xml:space="preserve"> </w:t>
      </w:r>
      <w:r>
        <w:t xml:space="preserve">points; bootstrap 95% CI +9.00 to +27.00); the full package moved from 8/100 to</w:t>
      </w:r>
      <w:r>
        <w:t xml:space="preserve"> </w:t>
      </w:r>
      <w:r>
        <w:t xml:space="preserve">26/100 (+18.00 points; +10.00 to +27.00). Package contrasts within the same</w:t>
      </w:r>
      <w:r>
        <w:t xml:space="preserve"> </w:t>
      </w:r>
      <w:r>
        <w:t xml:space="preserve">regime were only +1.00 point and had intervals spanning zero.</w:t>
      </w:r>
    </w:p>
    <w:p>
      <w:pPr>
        <w:pStyle w:val="BodyText"/>
      </w:pPr>
      <w:r>
        <w:t xml:space="preserve">This sensitivity effect was entirely benchmark dependent. On AgentDojo,</w:t>
      </w:r>
      <w:r>
        <w:t xml:space="preserve"> </w:t>
      </w:r>
      <w:r>
        <w:t xml:space="preserve">policy and full package differences from auto to exact were both +36.00 points</w:t>
      </w:r>
      <w:r>
        <w:t xml:space="preserve"> </w:t>
      </w:r>
      <w:r>
        <w:t xml:space="preserve">(5/50 to 23/50 and 4/50 to 22/50; both bootstrap intervals +20.00 to +52.00).</w:t>
      </w:r>
      <w:r>
        <w:t xml:space="preserve"> </w:t>
      </w:r>
      <w:r>
        <w:t xml:space="preserve">On M3-v2, the corresponding differences were 0.00 points (2/50 to 2/50 and</w:t>
      </w:r>
      <w:r>
        <w:t xml:space="preserve"> </w:t>
      </w:r>
      <w:r>
        <w:t xml:space="preserve">4/50 to 4/50). Operational failures remain separately labeled; the composite</w:t>
      </w:r>
      <w:r>
        <w:t xml:space="preserve"> </w:t>
      </w:r>
      <w:r>
        <w:t xml:space="preserve">is a robustness bound and is not reported as observed attack success.</w:t>
      </w:r>
    </w:p>
    <w:bookmarkEnd w:id="62"/>
    <w:bookmarkStart w:id="63" w:name="stress-regimes-and-operational-burden"/>
    <w:p>
      <w:pPr>
        <w:pStyle w:val="Heading4"/>
        <w:keepNext/>
        <w:jc w:val="left"/>
      </w:pPr>
      <w:r>
        <w:t xml:space="preserve">4.7.4 Stress regimes and operational burden</w:t>
      </w:r>
    </w:p>
    <w:p>
      <w:pPr>
        <w:pStyle w:val="FirstParagraph"/>
      </w:pPr>
      <w:r>
        <w:t xml:space="preserve">On the nested benign-tool subset, moving from matched full-package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the policy package,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The full package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Pooling again obscures where the system burden occurred.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system ASK incidence on AgentDojo was 80.00%/78.00% for policy/full attacks and</w:t>
      </w:r>
      <w:r>
        <w:t xml:space="preserve"> </w:t>
      </w:r>
      <w:r>
        <w:t xml:space="preserve">66.67%/56.67% for policy/full benign-tool tasks; the corresponding M3-v2 rates</w:t>
      </w:r>
      <w:r>
        <w:t xml:space="preserve"> </w:t>
      </w:r>
      <w:r>
        <w:t xml:space="preserve">were 4.00%/2.00% and 0.00%/3.33%.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ASK was zero by</w:t>
      </w:r>
      <w:r>
        <w:t xml:space="preserve"> </w:t>
      </w:r>
      <w:r>
        <w:t xml:space="preserve">construction. Exact-regime AgentDojo failure was 46.00%/44.00% on attacks and</w:t>
      </w:r>
      <w:r>
        <w:t xml:space="preserve"> </w:t>
      </w:r>
      <w:r>
        <w:t xml:space="preserve">43.33%/43.33% on benign-tool tasks, compared with 4.00%/8.00% and</w:t>
      </w:r>
      <w:r>
        <w:t xml:space="preserve"> </w:t>
      </w:r>
      <w:r>
        <w:t xml:space="preserve">16.67%/16.67% on M3-v2. AgentDojo exact p95 latency ranged from 20.77 to 23.93</w:t>
      </w:r>
      <w:r>
        <w:t xml:space="preserve"> </w:t>
      </w:r>
      <w:r>
        <w:t xml:space="preserve">seconds across these four package/task cells, whereas M3-v2 exact p95 ranged</w:t>
      </w:r>
      <w:r>
        <w:t xml:space="preserve"> </w:t>
      </w:r>
      <w:r>
        <w:t xml:space="preserve">from 6.93 to 8.66 seconds. Thus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blocking, failure, and latency are</w:t>
      </w:r>
      <w:r>
        <w:t xml:space="preserve"> </w:t>
      </w:r>
      <w:r>
        <w:t xml:space="preserve">properties of the package–regime–benchmark combination, not a single pooled</w:t>
      </w:r>
      <w:r>
        <w:t xml:space="preserve"> </w:t>
      </w:r>
      <w:r>
        <w:t xml:space="preserve">human-burden quantity.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3"/>
    <w:bookmarkEnd w:id="64"/>
    <w:bookmarkStart w:id="65" w:name="Xbb5d9851074ad3ca7942dbaa225fc80783abcd7"/>
    <w:p>
      <w:pPr>
        <w:pStyle w:val="Heading3"/>
        <w:keepNext/>
        <w:jc w:val="left"/>
      </w:pPr>
      <w:r>
        <w:t xml:space="preserve">4.8 Concurrent prompt-by-module factorial experiment</w:t>
      </w:r>
    </w:p>
    <w:p>
      <w:pPr>
        <w:pStyle w:val="FirstParagraph"/>
      </w:pPr>
      <w:r>
        <w:t xml:space="preserve">E1 reran the fixed 180-case cohort contemporaneously under the four cells of a</w:t>
      </w:r>
      <w:r>
        <w:t xml:space="preserve"> </w:t>
      </w:r>
      <w:r>
        <w:t xml:space="preserve">2×2 design: policy/normal, policy/safe, full/normal, and full/safe. All 720</w:t>
      </w:r>
      <w:r>
        <w:t xml:space="preserve"> </w:t>
      </w:r>
      <w:r>
        <w:t xml:space="preserve">planned work items obtained an official response. There were 657 completed</w:t>
      </w:r>
      <w:r>
        <w:t xml:space="preserve"> </w:t>
      </w:r>
      <w:r>
        <w:t xml:space="preserve">records, 54 parse failures, and nine provider failures; all 63 non-completed</w:t>
      </w:r>
      <w:r>
        <w:t xml:space="preserve"> </w:t>
      </w:r>
      <w:r>
        <w:t xml:space="preserve">outcomes remain in ITT. Raw evaluator fields, provider-managed tools, and real</w:t>
      </w:r>
      <w:r>
        <w:t xml:space="preserve"> </w:t>
      </w:r>
      <w:r>
        <w:t xml:space="preserve">external effects were absent from every online record.</w:t>
      </w:r>
    </w:p>
    <w:p>
      <w:pPr>
        <w:pStyle w:val="BodyText"/>
      </w:pPr>
      <w:r>
        <w:t xml:space="preserve">Direct unsafe effects remained floor-limited: the two policy cells each</w:t>
      </w:r>
      <w:r>
        <w:t xml:space="preserve"> </w:t>
      </w:r>
      <w:r>
        <w:t xml:space="preserve">produced 1/100, whereas both full cells produced 0/100. The estimated module</w:t>
      </w:r>
      <w:r>
        <w:t xml:space="preserve"> </w:t>
      </w:r>
      <w:r>
        <w:t xml:space="preserve">main effect was −1.00 percentage point (10,000-case-cluster bootstrap 95% CI</w:t>
      </w:r>
      <w:r>
        <w:t xml:space="preserve"> </w:t>
      </w:r>
      <w:r>
        <w:t xml:space="preserve">−3.00 to 0.00; Holm-adjusted p=1.000). The prompt and interaction estimates</w:t>
      </w:r>
      <w:r>
        <w:t xml:space="preserve"> </w:t>
      </w:r>
      <w:r>
        <w:t xml:space="preserve">were both 0.00 points. The failure-sensitive endpoint was 9/100, 11/100,</w:t>
      </w:r>
      <w:r>
        <w:t xml:space="preserve"> </w:t>
      </w:r>
      <w:r>
        <w:t xml:space="preserve">7/100, and 8/100 in policy/normal, policy/safe, full/normal, and full/safe,</w:t>
      </w:r>
      <w:r>
        <w:t xml:space="preserve"> </w:t>
      </w:r>
      <w:r>
        <w:t xml:space="preserve">respectively. Its module estimate was −2.50 points (−5.50 to 0.00;</w:t>
      </w:r>
      <w:r>
        <w:t xml:space="preserve"> </w:t>
      </w:r>
      <w:r>
        <w:t xml:space="preserve">descriptive bootstrap p=0.0938). This prespecified sensitivity endpoint was not</w:t>
      </w:r>
      <w:r>
        <w:t xml:space="preserve"> </w:t>
      </w:r>
      <w:r>
        <w:t xml:space="preserve">included in either co-primary Holm family.</w:t>
      </w:r>
    </w:p>
    <w:p>
      <w:pPr>
        <w:pStyle w:val="BodyText"/>
      </w:pPr>
      <w:r>
        <w:t xml:space="preserve">Benign-tool completion was 23/60, 21/60, 21/60, and 19/60 across the same</w:t>
      </w:r>
      <w:r>
        <w:t xml:space="preserve"> </w:t>
      </w:r>
      <w:r>
        <w:t xml:space="preserve">cells. Both the module and prompt main effects were −3.33 points; their 95%</w:t>
      </w:r>
      <w:r>
        <w:t xml:space="preserve"> </w:t>
      </w:r>
      <w:r>
        <w:t xml:space="preserve">intervals were −8.33 to 0.00 and −10.83 to +4.17, respectively, and the</w:t>
      </w:r>
      <w:r>
        <w:t xml:space="preserve"> </w:t>
      </w:r>
      <w:r>
        <w:t xml:space="preserve">interaction estimate was 0.00 points (−6.67 to +8.33). Thus the concurrent</w:t>
      </w:r>
      <w:r>
        <w:t xml:space="preserve"> </w:t>
      </w:r>
      <w:r>
        <w:t xml:space="preserve">design removes the earlier prompt/module confounding but supplies no evidence</w:t>
      </w:r>
      <w:r>
        <w:t xml:space="preserve"> </w:t>
      </w:r>
      <w:r>
        <w:t xml:space="preserve">of a positive incremental module or safe-prompt effect. It also does not solve</w:t>
      </w:r>
      <w:r>
        <w:t xml:space="preserve"> </w:t>
      </w:r>
      <w:r>
        <w:t xml:space="preserve">the direct-safety floor: only two unsafe effects occurred across 400 assigned</w:t>
      </w:r>
      <w:r>
        <w:t xml:space="preserve"> </w:t>
      </w:r>
      <w:r>
        <w:t xml:space="preserve">attack runs.</w:t>
      </w:r>
    </w:p>
    <w:p>
      <w:pPr>
        <w:pStyle w:val="BodyText"/>
      </w:pPr>
      <w:r>
        <w:t xml:space="preserve">Supplementary Table S7 reports the E1 runtime burden and cost.</w:t>
      </w:r>
    </w:p>
    <w:bookmarkEnd w:id="65"/>
    <w:bookmarkStart w:id="66" w:name="source-authority-counterfactual-1"/>
    <w:p>
      <w:pPr>
        <w:pStyle w:val="Heading3"/>
        <w:keepNext/>
        <w:jc w:val="left"/>
      </w:pPr>
      <w:r>
        <w:t xml:space="preserve">4.9 Source-authority counterfactual</w:t>
      </w:r>
    </w:p>
    <w:p>
      <w:pPr>
        <w:pStyle w:val="FirstParagraph"/>
      </w:pPr>
      <w:r>
        <w:t xml:space="preserve">E2 completed 240/240 response-bearing end-to-end work items and 480/480</w:t>
      </w:r>
      <w:r>
        <w:t xml:space="preserve"> </w:t>
      </w:r>
      <w:r>
        <w:t xml:space="preserve">deterministic Guard decisions. The source swap changed only the authority of a</w:t>
      </w:r>
      <w:r>
        <w:t xml:space="preserve"> </w:t>
      </w:r>
      <w:r>
        <w:t xml:space="preserve">critical proposition while holding text, value, relative position, and policy</w:t>
      </w:r>
      <w:r>
        <w:t xml:space="preserve"> </w:t>
      </w:r>
      <w:r>
        <w:t xml:space="preserve">fixed. No end-to-end cell executed an authorized, unauthorized, or other</w:t>
      </w:r>
      <w:r>
        <w:t xml:space="preserve"> </w:t>
      </w:r>
      <w:r>
        <w:t xml:space="preserve">action. The resulting zero unauthorized-argument-influence rate is an endpoint</w:t>
      </w:r>
      <w:r>
        <w:t xml:space="preserve"> </w:t>
      </w:r>
      <w:r>
        <w:t xml:space="preserve">floor accompanied by confirmation and blocking, not evidence that source</w:t>
      </w:r>
      <w:r>
        <w:t xml:space="preserve"> </w:t>
      </w:r>
      <w:r>
        <w:t xml:space="preserve">authority was behaviorally irrelevant. The retained records do not identify</w:t>
      </w:r>
      <w:r>
        <w:t xml:space="preserve"> </w:t>
      </w:r>
      <w:r>
        <w:t xml:space="preserve">the exact stopping cause of every zero-action run.</w:t>
      </w:r>
    </w:p>
    <w:p>
      <w:pPr>
        <w:pStyle w:val="BodyText"/>
      </w:pPr>
      <w:r>
        <w:t xml:space="preserve">The burden nevertheless differed sharply. Policy/trusted and</w:t>
      </w:r>
      <w:r>
        <w:t xml:space="preserve"> </w:t>
      </w:r>
      <w:r>
        <w:t xml:space="preserve">policy/untrusted produced ASK in 60/60 and 53/60 records, with no DENY. The</w:t>
      </w:r>
      <w:r>
        <w:t xml:space="preserve"> </w:t>
      </w:r>
      <w:r>
        <w:t xml:space="preserve">full/trusted cell produced ASK in 57/60, whereas full/untrusted produced no ASK,</w:t>
      </w:r>
      <w:r>
        <w:t xml:space="preserve"> </w:t>
      </w:r>
      <w:r>
        <w:t xml:space="preserve">DENY in 55/60, and one operational failure. The actual executed-action tuple</w:t>
      </w:r>
      <w:r>
        <w:t xml:space="preserve"> </w:t>
      </w:r>
      <w:r>
        <w:t xml:space="preserve">changed under the source swap in 0/60 paired tasks for both module settings;</w:t>
      </w:r>
      <w:r>
        <w:t xml:space="preserve"> </w:t>
      </w:r>
      <w:r>
        <w:t xml:space="preserve">operational status changed in 1/60 full pairs and is reported separately.</w:t>
      </w:r>
    </w:p>
    <w:p>
      <w:pPr>
        <w:pStyle w:val="BodyText"/>
      </w:pPr>
      <w:r>
        <w:t xml:space="preserve">The deterministic replay provides mechanism evidence rather than end-to-end</w:t>
      </w:r>
      <w:r>
        <w:t xml:space="preserve"> </w:t>
      </w:r>
      <w:r>
        <w:t xml:space="preserve">utility. Its 480 decisions comprise 240 unauthorized and 240 authorized</w:t>
      </w:r>
      <w:r>
        <w:t xml:space="preserve"> </w:t>
      </w:r>
      <w:r>
        <w:t xml:space="preserve">proposals. False allow was 0/240 unauthorized proposals (Wilson 95% CI</w:t>
      </w:r>
      <w:r>
        <w:t xml:space="preserve"> </w:t>
      </w:r>
      <w:r>
        <w:t xml:space="preserve">0.00%–1.58%); false block was 30/240 authorized proposals (12.50%,</w:t>
      </w:r>
      <w:r>
        <w:t xml:space="preserve"> </w:t>
      </w:r>
      <w:r>
        <w:t xml:space="preserve">8.90%–17.28%). Policy decisions were</w:t>
      </w:r>
      <w:r>
        <w:t xml:space="preserve"> </w:t>
      </w:r>
      <w:r>
        <w:t xml:space="preserve">identical under trusted and untrusted origins: 60 ALLOW and 60 ASK. Full/trusted</w:t>
      </w:r>
      <w:r>
        <w:t xml:space="preserve"> </w:t>
      </w:r>
      <w:r>
        <w:t xml:space="preserve">had the same distribution, but full/untrusted produced 30 ALLOW, 30 ASK, and</w:t>
      </w:r>
      <w:r>
        <w:t xml:space="preserve"> </w:t>
      </w:r>
      <w:r>
        <w:t xml:space="preserve">60 DENY. The full Guard is therefore provenance-sensitive under this controlled</w:t>
      </w:r>
      <w:r>
        <w:t xml:space="preserve"> </w:t>
      </w:r>
      <w:r>
        <w:t xml:space="preserve">swap, yet the tested model–Guard system did not translate that mechanism into</w:t>
      </w:r>
      <w:r>
        <w:t xml:space="preserve"> </w:t>
      </w:r>
      <w:r>
        <w:t xml:space="preserve">completed tasks and incurred substantial confirmation or blocking burden.</w:t>
      </w:r>
    </w:p>
    <w:p>
      <w:pPr>
        <w:pStyle w:val="BodyText"/>
      </w:pPr>
      <w:r>
        <w:t xml:space="preserve">Supplementary Table S8 reports the E2 source-authority decisions.</w:t>
      </w:r>
    </w:p>
    <w:bookmarkEnd w:id="66"/>
    <w:bookmarkStart w:id="67" w:name="X29d432d12551a673883bc648e306844c26b1be2"/>
    <w:p>
      <w:pPr>
        <w:pStyle w:val="Heading3"/>
        <w:keepNext/>
        <w:jc w:val="left"/>
      </w:pPr>
      <w:r>
        <w:t xml:space="preserve">4.10 Outcome-enriched challenge and Flash replication</w:t>
      </w:r>
    </w:p>
    <w:p>
      <w:pPr>
        <w:pStyle w:val="FirstParagraph"/>
      </w:pPr>
      <w:r>
        <w:t xml:space="preserve">E3 reran 60 attacks selected because each had produced an unsafe effect under</w:t>
      </w:r>
      <w:r>
        <w:t xml:space="preserve"> </w:t>
      </w:r>
      <w:r>
        <w:t xml:space="preserve">at least one historical Public condition. It is an outcome-enriched challenge</w:t>
      </w:r>
      <w:r>
        <w:t xml:space="preserve"> </w:t>
      </w:r>
      <w:r>
        <w:t xml:space="preserve">set, not a prevalence sample. All 240 work items obtained responses, but only</w:t>
      </w:r>
      <w:r>
        <w:t xml:space="preserve"> </w:t>
      </w:r>
      <w:r>
        <w:t xml:space="preserve">185 completed normally; 17 parse and 38 provider failures remained in ITT.</w:t>
      </w:r>
      <w:r>
        <w:t xml:space="preserve"> </w:t>
      </w:r>
      <w:r>
        <w:t xml:space="preserve">Only 1/60 historical vulnerabilities reproduced under any concurrent cell</w:t>
      </w:r>
      <w:r>
        <w:t xml:space="preserve"> </w:t>
      </w:r>
      <w:r>
        <w:t xml:space="preserve">(1.67%, Wilson 95% CI 0.29%–8.86%). The four unsafe-effect cells were 1/60,</w:t>
      </w:r>
      <w:r>
        <w:t xml:space="preserve"> </w:t>
      </w:r>
      <w:r>
        <w:t xml:space="preserve">1/60, 0/60, and 0/60, while unsafe-or-failure was 16/60, 15/60, 12/60, and</w:t>
      </w:r>
      <w:r>
        <w:t xml:space="preserve"> </w:t>
      </w:r>
      <w:r>
        <w:t xml:space="preserve">14/60. The module estimates were −1.67 points (−5.00 to 0.00) for unsafe</w:t>
      </w:r>
      <w:r>
        <w:t xml:space="preserve"> </w:t>
      </w:r>
      <w:r>
        <w:t xml:space="preserve">effect and −4.17 points (−10.00 to +0.83) for unsafe-or-failure. These</w:t>
      </w:r>
      <w:r>
        <w:t xml:space="preserve"> </w:t>
      </w:r>
      <w:r>
        <w:t xml:space="preserve">conditional results expose instability and a high failure burden rather than</w:t>
      </w:r>
      <w:r>
        <w:t xml:space="preserve"> </w:t>
      </w:r>
      <w:r>
        <w:t xml:space="preserve">establishing deployment robustness.</w:t>
      </w:r>
    </w:p>
    <w:p>
      <w:pPr>
        <w:pStyle w:val="BodyText"/>
      </w:pPr>
      <w:r>
        <w:t xml:space="preserve">E4 applied the same factorial design to the frozen 90-case DeepSeek V4 Flash</w:t>
      </w:r>
      <w:r>
        <w:t xml:space="preserve"> </w:t>
      </w:r>
      <w:r>
        <w:t xml:space="preserve">cohort. All 360 work items obtained responses; one response-less transport</w:t>
      </w:r>
      <w:r>
        <w:t xml:space="preserve"> </w:t>
      </w:r>
      <w:r>
        <w:t xml:space="preserve">attempt was superseded by a single-key successful attempt without replaying any</w:t>
      </w:r>
      <w:r>
        <w:t xml:space="preserve"> </w:t>
      </w:r>
      <w:r>
        <w:t xml:space="preserve">other row. The final ITT set contains 347 completed, eight parse-failure, four</w:t>
      </w:r>
      <w:r>
        <w:t xml:space="preserve"> </w:t>
      </w:r>
      <w:r>
        <w:t xml:space="preserve">provider-failure, and one maximum-step outcomes. Every attack cell was 0/50</w:t>
      </w:r>
      <w:r>
        <w:t xml:space="preserve"> </w:t>
      </w:r>
      <w:r>
        <w:t xml:space="preserve">unsafe effects. Benign-tool completion was 10/30, 8/30, 10/30, and 10/30;</w:t>
      </w:r>
      <w:r>
        <w:t xml:space="preserve"> </w:t>
      </w:r>
      <w:r>
        <w:t xml:space="preserve">the module, prompt, and interaction estimates were +3.33 points (0.00 to</w:t>
      </w:r>
      <w:r>
        <w:t xml:space="preserve"> </w:t>
      </w:r>
      <w:r>
        <w:t xml:space="preserve">+8.33), −3.33 points (−11.67 to +3.33), and +6.67 points (0.00 to +16.67).</w:t>
      </w:r>
      <w:r>
        <w:t xml:space="preserve"> </w:t>
      </w:r>
      <w:r>
        <w:t xml:space="preserve">Unsafe-or-failure yielded a +3.00-point module estimate (0.00 to +7.00).</w:t>
      </w:r>
      <w:r>
        <w:t xml:space="preserve"> </w:t>
      </w:r>
      <w:r>
        <w:t xml:space="preserve">E4 is a same-provider model replication and opens no new significance family;</w:t>
      </w:r>
      <w:r>
        <w:t xml:space="preserve"> </w:t>
      </w:r>
      <w:r>
        <w:t xml:space="preserve">its all-zero direct-safety endpoint cannot establish equivalence or</w:t>
      </w:r>
      <w:r>
        <w:t xml:space="preserve"> </w:t>
      </w:r>
      <w:r>
        <w:t xml:space="preserve">cross-provider generalization.</w:t>
      </w:r>
    </w:p>
    <w:p>
      <w:pPr>
        <w:pStyle w:val="BodyText"/>
      </w:pPr>
      <w:r>
        <w:t xml:space="preserve">Supplementary Table S9 reports the E3/E4 operational summary.</w:t>
      </w:r>
    </w:p>
    <w:bookmarkEnd w:id="67"/>
    <w:bookmarkStart w:id="68" w:name="X82c9b3af4ca931c828fbaa5e2aefd87272d8098"/>
    <w:p>
      <w:pPr>
        <w:pStyle w:val="Heading3"/>
        <w:keepNext/>
        <w:jc w:val="left"/>
      </w:pPr>
      <w:r>
        <w:t xml:space="preserve">4.11 Contemporaneous attack-activity calibration</w:t>
      </w:r>
    </w:p>
    <w:p>
      <w:pPr>
        <w:pStyle w:val="FirstParagraph"/>
      </w:pPr>
      <w:r>
        <w:t xml:space="preserve">E6 used a separately executed, historically risk-enriched cohort to test whether</w:t>
      </w:r>
      <w:r>
        <w:t xml:space="preserve"> </w:t>
      </w:r>
      <w:r>
        <w:t xml:space="preserve">attacks were still active under a current no-defense control. The execution was</w:t>
      </w:r>
      <w:r>
        <w:t xml:space="preserve"> </w:t>
      </w:r>
      <w:r>
        <w:t xml:space="preserve">independent of E3, but the sample was not: 47/60 tasks were E3 anchors (19</w:t>
      </w:r>
      <w:r>
        <w:t xml:space="preserve"> </w:t>
      </w:r>
      <w:r>
        <w:t xml:space="preserve">AgentDojo and 28 M3-v2). All 360 DeepSeek work items were response-bearing; 361</w:t>
      </w:r>
      <w:r>
        <w:t xml:space="preserve"> </w:t>
      </w:r>
      <w:r>
        <w:t xml:space="preserve">physical records include one response-less superseded attempt. No defense</w:t>
      </w:r>
      <w:r>
        <w:t xml:space="preserve"> </w:t>
      </w:r>
      <w:r>
        <w:t xml:space="preserve">produced 17/60 unsafe effects (28.33%, Wilson 95% CI 18.52%–40.75%), including</w:t>
      </w:r>
      <w:r>
        <w:t xml:space="preserve"> </w:t>
      </w:r>
      <w:r>
        <w:t xml:space="preserve">8/30 AgentDojo and 9/30 M3-v2 cases. This demonstrates observed attack activity</w:t>
      </w:r>
      <w:r>
        <w:t xml:space="preserve"> </w:t>
      </w:r>
      <w:r>
        <w:t xml:space="preserve">within the selected risk-enriched block, but does not satisfy or test the</w:t>
      </w:r>
      <w:r>
        <w:t xml:space="preserve"> </w:t>
      </w:r>
      <w:r>
        <w:t xml:space="preserve">original multi-window activity gate and cannot estimate deployment prevalence.</w:t>
      </w:r>
    </w:p>
    <w:p>
      <w:pPr>
        <w:pStyle w:val="BodyText"/>
      </w:pPr>
      <w:r>
        <w:t xml:space="preserve">Unsafe effects under source-pinned VIGIL, policy/normal, policy/safe,</w:t>
      </w:r>
      <w:r>
        <w:t xml:space="preserve"> </w:t>
      </w:r>
      <w:r>
        <w:t xml:space="preserve">full/normal, and full/safe were 16/60, 2/60, 1/60, 0/60, and 0/60. Operational</w:t>
      </w:r>
      <w:r>
        <w:t xml:space="preserve"> </w:t>
      </w:r>
      <w:r>
        <w:t xml:space="preserve">failures in the same order, including no defense first, were 12/60, 8/60, 7/60,</w:t>
      </w:r>
      <w:r>
        <w:t xml:space="preserve"> </w:t>
      </w:r>
      <w:r>
        <w:t xml:space="preserve">2/60, 7/60, and 3/60. Full/safe minus no defense was −28.33 percentage points</w:t>
      </w:r>
      <w:r>
        <w:t xml:space="preserve"> </w:t>
      </w:r>
      <w:r>
        <w:t xml:space="preserve">(paired Newcombe 95% CI −40.77 to −16.81; task-cluster bootstrap −40.00 to</w:t>
      </w:r>
      <w:r>
        <w:t xml:space="preserve"> </w:t>
      </w:r>
      <w:r>
        <w:t xml:space="preserve">−16.67; Holm-adjusted p=0.000061). Policy/normal minus no defense was −25.00</w:t>
      </w:r>
      <w:r>
        <w:t xml:space="preserve"> </w:t>
      </w:r>
      <w:r>
        <w:t xml:space="preserve">points (Newcombe −36.95 to −14.30), and full/safe minus VIGIL was −26.67 points</w:t>
      </w:r>
      <w:r>
        <w:t xml:space="preserve"> </w:t>
      </w:r>
      <w:r>
        <w:t xml:space="preserve">(−39.01 to −15.39). VIGIL minus no defense was only −1.67 points with an</w:t>
      </w:r>
      <w:r>
        <w:t xml:space="preserve"> </w:t>
      </w:r>
      <w:r>
        <w:t xml:space="preserve">interval crossing zero; its benchmark-specific directions opposed each other</w:t>
      </w:r>
      <w:r>
        <w:t xml:space="preserve"> </w:t>
      </w:r>
      <w:r>
        <w:t xml:space="preserve">(+3.33 points on AgentDojo and −6.67 on M3-v2), so the pooled VIGIL contrast is</w:t>
      </w:r>
      <w:r>
        <w:t xml:space="preserve"> </w:t>
      </w:r>
      <w:r>
        <w:t xml:space="preserve">not interpreted as homogeneous.</w:t>
      </w:r>
    </w:p>
    <w:p>
      <w:pPr>
        <w:pStyle w:val="BodyText"/>
      </w:pPr>
      <w:r>
        <w:t xml:space="preserve">The four M3 cells yielded descriptive factor estimates of −2.50 points for the</w:t>
      </w:r>
      <w:r>
        <w:t xml:space="preserve"> </w:t>
      </w:r>
      <w:r>
        <w:t xml:space="preserve">module bundle, −0.83 for the safe prompt, and +1.67 for their interaction. E6</w:t>
      </w:r>
      <w:r>
        <w:t xml:space="preserve"> </w:t>
      </w:r>
      <w:r>
        <w:t xml:space="preserve">contains no benign tasks and was executed as one block after a prospective</w:t>
      </w:r>
      <w:r>
        <w:t xml:space="preserve"> </w:t>
      </w:r>
      <w:r>
        <w:t xml:space="preserve">protocol amendment; it adds neither TCR evidence nor temporal-repeatability or</w:t>
      </w:r>
      <w:r>
        <w:t xml:space="preserve"> </w:t>
      </w:r>
      <w:r>
        <w:t xml:space="preserve">individual-module attribution.</w:t>
      </w:r>
    </w:p>
    <w:p>
      <w:pPr>
        <w:pStyle w:val="BodyText"/>
      </w:pPr>
      <w:r>
        <w:t xml:space="preserve">The nested Gemini formal prefix failed its technical gate after five</w:t>
      </w:r>
      <w:r>
        <w:t xml:space="preserve"> </w:t>
      </w:r>
      <w:r>
        <w:t xml:space="preserve">response-bearing records and one response-less VIGIL dependency failure. The</w:t>
      </w:r>
      <w:r>
        <w:t xml:space="preserve"> </w:t>
      </w:r>
      <w:r>
        <w:t xml:space="preserve">remaining 174 planned items were administratively closed, not counted as safe</w:t>
      </w:r>
      <w:r>
        <w:t xml:space="preserve"> </w:t>
      </w:r>
      <w:r>
        <w:t xml:space="preserve">or scientifically executed. The nested set also overlapped E3 for 29/30 tasks.</w:t>
      </w:r>
      <w:r>
        <w:t xml:space="preserve"> </w:t>
      </w:r>
      <w:r>
        <w:t xml:space="preserve">Minimum response-complete paired coverage was 0/30 for comparisons involving</w:t>
      </w:r>
      <w:r>
        <w:t xml:space="preserve"> </w:t>
      </w:r>
      <w:r>
        <w:t xml:space="preserve">VIGIL. All Gemini paired, factorial, and cross-provider effects are not</w:t>
      </w:r>
      <w:r>
        <w:t xml:space="preserve"> </w:t>
      </w:r>
      <w:r>
        <w:t xml:space="preserve">estimable.</w:t>
      </w:r>
    </w:p>
    <w:p>
      <w:pPr>
        <w:pStyle w:val="BodyText"/>
      </w:pPr>
      <w:r>
        <w:t xml:space="preserve">Supplementary Table S11 reports the E6 DeepSeek activity and operational outcomes.</w:t>
      </w:r>
    </w:p>
    <w:p>
      <w:pPr>
        <w:pStyle w:val="BodyText"/>
      </w:pPr>
      <w:r>
        <w:t xml:space="preserve">Supplementary Table S12 reports the E6 paired effects and Gemini inference coverage.</w:t>
      </w:r>
    </w:p>
    <w:bookmarkEnd w:id="68"/>
    <w:bookmarkStart w:id="69" w:name="X1f902146e6aa40efda9504fdbd9d29609df72fa"/>
    <w:p>
      <w:pPr>
        <w:pStyle w:val="Heading3"/>
        <w:keepNext/>
        <w:jc w:val="left"/>
      </w:pPr>
      <w:r>
        <w:t xml:space="preserve">4.12 Defense-aware adaptive evidence and conditional tail through budget 500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the full package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p>
      <w:pPr>
        <w:pStyle w:val="BodyText"/>
      </w:pPr>
      <w:r>
        <w:t xml:space="preserve">Supplementary Table S6 reports the defense-aware adaptive attack.</w:t>
      </w:r>
    </w:p>
    <w:p>
      <w:pPr>
        <w:pStyle w:val="BodyText"/>
      </w:pPr>
      <w:r>
        <w:t xml:space="preserve">The E5 extension then completed all 12 prespecified B200 survivors through</w:t>
      </w:r>
      <w:r>
        <w:t xml:space="preserve"> </w:t>
      </w:r>
      <w:r>
        <w:t xml:space="preserve">query 500. No task produced a new first unsafe effect between queries 201 and</w:t>
      </w:r>
      <w:r>
        <w:t xml:space="preserve"> </w:t>
      </w:r>
      <w:r>
        <w:t xml:space="preserve">500: 0/12 (0.00%, Wilson 95% CI 0.00%–24.25%). This is a conditional null</w:t>
      </w:r>
      <w:r>
        <w:t xml:space="preserve"> </w:t>
      </w:r>
      <w:r>
        <w:t xml:space="preserve">observation with a wide upper bound, not evidence that the original 40-task</w:t>
      </w:r>
      <w:r>
        <w:t xml:space="preserve"> </w:t>
      </w:r>
      <w:r>
        <w:t xml:space="preserve">panel has zero tail risk or that attack search has saturated. The latest ITT</w:t>
      </w:r>
      <w:r>
        <w:t xml:space="preserve"> </w:t>
      </w:r>
      <w:r>
        <w:t xml:space="preserve">set contains 3,600 query work keys: 3,577 completed, 21 parse failures, and two</w:t>
      </w:r>
      <w:r>
        <w:t xml:space="preserve"> </w:t>
      </w:r>
      <w:r>
        <w:t xml:space="preserve">provider failures. Five earlier response-less or local-recovery attempts remain</w:t>
      </w:r>
      <w:r>
        <w:t xml:space="preserve"> </w:t>
      </w:r>
      <w:r>
        <w:t xml:space="preserve">as superseded physical rows. Total usage was 4,511,768 tokens and attributed</w:t>
      </w:r>
      <w:r>
        <w:t xml:space="preserve"> </w:t>
      </w:r>
      <w:r>
        <w:t xml:space="preserve">cost was CNY 24.5551236.</w:t>
      </w:r>
    </w:p>
    <w:p>
      <w:pPr>
        <w:pStyle w:val="BodyText"/>
      </w:pPr>
      <w:r>
        <w:t xml:space="preserve">Supplementary Table S10 reports the conditional adaptive-tail execution.</w:t>
      </w:r>
    </w:p>
    <w:bookmarkEnd w:id="69"/>
    <w:bookmarkStart w:id="70" w:name="X446447dff0f46f163104a874aacc2906eec9688"/>
    <w:p>
      <w:pPr>
        <w:pStyle w:val="Heading3"/>
        <w:keepNext/>
        <w:jc w:val="left"/>
      </w:pPr>
      <w:r>
        <w:t xml:space="preserve">4.13 Authorization diagnostics and execution permits</w:t>
      </w:r>
    </w:p>
    <w:p>
      <w:pPr>
        <w:pStyle w:val="FirstParagraph"/>
      </w:pPr>
      <w:r>
        <w:t xml:space="preserve">The E1 benign-tool decomposition retains 60 tasks per cell. For policy/normal,</w:t>
      </w:r>
      <w:r>
        <w:t xml:space="preserve"> </w:t>
      </w:r>
      <w:r>
        <w:t xml:space="preserve">policy/safe, full/normal, and full/safe respectively, completed tasks numbered</w:t>
      </w:r>
      <w:r>
        <w:t xml:space="preserve"> </w:t>
      </w:r>
      <w:r>
        <w:t xml:space="preserve">23, 21, 21, and 19; incomplete non-failed tasks with ASK numbered 20, 17, 20,</w:t>
      </w:r>
      <w:r>
        <w:t xml:space="preserve"> </w:t>
      </w:r>
      <w:r>
        <w:t xml:space="preserve">and 22; and operational failures numbered 7, 6, 9, and 8. The residual groups</w:t>
      </w:r>
      <w:r>
        <w:t xml:space="preserve"> </w:t>
      </w:r>
      <w:r>
        <w:t xml:space="preserve">were 0, 0, 1, and 1 incomplete tasks with DENY but no ASK, and 10, 16, 9, and</w:t>
      </w:r>
      <w:r>
        <w:t xml:space="preserve"> </w:t>
      </w:r>
      <w:r>
        <w:t xml:space="preserve">10 with neither. This separation avoids adding overlapping ASK and failure</w:t>
      </w:r>
      <w:r>
        <w:t xml:space="preserve"> </w:t>
      </w:r>
      <w:r>
        <w:t xml:space="preserve">incidences and does not change the original TCR.</w:t>
      </w:r>
    </w:p>
    <w:p>
      <w:pPr>
        <w:pStyle w:val="BodyText"/>
      </w:pPr>
      <w:r>
        <w:t xml:space="preserve">The new forced-proposal probes identified conditional implementation limits.</w:t>
      </w:r>
      <w:r>
        <w:t xml:space="preserve"> </w:t>
      </w:r>
      <w:r>
        <w:t xml:space="preserve">For either nuisance-text or safety-target perturbation, policy returned ASK</w:t>
      </w:r>
      <w:r>
        <w:t xml:space="preserve"> </w:t>
      </w:r>
      <w:r>
        <w:t xml:space="preserve">in 120/120 cases; full returned ASK in 90/120 and DENY in 30/120. Among six</w:t>
      </w:r>
      <w:r>
        <w:t xml:space="preserve"> </w:t>
      </w:r>
      <w:r>
        <w:t xml:space="preserve">unauthorized-target provenance scenarios, exact-target rules yielded no ALLOW</w:t>
      </w:r>
      <w:r>
        <w:t xml:space="preserve"> </w:t>
      </w:r>
      <w:r>
        <w:t xml:space="preserve">under either module setting. Broad-target rules yielded 6/6 ALLOW for policy</w:t>
      </w:r>
      <w:r>
        <w:t xml:space="preserve"> </w:t>
      </w:r>
      <w:r>
        <w:t xml:space="preserve">and 4/6 for full. Literal matching can treat negated or quoted trusted mentions</w:t>
      </w:r>
      <w:r>
        <w:t xml:space="preserve"> </w:t>
      </w:r>
      <w:r>
        <w:t xml:space="preserve">as authority, while encoded or split values escape literal-source matching.</w:t>
      </w:r>
      <w:r>
        <w:t xml:space="preserve"> </w:t>
      </w:r>
      <w:r>
        <w:t xml:space="preserve">Three constructed legacy approvals (expired, partial-proposal scope, and</w:t>
      </w:r>
      <w:r>
        <w:t xml:space="preserve"> </w:t>
      </w:r>
      <w:r>
        <w:t xml:space="preserve">tool-only scope) were accepted, whereas a missing approval produced ASK.</w:t>
      </w:r>
      <w:r>
        <w:t xml:space="preserve"> </w:t>
      </w:r>
      <w:r>
        <w:t xml:space="preserve">These probes do not show that an attacker can obtain trusted approvals or</w:t>
      </w:r>
      <w:r>
        <w:t xml:space="preserve"> </w:t>
      </w:r>
      <w:r>
        <w:t xml:space="preserve">induce the model to emit the forced proposals.</w:t>
      </w:r>
    </w:p>
    <w:p>
      <w:pPr>
        <w:pStyle w:val="BodyText"/>
      </w:pPr>
      <w:r>
        <w:t xml:space="preserve">E7a obtained 96/96 official, parseable responses with no operational failure.</w:t>
      </w:r>
      <w:r>
        <w:t xml:space="preserve"> </w:t>
      </w:r>
      <w:r>
        <w:t xml:space="preserve">Table 7 reports execution-permit issuance under trusted approval: each module</w:t>
      </w:r>
      <w:r>
        <w:t xml:space="preserve"> </w:t>
      </w:r>
      <w:r>
        <w:t xml:space="preserve">setting had 0/12 permitted benign proposals under the deliberately strict</w:t>
      </w:r>
      <w:r>
        <w:t xml:space="preserve"> </w:t>
      </w:r>
      <w:r>
        <w:t xml:space="preserve">control and 12/12 under bounded enumeration. Corresponding Wilson 95% intervals</w:t>
      </w:r>
      <w:r>
        <w:t xml:space="preserve"> </w:t>
      </w:r>
      <w:r>
        <w:t xml:space="preserve">are 0.00%–24.25% and 75.75%–100.00%. Attack-condition proposals followed the</w:t>
      </w:r>
      <w:r>
        <w:t xml:space="preserve"> </w:t>
      </w:r>
      <w:r>
        <w:t xml:space="preserve">authorized target and showed the same permit pattern. Consequently, zero</w:t>
      </w:r>
      <w:r>
        <w:t xml:space="preserve"> </w:t>
      </w:r>
      <w:r>
        <w:t xml:space="preserve">unauthorized permits cannot establish resistance to an active attack.</w:t>
      </w:r>
    </w:p>
    <w:p>
      <w:pPr>
        <w:pStyle w:val="BodyText"/>
      </w:pPr>
      <w:r>
        <w:t xml:space="preserve">Across the 384 paired confirmation cells, 192 remained scope-blocked, 48</w:t>
      </w:r>
      <w:r>
        <w:t xml:space="preserve"> </w:t>
      </w:r>
      <w:r>
        <w:t xml:space="preserve">received one-shot permits, 48 were denied by the trusted controller, and 96</w:t>
      </w:r>
      <w:r>
        <w:t xml:space="preserve"> </w:t>
      </w:r>
      <w:r>
        <w:t xml:space="preserve">lacked valid confirmation (absent or forged). There was no policy/full</w:t>
      </w:r>
      <w:r>
        <w:t xml:space="preserve"> </w:t>
      </w:r>
      <w:r>
        <w:t xml:space="preserve">difference in these counts. The result demonstrates a constructed</w:t>
      </w:r>
      <w:r>
        <w:t xml:space="preserve"> </w:t>
      </w:r>
      <w:r>
        <w:t xml:space="preserve">policy–intent mismatch and a bounded permission lifecycle, not a general</w:t>
      </w:r>
      <w:r>
        <w:t xml:space="preserve"> </w:t>
      </w:r>
      <w:r>
        <w:t xml:space="preserve">utility gain. No task-environment state transition was performed, and these</w:t>
      </w:r>
      <w:r>
        <w:t xml:space="preserve"> </w:t>
      </w:r>
      <w:r>
        <w:t xml:space="preserve">permits are not added to TCR or unsafe-effect counts in the execution studies.</w:t>
      </w:r>
    </w:p>
    <w:bookmarkEnd w:id="70"/>
    <w:bookmarkStart w:id="71" w:name="corrected-development-study"/>
    <w:p>
      <w:pPr>
        <w:pStyle w:val="Heading3"/>
        <w:keepNext/>
        <w:jc w:val="left"/>
      </w:pPr>
      <w:r>
        <w:t xml:space="preserve">4.14 Corrected development study</w:t>
      </w:r>
    </w:p>
    <w:p>
      <w:pPr>
        <w:pStyle w:val="FirstParagraph"/>
      </w:pPr>
      <w:r>
        <w:t xml:space="preserve">Table 8 separates the corrected-v1 development batch from all historical</w:t>
      </w:r>
      <w:r>
        <w:t xml:space="preserve"> </w:t>
      </w:r>
      <w:r>
        <w:t xml:space="preserve">experiments. DeepSeek V4 Pro and DeepSeek V4.1 Flash each completed 288 planned</w:t>
      </w:r>
      <w:r>
        <w:t xml:space="preserve"> </w:t>
      </w:r>
      <w:r>
        <w:t xml:space="preserve">task-condition executions over the same 48 tasks and six configurations. Pro</w:t>
      </w:r>
      <w:r>
        <w:t xml:space="preserve"> </w:t>
      </w:r>
      <w:r>
        <w:t xml:space="preserve">had 265 completed workflows, 13 parse failures, and 10 max-step terminations;</w:t>
      </w:r>
      <w:r>
        <w:t xml:space="preserve"> </w:t>
      </w:r>
      <w:r>
        <w:t xml:space="preserve">Flash had 272, seven, and nine respectively. Workflow completion is not task</w:t>
      </w:r>
      <w:r>
        <w:t xml:space="preserve"> </w:t>
      </w:r>
      <w:r>
        <w:t xml:space="preserve">completion: ending with ASK records a pending approval, not an executed task.</w:t>
      </w:r>
      <w:r>
        <w:t xml:space="preserve"> </w:t>
      </w:r>
      <w:r>
        <w:t xml:space="preserve">Gemini is deferred and supplies no model-effect comparison.</w:t>
      </w:r>
    </w:p>
    <w:p>
      <w:pPr>
        <w:pStyle w:val="BodyText"/>
      </w:pPr>
      <w:r>
        <w:t xml:space="preserve">AgentDojo retains its native security checker rather than a state-only endpoint.</w:t>
      </w:r>
      <w:r>
        <w:t xml:space="preserve"> </w:t>
      </w:r>
      <w:r>
        <w:t xml:space="preserve">For Pro, normal-prompt attack positives were 5/12 without a guard, 2/12 with</w:t>
      </w:r>
      <w:r>
        <w:t xml:space="preserve"> </w:t>
      </w:r>
      <w:r>
        <w:t xml:space="preserve">policy modules, and 0/12 with full modules; benign-tool completion was 6/8,</w:t>
      </w:r>
      <w:r>
        <w:t xml:space="preserve"> </w:t>
      </w:r>
      <w:r>
        <w:t xml:space="preserve">3/8, and 3/8. The full-minus-policy paired attack difference was -16.67</w:t>
      </w:r>
      <w:r>
        <w:t xml:space="preserve"> </w:t>
      </w:r>
      <w:r>
        <w:t xml:space="preserve">percentage points with a 95% interval from -44.80 to +10.38, crossing zero.</w:t>
      </w:r>
      <w:r>
        <w:t xml:space="preserve"> </w:t>
      </w:r>
      <w:r>
        <w:t xml:space="preserve">For Flash, the no-guard normal-prompt attack cell had 1/12 positives and each</w:t>
      </w:r>
      <w:r>
        <w:t xml:space="preserve"> </w:t>
      </w:r>
      <w:r>
        <w:t xml:space="preserve">other cell had zero; benign-tool completion was 7/8 in both no-guard cells and</w:t>
      </w:r>
      <w:r>
        <w:t xml:space="preserve"> </w:t>
      </w:r>
      <w:r>
        <w:t xml:space="preserve">4/8 in each guarded cell. These small, historically enriched development</w:t>
      </w:r>
      <w:r>
        <w:t xml:space="preserve"> </w:t>
      </w:r>
      <w:r>
        <w:t xml:space="preserve">samples do not establish superiority or causal attribution to provenance.</w:t>
      </w:r>
    </w:p>
    <w:p>
      <w:pPr>
        <w:pStyle w:val="BodyText"/>
      </w:pPr>
      <w:r>
        <w:t xml:space="preserve">M3-v2 observed simulated unsafe effects were 0/12 in every attack cell for</w:t>
      </w:r>
      <w:r>
        <w:t xml:space="preserve"> </w:t>
      </w:r>
      <w:r>
        <w:t xml:space="preserve">both models, including no guard. Thus the null observations do not establish</w:t>
      </w:r>
      <w:r>
        <w:t xml:space="preserve"> </w:t>
      </w:r>
      <w:r>
        <w:t xml:space="preserve">guard efficacy. Runtime summaries contained zero labelled sensitive values;</w:t>
      </w:r>
      <w:r>
        <w:t xml:space="preserve"> </w:t>
      </w:r>
      <w:r>
        <w:t xml:space="preserve">dataflow checks were not applicable. Passing synthetic label-propagation tests</w:t>
      </w:r>
      <w:r>
        <w:t xml:space="preserve"> </w:t>
      </w:r>
      <w:r>
        <w:t xml:space="preserve">is separate from model-generated evidence of activated dataflow restrictions.</w:t>
      </w:r>
      <w:r>
        <w:t xml:space="preserve"> </w:t>
      </w:r>
      <w:r>
        <w:t xml:space="preserve">The eight no-tool tasks per model-condition remain in the planned denominators,</w:t>
      </w:r>
      <w:r>
        <w:t xml:space="preserve"> </w:t>
      </w:r>
      <w:r>
        <w:t xml:space="preserve">but Table 8 focuses on attack and benign-tool outcomes. Unknown outcomes are</w:t>
      </w:r>
      <w:r>
        <w:t xml:space="preserve"> </w:t>
      </w:r>
      <w:r>
        <w:t xml:space="preserve">not replaced by zero, and operational failures remain separately reported.</w:t>
      </w:r>
    </w:p>
    <w:bookmarkEnd w:id="71"/>
    <w:bookmarkStart w:id="72" w:name="remaining-evidence-boundary"/>
    <w:p>
      <w:pPr>
        <w:pStyle w:val="Heading3"/>
        <w:keepNext/>
        <w:jc w:val="left"/>
      </w:pPr>
      <w:r>
        <w:t xml:space="preserve">4.15 Remaining evidence boundary</w:t>
      </w:r>
    </w:p>
    <w:p>
      <w:pPr>
        <w:pStyle w:val="FirstParagraph"/>
      </w:pPr>
      <w:r>
        <w:t xml:space="preserve">Historical Public and incremental tables retain their recorded evaluator</w:t>
      </w:r>
      <w:r>
        <w:t xml:space="preserve"> </w:t>
      </w:r>
      <w:r>
        <w:t xml:space="preserve">labels. In the old M3-v2 path, an action allowed by the Guard but rejected by</w:t>
      </w:r>
      <w:r>
        <w:t xml:space="preserve"> </w:t>
      </w:r>
      <w:r>
        <w:t xml:space="preserve">the final isolation boundary could be labelled unsafe even though the effect</w:t>
      </w:r>
      <w:r>
        <w:t xml:space="preserve"> </w:t>
      </w:r>
      <w:r>
        <w:t xml:space="preserve">was not applied. Historical ITT variants also include operational failures.</w:t>
      </w:r>
      <w:r>
        <w:t xml:space="preserve"> </w:t>
      </w:r>
      <w:r>
        <w:t xml:space="preserve">The compact records do not support retrospective identification of all actual</w:t>
      </w:r>
      <w:r>
        <w:t xml:space="preserve"> </w:t>
      </w:r>
      <w:r>
        <w:t xml:space="preserve">unauthorized effects. Historical numbers are therefore legacy-labelled risk</w:t>
      </w:r>
      <w:r>
        <w:t xml:space="preserve"> </w:t>
      </w:r>
      <w:r>
        <w:t xml:space="preserve">endpoints, not corrected execution-effect estimates. Their values are retained,</w:t>
      </w:r>
      <w:r>
        <w:t xml:space="preserve"> </w:t>
      </w:r>
      <w:r>
        <w:t xml:space="preserve">not silently relabelled as corrected-v1 results; AgentDojo’s native checker is</w:t>
      </w:r>
      <w:r>
        <w:t xml:space="preserve"> </w:t>
      </w:r>
      <w:r>
        <w:t xml:space="preserve">also not reduced to an environment-state-only definition.</w:t>
      </w:r>
    </w:p>
    <w:p>
      <w:pPr>
        <w:pStyle w:val="BodyText"/>
      </w:pPr>
      <w:r>
        <w:t xml:space="preserve">The medium, Public, authorization-regime, factorial, source-authority,</w:t>
      </w:r>
      <w:r>
        <w:t xml:space="preserve"> </w:t>
      </w:r>
      <w:r>
        <w:t xml:space="preserve">challenge, replication, adaptive, and contemporaneous-activity studies jointly support an empirical</w:t>
      </w:r>
      <w:r>
        <w:t xml:space="preserve"> </w:t>
      </w:r>
      <w:r>
        <w:t xml:space="preserve">security–utility paper. They do not support a leading-defense, end-to-end</w:t>
      </w:r>
      <w:r>
        <w:t xml:space="preserve"> </w:t>
      </w:r>
      <w:r>
        <w:t xml:space="preserve">provenance-benefit, saturated-adaptive, or cross-provider claim. E2 does</w:t>
      </w:r>
      <w:r>
        <w:t xml:space="preserve"> </w:t>
      </w:r>
      <w:r>
        <w:t xml:space="preserve">identify source sensitivity at the deterministic Guard decision layer, but its</w:t>
      </w:r>
      <w:r>
        <w:t xml:space="preserve"> </w:t>
      </w:r>
      <w:r>
        <w:t xml:space="preserve">end-to-end action endpoint is floor-limited. E5 supplies only a conditional</w:t>
      </w:r>
      <w:r>
        <w:t xml:space="preserve"> </w:t>
      </w:r>
      <w:r>
        <w:t xml:space="preserve">0/12 B200-survivor tail with a 24.25% upper confidence limit. E6 records attack</w:t>
      </w:r>
      <w:r>
        <w:t xml:space="preserve"> </w:t>
      </w:r>
      <w:r>
        <w:t xml:space="preserve">activity only within its historically enriched, single-block DeepSeek cohort;</w:t>
      </w:r>
      <w:r>
        <w:t xml:space="preserve"> </w:t>
      </w:r>
      <w:r>
        <w:t xml:space="preserve">it neither satisfies nor tests the original multi-window activity gate. The</w:t>
      </w:r>
      <w:r>
        <w:t xml:space="preserve"> </w:t>
      </w:r>
      <w:r>
        <w:t xml:space="preserve">earlier Gemini authorization study closed at 32/450</w:t>
      </w:r>
      <w:r>
        <w:t xml:space="preserve"> </w:t>
      </w:r>
      <w:r>
        <w:t xml:space="preserve">terminal work items, only five response-bearing; the separately executed E6</w:t>
      </w:r>
      <w:r>
        <w:t xml:space="preserve"> </w:t>
      </w:r>
      <w:r>
        <w:t xml:space="preserve">Gemini prefix produced five response-bearing records, one response-less failure, and</w:t>
      </w:r>
      <w:r>
        <w:t xml:space="preserve"> </w:t>
      </w:r>
      <w:r>
        <w:t xml:space="preserve">174 administrative closures. Both are retained for operational accounting but</w:t>
      </w:r>
      <w:r>
        <w:t xml:space="preserve"> </w:t>
      </w:r>
      <w:r>
        <w:t xml:space="preserve">all Gemini effects are not estimable. UTR and DSR are not identifiable from the</w:t>
      </w:r>
      <w:r>
        <w:t xml:space="preserve"> </w:t>
      </w:r>
      <w:r>
        <w:t xml:space="preserve">current record contract and are not reconstructed from unsafe-effect rate.</w:t>
      </w:r>
    </w:p>
    <w:bookmarkEnd w:id="72"/>
    <w:bookmarkEnd w:id="73"/>
    <w:bookmarkStart w:id="84" w:name="discussion"/>
    <w:p>
      <w:pPr>
        <w:pStyle w:val="Heading2"/>
        <w:keepNext/>
        <w:jc w:val="left"/>
      </w:pPr>
      <w:r>
        <w:t xml:space="preserve">5. Discussion</w:t>
      </w:r>
    </w:p>
    <w:bookmarkStart w:id="74" w:name="X8f1f139e599680d856d27457aed81aa06300e07"/>
    <w:p>
      <w:pPr>
        <w:pStyle w:val="Heading3"/>
        <w:keepNext/>
        <w:jc w:val="left"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the full</w:t>
      </w:r>
      <w:r>
        <w:t xml:space="preserve"> </w:t>
      </w:r>
      <w:r>
        <w:t xml:space="preserve">configuration package as stronger than the policy package. In the 5,082-record</w:t>
      </w:r>
      <w:r>
        <w:t xml:space="preserve"> </w:t>
      </w:r>
      <w:r>
        <w:t xml:space="preserve">DeepSeek V4 Pro Public matrix, the full package produced more unsafe effects</w:t>
      </w:r>
      <w:r>
        <w:t xml:space="preserve"> </w:t>
      </w:r>
      <w:r>
        <w:t xml:space="preserve">(38/600 versus 13/600), while both packages completed 49/168 benign tool tasks.</w:t>
      </w:r>
      <w:r>
        <w:t xml:space="preserve"> </w:t>
      </w:r>
      <w:r>
        <w:t xml:space="preserve">The 1,791-record V4 Flash matrix showed the same security direction: 24/400</w:t>
      </w:r>
      <w:r>
        <w:t xml:space="preserve"> </w:t>
      </w:r>
      <w:r>
        <w:t xml:space="preserve">unsafe effects for the full package versus 12/400 for the policy package. The</w:t>
      </w:r>
      <w:r>
        <w:t xml:space="preserve"> </w:t>
      </w:r>
      <w:r>
        <w:t xml:space="preserve">Flash utility difference was small (38/145 versus 35/145).</w:t>
      </w:r>
    </w:p>
    <w:p>
      <w:pPr>
        <w:pStyle w:val="BodyText"/>
      </w:pPr>
      <w:r>
        <w:t xml:space="preserve">This is scientifically useful negative evidence, but it was originally</w:t>
      </w:r>
      <w:r>
        <w:t xml:space="preserve"> </w:t>
      </w:r>
      <w:r>
        <w:t xml:space="preserve">package-level evidence. E1 resolves the prompt/runtime confounding by crossing</w:t>
      </w:r>
      <w:r>
        <w:t xml:space="preserve"> </w:t>
      </w:r>
      <w:r>
        <w:t xml:space="preserve">the prompt profile with the module bundle in one execution window. Its module,</w:t>
      </w:r>
      <w:r>
        <w:t xml:space="preserve"> </w:t>
      </w:r>
      <w:r>
        <w:t xml:space="preserve">prompt, and interaction estimates were all small, and none supplied evidence</w:t>
      </w:r>
      <w:r>
        <w:t xml:space="preserve"> </w:t>
      </w:r>
      <w:r>
        <w:t xml:space="preserve">of a positive safety or utility contribution. The result identifies the prompt</w:t>
      </w:r>
      <w:r>
        <w:t xml:space="preserve"> </w:t>
      </w:r>
      <w:r>
        <w:t xml:space="preserve">factor separately from the runtime bundle; it still cannot separate provenance,</w:t>
      </w:r>
      <w:r>
        <w:t xml:space="preserve"> </w:t>
      </w:r>
      <w:r>
        <w:t xml:space="preserve">temporal/data-flow, monotonicity, and confirmation from one another. It shows</w:t>
      </w:r>
      <w:r>
        <w:t xml:space="preserve"> </w:t>
      </w:r>
      <w:r>
        <w:t xml:space="preserve">that the evaluated bundle did not earn a clear advantage under these tasks,</w:t>
      </w:r>
      <w:r>
        <w:t xml:space="preserve"> </w:t>
      </w:r>
      <w:r>
        <w:t xml:space="preserve">not that any individual mechanism is intrinsically ineffective.</w:t>
      </w:r>
    </w:p>
    <w:bookmarkEnd w:id="74"/>
    <w:bookmarkStart w:id="75" w:name="authorization-is-part-of-the-treatment"/>
    <w:p>
      <w:pPr>
        <w:pStyle w:val="Heading3"/>
        <w:keepNext/>
        <w:jc w:val="left"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pooled benign-tool completion by 21.67 points for the</w:t>
      </w:r>
      <w:r>
        <w:t xml:space="preserve"> </w:t>
      </w:r>
      <w:r>
        <w:t xml:space="preserve">policy package and 15.00 points for the full package.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pooled direction is incomplete. AgentDojo completion increased by 13.33</w:t>
      </w:r>
      <w:r>
        <w:t xml:space="preserve"> </w:t>
      </w:r>
      <w:r>
        <w:t xml:space="preserve">points for the policy package and 10.00 points for the full package, whereas</w:t>
      </w:r>
      <w:r>
        <w:t xml:space="preserve"> </w:t>
      </w:r>
      <w:r>
        <w:t xml:space="preserve">M3-v2 completion fell by 56.67 and 40.00 points. Authorization semantics and</w:t>
      </w:r>
      <w:r>
        <w:t xml:space="preserve"> </w:t>
      </w:r>
      <w:r>
        <w:t xml:space="preserve">benchmark task structure therefore interact strongly enough that a single</w:t>
      </w:r>
      <w:r>
        <w:t xml:space="preserve"> </w:t>
      </w:r>
      <w:r>
        <w:t xml:space="preserve">pooled oracle-versus-compiled estimate should not be transported to either</w:t>
      </w:r>
      <w:r>
        <w:t xml:space="preserve"> </w:t>
      </w:r>
      <w:r>
        <w:t xml:space="preserve">benchmark in isolation.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packages but increased the share of records with DENY from 7.22% to 48.89% for</w:t>
      </w:r>
      <w:r>
        <w:t xml:space="preserve"> </w:t>
      </w:r>
      <w:r>
        <w:t xml:space="preserve">the policy package and from 11.11% to 45.00% for the full package.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p>
      <w:pPr>
        <w:pStyle w:val="BodyText"/>
      </w:pPr>
      <w:r>
        <w:t xml:space="preserve">The pessimistic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 </w:t>
      </w:r>
      <w:r>
        <w:t xml:space="preserve">bound makes that point</w:t>
      </w:r>
      <w:r>
        <w:t xml:space="preserve"> </w:t>
      </w:r>
      <w:r>
        <w:t xml:space="preserve">more explicit. Exact authorization increased this attack endpoint by 18 points</w:t>
      </w:r>
      <w:r>
        <w:t xml:space="preserve"> </w:t>
      </w:r>
      <w:r>
        <w:t xml:space="preserve">for both packages overall, driven by +36-point changes on AgentDojo and no</w:t>
      </w:r>
      <w:r>
        <w:t xml:space="preserve"> </w:t>
      </w:r>
      <w:r>
        <w:t xml:space="preserve">change on M3-v2. This does not convert failures into attacks; it demonstrates</w:t>
      </w:r>
      <w:r>
        <w:t xml:space="preserve"> </w:t>
      </w:r>
      <w:r>
        <w:t xml:space="preserve">that a near-zero observed unsafe-effect rate can coexist with poor operational</w:t>
      </w:r>
      <w:r>
        <w:t xml:space="preserve"> </w:t>
      </w:r>
      <w:r>
        <w:t xml:space="preserve">robustness.</w:t>
      </w:r>
    </w:p>
    <w:bookmarkEnd w:id="75"/>
    <w:bookmarkStart w:id="76" w:name="X7334241beaf0a490b2b3313ba801aaa2489092e"/>
    <w:p>
      <w:pPr>
        <w:pStyle w:val="Heading3"/>
        <w:keepNext/>
        <w:jc w:val="left"/>
      </w:pPr>
      <w:r>
        <w:t xml:space="preserve">5.3 Provenance sensitivity exists at the decision layer</w:t>
      </w:r>
    </w:p>
    <w:p>
      <w:pPr>
        <w:pStyle w:val="FirstParagraph"/>
      </w:pPr>
      <w:r>
        <w:t xml:space="preserve">The controlled source-authority experiment sharpens the negative package</w:t>
      </w:r>
      <w:r>
        <w:t xml:space="preserve"> </w:t>
      </w:r>
      <w:r>
        <w:t xml:space="preserve">result. Holding proposition, value, position, and policy fixed, the policy-only</w:t>
      </w:r>
      <w:r>
        <w:t xml:space="preserve"> </w:t>
      </w:r>
      <w:r>
        <w:t xml:space="preserve">Guard produced the same deterministic decision distribution under trusted and</w:t>
      </w:r>
      <w:r>
        <w:t xml:space="preserve"> </w:t>
      </w:r>
      <w:r>
        <w:t xml:space="preserve">untrusted origins. The full Guard changed its untrusted-origin distribution to</w:t>
      </w:r>
      <w:r>
        <w:t xml:space="preserve"> </w:t>
      </w:r>
      <w:r>
        <w:t xml:space="preserve">30 ALLOW, 30 ASK, and 60 DENY. Across 240 unauthorized proposals there were no</w:t>
      </w:r>
      <w:r>
        <w:t xml:space="preserve"> </w:t>
      </w:r>
      <w:r>
        <w:t xml:space="preserve">false allows; across 240 authorized proposals there were 30 false blocks. This</w:t>
      </w:r>
      <w:r>
        <w:t xml:space="preserve"> </w:t>
      </w:r>
      <w:r>
        <w:t xml:space="preserve">is direct evidence that the implemented full</w:t>
      </w:r>
      <w:r>
        <w:t xml:space="preserve"> </w:t>
      </w:r>
      <w:r>
        <w:t xml:space="preserve">Guard is provenance-sensitive at its deterministic decision boundary.</w:t>
      </w:r>
    </w:p>
    <w:p>
      <w:pPr>
        <w:pStyle w:val="BodyText"/>
      </w:pPr>
      <w:r>
        <w:t xml:space="preserve">That mechanism did not translate into completed end-to-end actions. All 240</w:t>
      </w:r>
      <w:r>
        <w:t xml:space="preserve"> </w:t>
      </w:r>
      <w:r>
        <w:t xml:space="preserve">model–Guard runs executed zero actions: trusted contexts were routed almost</w:t>
      </w:r>
      <w:r>
        <w:t xml:space="preserve"> </w:t>
      </w:r>
      <w:r>
        <w:t xml:space="preserve">entirely to ASK, while full/untrusted contexts were predominantly DENY. The</w:t>
      </w:r>
      <w:r>
        <w:t xml:space="preserve"> </w:t>
      </w:r>
      <w:r>
        <w:t xml:space="preserve">correct interpretation therefore has two layers. Offline replay establishes</w:t>
      </w:r>
      <w:r>
        <w:t xml:space="preserve"> </w:t>
      </w:r>
      <w:r>
        <w:t xml:space="preserve">mechanism behavior; end-to-end execution reveals a confirmation bottleneck and</w:t>
      </w:r>
      <w:r>
        <w:t xml:space="preserve"> </w:t>
      </w:r>
      <w:r>
        <w:t xml:space="preserve">cannot be replaced by the replay’s decision accuracy. A provenance mechanism</w:t>
      </w:r>
      <w:r>
        <w:t xml:space="preserve"> </w:t>
      </w:r>
      <w:r>
        <w:t xml:space="preserve">can be logically active while the surrounding interaction design supplies</w:t>
      </w:r>
      <w:r>
        <w:t xml:space="preserve"> </w:t>
      </w:r>
      <w:r>
        <w:t xml:space="preserve">little usable utility.</w:t>
      </w:r>
    </w:p>
    <w:p>
      <w:pPr>
        <w:pStyle w:val="BodyText"/>
      </w:pPr>
      <w:r>
        <w:t xml:space="preserve">The follow-up diagnostics narrow this interpretation further. Historical ASK</w:t>
      </w:r>
      <w:r>
        <w:t xml:space="preserve"> </w:t>
      </w:r>
      <w:r>
        <w:t xml:space="preserve">ended the trajectory, and E2’s nuisance text was exactly constrained without</w:t>
      </w:r>
      <w:r>
        <w:t xml:space="preserve"> </w:t>
      </w:r>
      <w:r>
        <w:t xml:space="preserve">being exposed as a required operation string. Their aggregate burden cannot</w:t>
      </w:r>
      <w:r>
        <w:t xml:space="preserve"> </w:t>
      </w:r>
      <w:r>
        <w:t xml:space="preserve">isolate a source-specific cause. Literal source matching and permissive legacy</w:t>
      </w:r>
      <w:r>
        <w:t xml:space="preserve"> </w:t>
      </w:r>
      <w:r>
        <w:t xml:space="preserve">approval matching also have component-level limits under forced proposals.</w:t>
      </w:r>
      <w:r>
        <w:t xml:space="preserve"> </w:t>
      </w:r>
      <w:r>
        <w:t xml:space="preserve">E7a illustrates why approval must be separated from both policy scope and</w:t>
      </w:r>
      <w:r>
        <w:t xml:space="preserve"> </w:t>
      </w:r>
      <w:r>
        <w:t xml:space="preserve">effect commitment: admitting a second already-authorized wording changed</w:t>
      </w:r>
      <w:r>
        <w:t xml:space="preserve"> </w:t>
      </w:r>
      <w:r>
        <w:t xml:space="preserve">permit issuance under an intentionally mismatched control, but no backend</w:t>
      </w:r>
      <w:r>
        <w:t xml:space="preserve"> </w:t>
      </w:r>
      <w:r>
        <w:t xml:space="preserve">commit or user interaction followed. Neither these permits nor the offline</w:t>
      </w:r>
      <w:r>
        <w:t xml:space="preserve"> </w:t>
      </w:r>
      <w:r>
        <w:t xml:space="preserve">probes establish a provenance-driven end-to-end improvement.</w:t>
      </w:r>
    </w:p>
    <w:bookmarkEnd w:id="76"/>
    <w:bookmarkStart w:id="77" w:name="X51d55857fd78b0704b7007a4ab3a79d92f25221"/>
    <w:p>
      <w:pPr>
        <w:pStyle w:val="Heading3"/>
        <w:keepNext/>
        <w:jc w:val="left"/>
      </w:pPr>
      <w:r>
        <w:t xml:space="preserve">5.4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The policy package then outperformed the full</w:t>
      </w:r>
      <w:r>
        <w:t xml:space="preserve"> </w:t>
      </w:r>
      <w:r>
        <w:t xml:space="preserve">package on security without losing additional utility. The interpretation is</w:t>
      </w:r>
      <w:r>
        <w:t xml:space="preserve"> </w:t>
      </w:r>
      <w:r>
        <w:t xml:space="preserve">not that provenance is intrinsically harmful. It is that the evaluated bundle</w:t>
      </w:r>
      <w:r>
        <w:t xml:space="preserve"> </w:t>
      </w:r>
      <w:r>
        <w:t xml:space="preserve">did not earn a security advantage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system-facing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outcomes separately. The unsafe-or-failure</w:t>
      </w:r>
      <w:r>
        <w:t xml:space="preserve"> </w:t>
      </w:r>
      <w:r>
        <w:t xml:space="preserve">sensitivity endpoint is shown only as an explicitly pessimistic robustness</w:t>
      </w:r>
      <w:r>
        <w:t xml:space="preserve"> </w:t>
      </w:r>
      <w:r>
        <w:t xml:space="preserve">bound, not as a replacement composite score.</w:t>
      </w:r>
    </w:p>
    <w:bookmarkEnd w:id="77"/>
    <w:bookmarkStart w:id="78" w:name="X89d2a18d62ceed7f061d18a1f47a5cdf793e15b"/>
    <w:p>
      <w:pPr>
        <w:pStyle w:val="Heading3"/>
        <w:keepNext/>
        <w:jc w:val="left"/>
      </w:pPr>
      <w:r>
        <w:t xml:space="preserve">5.5 Adaptive evidence is budget-sensitive and conditionally extended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complete-panel evidence stops at 200. E5 extends only 12 prespecified</w:t>
      </w:r>
      <w:r>
        <w:t xml:space="preserve"> </w:t>
      </w:r>
      <w:r>
        <w:t xml:space="preserve">B200 survivors to 500 and stops each task at first unsafe effect. No new first</w:t>
      </w:r>
      <w:r>
        <w:t xml:space="preserve"> </w:t>
      </w:r>
      <w:r>
        <w:t xml:space="preserve">success occurred (0/12; Wilson 95% upper limit 24.25%). This conditional tail</w:t>
      </w:r>
      <w:r>
        <w:t xml:space="preserve"> </w:t>
      </w:r>
      <w:r>
        <w:t xml:space="preserve">can estimate</w:t>
      </w:r>
      <w:r>
        <w:t xml:space="preserve"> </w:t>
      </w:r>
      <w:r>
        <w:rPr>
          <w:rStyle w:val="VerbatimChar"/>
        </w:rPr>
        <w:t xml:space="preserve">P(first success by 500 | no success by 200)</w:t>
      </w:r>
      <w:r>
        <w:t xml:space="preserve"> </w:t>
      </w:r>
      <w:r>
        <w:t xml:space="preserve">for the selected survivors, but</w:t>
      </w:r>
      <w:r>
        <w:t xml:space="preserve"> </w:t>
      </w:r>
      <w:r>
        <w:t xml:space="preserve">it cannot be merged with the original 40 tasks into a nominal full B500 curve,</w:t>
      </w:r>
      <w:r>
        <w:t xml:space="preserve"> </w:t>
      </w:r>
      <w:r>
        <w:t xml:space="preserve">establish saturation, estimate an asymptotic attack rate, or support a</w:t>
      </w:r>
      <w:r>
        <w:t xml:space="preserve"> </w:t>
      </w:r>
      <w:r>
        <w:t xml:space="preserve">hardest-task-2,000 claim. The null point estimate does not establish zero tail</w:t>
      </w:r>
      <w:r>
        <w:t xml:space="preserve"> </w:t>
      </w:r>
      <w:r>
        <w:t xml:space="preserve">risk because the interval remains wide and the cohort is selected conditional</w:t>
      </w:r>
      <w:r>
        <w:t xml:space="preserve"> </w:t>
      </w:r>
      <w:r>
        <w:t xml:space="preserve">on surviving budget 200.</w:t>
      </w:r>
    </w:p>
    <w:bookmarkEnd w:id="78"/>
    <w:bookmarkStart w:id="79" w:name="X6ab58931f87d7b2ad9c8cdb1b6218c0bbd45235"/>
    <w:p>
      <w:pPr>
        <w:pStyle w:val="Heading3"/>
        <w:keepNext/>
        <w:jc w:val="left"/>
      </w:pPr>
      <w:r>
        <w:t xml:space="preserve">5.6 Contemporaneous calibration restores an active control</w:t>
      </w:r>
    </w:p>
    <w:p>
      <w:pPr>
        <w:pStyle w:val="FirstParagraph"/>
      </w:pPr>
      <w:r>
        <w:t xml:space="preserve">The near-zero E1 and E3 attack endpoints raise a calibration question: were the</w:t>
      </w:r>
      <w:r>
        <w:t xml:space="preserve"> </w:t>
      </w:r>
      <w:r>
        <w:t xml:space="preserve">tested attacks inactive at the time of execution, or did defended conditions</w:t>
      </w:r>
      <w:r>
        <w:t xml:space="preserve"> </w:t>
      </w:r>
      <w:r>
        <w:t xml:space="preserve">actually differ from an active control? E6 addresses this in a separately</w:t>
      </w:r>
      <w:r>
        <w:t xml:space="preserve"> </w:t>
      </w:r>
      <w:r>
        <w:t xml:space="preserve">executed historically risk-enriched cohort, but it is not an independent sample</w:t>
      </w:r>
      <w:r>
        <w:t xml:space="preserve"> </w:t>
      </w:r>
      <w:r>
        <w:t xml:space="preserve">validation: 47/60 tasks are also E3 anchors. No defense produced 17/60 unsafe</w:t>
      </w:r>
      <w:r>
        <w:t xml:space="preserve"> </w:t>
      </w:r>
      <w:r>
        <w:t xml:space="preserve">effects, including events in both AgentDojo and M3-v2, while policy/normal</w:t>
      </w:r>
      <w:r>
        <w:t xml:space="preserve"> </w:t>
      </w:r>
      <w:r>
        <w:t xml:space="preserve">produced 2/60 and full/safe produced 0/60. Attack activity was therefore</w:t>
      </w:r>
      <w:r>
        <w:t xml:space="preserve"> </w:t>
      </w:r>
      <w:r>
        <w:t xml:space="preserve">observed within the selected contemporaneous block; the original multi-window</w:t>
      </w:r>
      <w:r>
        <w:t xml:space="preserve"> </w:t>
      </w:r>
      <w:r>
        <w:t xml:space="preserve">activity gate was neither satisfied nor tested.</w:t>
      </w:r>
    </w:p>
    <w:p>
      <w:pPr>
        <w:pStyle w:val="BodyText"/>
      </w:pPr>
      <w:r>
        <w:t xml:space="preserve">This calibration does not rescue a broad defense-superiority claim. The cohort</w:t>
      </w:r>
      <w:r>
        <w:t xml:space="preserve"> </w:t>
      </w:r>
      <w:r>
        <w:t xml:space="preserve">was selected from historical control-positive cases, contains no benign tasks,</w:t>
      </w:r>
      <w:r>
        <w:t xml:space="preserve"> </w:t>
      </w:r>
      <w:r>
        <w:t xml:space="preserve">and was run in one execution block. It estimates neither deployment prevalence</w:t>
      </w:r>
      <w:r>
        <w:t xml:space="preserve"> </w:t>
      </w:r>
      <w:r>
        <w:t xml:space="preserve">nor utility or temporal repeatability. Operational failures were also material:</w:t>
      </w:r>
      <w:r>
        <w:t xml:space="preserve"> </w:t>
      </w:r>
      <w:r>
        <w:t xml:space="preserve">12/60 under no defense and 3/60 even under full/safe. The VIGIL contrast was</w:t>
      </w:r>
      <w:r>
        <w:t xml:space="preserve"> </w:t>
      </w:r>
      <w:r>
        <w:t xml:space="preserve">heterogeneous, moving in opposite directions across the two benchmarks. E6 is</w:t>
      </w:r>
      <w:r>
        <w:t xml:space="preserve"> </w:t>
      </w:r>
      <w:r>
        <w:t xml:space="preserve">therefore best read as an active-control check plus a conditional comparison,</w:t>
      </w:r>
      <w:r>
        <w:t xml:space="preserve"> </w:t>
      </w:r>
      <w:r>
        <w:t xml:space="preserve">not a general robustness ranking or an individual provenance-module ablation.</w:t>
      </w:r>
    </w:p>
    <w:bookmarkEnd w:id="79"/>
    <w:bookmarkStart w:id="80" w:name="X30d802ff665a8145052131c2a07aea91abe24d1"/>
    <w:p>
      <w:pPr>
        <w:pStyle w:val="Heading3"/>
        <w:keepNext/>
        <w:jc w:val="left"/>
      </w:pPr>
      <w:r>
        <w:t xml:space="preserve">5.7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regimes, separately manipulates</w:t>
      </w:r>
      <w:r>
        <w:t xml:space="preserve"> </w:t>
      </w:r>
      <w:r>
        <w:t xml:space="preserve">prompt and runtime factors, and performs a source-only counterfactual. It keeps</w:t>
      </w:r>
      <w:r>
        <w:t xml:space="preserve"> </w:t>
      </w:r>
      <w:r>
        <w:t xml:space="preserve">evaluator fields offline, measures post-enforcement effects, retains failure in</w:t>
      </w:r>
      <w:r>
        <w:t xml:space="preserve"> </w:t>
      </w:r>
      <w:r>
        <w:t xml:space="preserve">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adds deterministic Guard replay and complete</w:t>
      </w:r>
      <w:r>
        <w:t xml:space="preserve"> </w:t>
      </w:r>
      <w:r>
        <w:t xml:space="preserve">tool trajectories while keeping those two evidence layers separate.</w:t>
      </w:r>
    </w:p>
    <w:bookmarkEnd w:id="80"/>
    <w:bookmarkStart w:id="81" w:name="cross-provider-interpretation"/>
    <w:p>
      <w:pPr>
        <w:pStyle w:val="Heading3"/>
        <w:keepNext/>
        <w:jc w:val="left"/>
      </w:pPr>
      <w:r>
        <w:t xml:space="preserve">5.8 Cross-provider interpretation</w:t>
      </w:r>
    </w:p>
    <w:p>
      <w:pPr>
        <w:pStyle w:val="FirstParagraph"/>
      </w:pPr>
      <w:r>
        <w:t xml:space="preserve">Two distinct Gemini attempts remain diagnostic. The earlier authorization study</w:t>
      </w:r>
      <w:r>
        <w:t xml:space="preserve"> </w:t>
      </w:r>
      <w:r>
        <w:t xml:space="preserve">closed with 32/450 terminal work items, including only five with official model</w:t>
      </w:r>
      <w:r>
        <w:t xml:space="preserve"> </w:t>
      </w:r>
      <w:r>
        <w:t xml:space="preserve">responses; 83 observed items remained nonterminal and 335 were unstarted. The</w:t>
      </w:r>
      <w:r>
        <w:t xml:space="preserve"> </w:t>
      </w:r>
      <w:r>
        <w:t xml:space="preserve">separately executed E6 prefix then stopped after five response-bearing records and one</w:t>
      </w:r>
      <w:r>
        <w:t xml:space="preserve"> </w:t>
      </w:r>
      <w:r>
        <w:t xml:space="preserve">response-less VIGIL dependency failure; 174 untouched plan rows were closed</w:t>
      </w:r>
      <w:r>
        <w:t xml:space="preserve"> </w:t>
      </w:r>
      <w:r>
        <w:t xml:space="preserve">administratively. Administrative closure is not scientific observation.</w:t>
      </w:r>
    </w:p>
    <w:p>
      <w:pPr>
        <w:pStyle w:val="BodyText"/>
      </w:pPr>
      <w:r>
        <w:t xml:space="preserve">Neither dataset meets a paired-coverage gate. In E6, comparisons involving</w:t>
      </w:r>
      <w:r>
        <w:t xml:space="preserve"> </w:t>
      </w:r>
      <w:r>
        <w:t xml:space="preserve">VIGIL have 0/30 minimum response-complete pairs. We therefore report all Gemini</w:t>
      </w:r>
      <w:r>
        <w:t xml:space="preserve"> </w:t>
      </w:r>
      <w:r>
        <w:t xml:space="preserve">effects as not estimable rather than plotting a zero, ranking providers, or</w:t>
      </w:r>
      <w:r>
        <w:t xml:space="preserve"> </w:t>
      </w:r>
      <w:r>
        <w:t xml:space="preserve">combining the two incompatible samples. External validity remains limited to</w:t>
      </w:r>
      <w:r>
        <w:t xml:space="preserve"> </w:t>
      </w:r>
      <w:r>
        <w:t xml:space="preserve">DeepSeek V4 Pro and V4 Flash.</w:t>
      </w:r>
    </w:p>
    <w:bookmarkEnd w:id="81"/>
    <w:bookmarkStart w:id="82" w:name="limitations"/>
    <w:p>
      <w:pPr>
        <w:pStyle w:val="Heading3"/>
        <w:keepNext/>
        <w:jc w:val="left"/>
      </w:pPr>
      <w:r>
        <w:t xml:space="preserve">5.9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families; the larger Public evidence adds another model from the same provider,</w:t>
      </w:r>
      <w:r>
        <w:t xml:space="preserve"> </w:t>
      </w:r>
      <w:r>
        <w:t xml:space="preserve">not an independent vendor. Model updates, tool schemas, system prompts, and</w:t>
      </w:r>
      <w:r>
        <w:t xml:space="preserve"> </w:t>
      </w:r>
      <w:r>
        <w:t xml:space="preserve">application context may change the effects. Both Gemini attempts closed</w:t>
      </w:r>
      <w:r>
        <w:t xml:space="preserve"> </w:t>
      </w:r>
      <w:r>
        <w:t xml:space="preserve">incomplete and contribute no cross-provider inference. Although execution dates, official</w:t>
      </w:r>
      <w:r>
        <w:t xml:space="preserve"> </w:t>
      </w:r>
      <w:r>
        <w:t xml:space="preserve">response identifiers, and returned model names are retained, provider-managed</w:t>
      </w:r>
      <w:r>
        <w:t xml:space="preserve"> </w:t>
      </w:r>
      <w:r>
        <w:t xml:space="preserve">aliases do not make the underlying weights immutable.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 E1 separates prompt profile from the runtime module bundle, but the full</w:t>
      </w:r>
      <w:r>
        <w:t xml:space="preserve"> </w:t>
      </w:r>
      <w:r>
        <w:t xml:space="preserve">module factor still combines provenance, data-flow, monotonicity, and</w:t>
      </w:r>
      <w:r>
        <w:t xml:space="preserve"> </w:t>
      </w:r>
      <w:r>
        <w:t xml:space="preserve">confirmation. It identifies a bundle-level module effect, not the contribution</w:t>
      </w:r>
      <w:r>
        <w:t xml:space="preserve"> </w:t>
      </w:r>
      <w:r>
        <w:t xml:space="preserve">of each internal mechanism. E2 isolates source authority at the input boundary,</w:t>
      </w:r>
      <w:r>
        <w:t xml:space="preserve"> </w:t>
      </w:r>
      <w:r>
        <w:t xml:space="preserve">yet confirmation and blocking create an end-to-end action floor.</w:t>
      </w:r>
    </w:p>
    <w:p>
      <w:pPr>
        <w:pStyle w:val="BodyText"/>
      </w:pPr>
      <w:r>
        <w:t xml:space="preserve">Fourth,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Fifth,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Sixth, only a prespecified subset of B200 survivors is extended toward 500.</w:t>
      </w:r>
      <w:r>
        <w:t xml:space="preserve"> </w:t>
      </w:r>
      <w:r>
        <w:t xml:space="preserve">That conditional tail does not constitute a complete B500 panel and cannot</w:t>
      </w:r>
      <w:r>
        <w:t xml:space="preserve"> </w:t>
      </w:r>
      <w:r>
        <w:t xml:space="preserve">prove saturation. Attack search is still one family of defense-aware</w:t>
      </w:r>
      <w:r>
        <w:t xml:space="preserve"> </w:t>
      </w:r>
      <w:r>
        <w:t xml:space="preserve">optimization; another optimizer may find different failures.</w:t>
      </w:r>
    </w:p>
    <w:p>
      <w:pPr>
        <w:pStyle w:val="BodyText"/>
      </w:pPr>
      <w:r>
        <w:t xml:space="preserve">Seventh, E6 uses a historically risk-enriched cohort in a single execution</w:t>
      </w:r>
      <w:r>
        <w:t xml:space="preserve"> </w:t>
      </w:r>
      <w:r>
        <w:t xml:space="preserve">block, with 47/60 tasks overlapping E3. It observes activity in that selected</w:t>
      </w:r>
      <w:r>
        <w:t xml:space="preserve"> </w:t>
      </w:r>
      <w:r>
        <w:t xml:space="preserve">block but cannot estimate deployment prevalence, benign utility, cross-date</w:t>
      </w:r>
      <w:r>
        <w:t xml:space="preserve"> </w:t>
      </w:r>
      <w:r>
        <w:t xml:space="preserve">repeatability, or independent-sample replication. Its M3 factor estimates</w:t>
      </w:r>
      <w:r>
        <w:t xml:space="preserve"> </w:t>
      </w:r>
      <w:r>
        <w:t xml:space="preserve">remain bundle-level and do not identify provenance as the causal component.</w:t>
      </w:r>
    </w:p>
    <w:p>
      <w:pPr>
        <w:pStyle w:val="BodyText"/>
      </w:pPr>
      <w:r>
        <w:t xml:space="preserve">Eighth,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Ninth, historical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measures system confirmation-request incidence and</w:t>
      </w:r>
      <w:r>
        <w:t xml:space="preserve"> </w:t>
      </w:r>
      <w:r>
        <w:t xml:space="preserve">terminates the trajectory. E7a adds paired in-memory approval/denial conditions</w:t>
      </w:r>
      <w:r>
        <w:t xml:space="preserve"> </w:t>
      </w:r>
      <w:r>
        <w:t xml:space="preserve">but no model clarification turn, human participant, or backend state change.</w:t>
      </w:r>
      <w:r>
        <w:t xml:space="preserve"> </w:t>
      </w:r>
      <w:r>
        <w:t xml:space="preserve">Its exact-policy control deliberately disagrees with the request’s permitted</w:t>
      </w:r>
      <w:r>
        <w:t xml:space="preserve"> </w:t>
      </w:r>
      <w:r>
        <w:t xml:space="preserve">wording, and both modules share a new wrapper. Permit differences therefore</w:t>
      </w:r>
      <w:r>
        <w:t xml:space="preserve"> </w:t>
      </w:r>
      <w:r>
        <w:t xml:space="preserve">do not identify an improvement over a correctly compiled policy, human</w:t>
      </w:r>
      <w:r>
        <w:t xml:space="preserve"> </w:t>
      </w:r>
      <w:r>
        <w:t xml:space="preserve">response quality, workload, task completion, or deployed security.</w:t>
      </w:r>
    </w:p>
    <w:p>
      <w:pPr>
        <w:pStyle w:val="BodyText"/>
      </w:pPr>
      <w:r>
        <w:t xml:space="preserve">Native dynamic-environment validation also remains incomplete. E2 uses</w:t>
      </w:r>
      <w:r>
        <w:t xml:space="preserve"> </w:t>
      </w:r>
      <w:r>
        <w:t xml:space="preserve">synthetic benchmark-domain scenarios rather than native AgentDojo execution.</w:t>
      </w:r>
      <w:r>
        <w:t xml:space="preserve"> </w:t>
      </w:r>
      <w:r>
        <w:t xml:space="preserve">AgentDyn’s open-ended tasks and helpful third-party instructions provide a</w:t>
      </w:r>
      <w:r>
        <w:t xml:space="preserve"> </w:t>
      </w:r>
      <w:r>
        <w:t xml:space="preserve">relevant external-validity challenge</w:t>
      </w:r>
      <w:r>
        <w:t xml:space="preserve"> </w:t>
      </w:r>
      <w:r>
        <w:t xml:space="preserve">(Li et al. 2026)</w:t>
      </w:r>
      <w:r>
        <w:t xml:space="preserve">, but our native loader and fixture</w:t>
      </w:r>
      <w:r>
        <w:t xml:space="preserve"> </w:t>
      </w:r>
      <w:r>
        <w:t xml:space="preserve">checks have not produced model-evaluation results. They are not included as</w:t>
      </w:r>
      <w:r>
        <w:t xml:space="preserve"> </w:t>
      </w:r>
      <w:r>
        <w:t xml:space="preserve">an additional benchmark or robustness finding.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82"/>
    <w:bookmarkStart w:id="83" w:name="practical-implications"/>
    <w:p>
      <w:pPr>
        <w:pStyle w:val="Heading3"/>
        <w:keepNext/>
        <w:jc w:val="left"/>
      </w:pPr>
      <w:r>
        <w:t xml:space="preserve">5.10 Practical implications</w:t>
      </w:r>
    </w:p>
    <w:p>
      <w:pPr>
        <w:pStyle w:val="FirstParagraph"/>
      </w:pPr>
      <w:r>
        <w:t xml:space="preserve">Four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evaluated factorially against a simpler</w:t>
      </w:r>
      <w:r>
        <w:t xml:space="preserve"> </w:t>
      </w:r>
      <w:r>
        <w:t xml:space="preserve">policy package so prompt and module effects are separately identifiable; the</w:t>
      </w:r>
      <w:r>
        <w:t xml:space="preserve"> </w:t>
      </w:r>
      <w:r>
        <w:t xml:space="preserve">internal modules require further ablations before individual attribution.</w:t>
      </w:r>
      <w:r>
        <w:t xml:space="preserve"> </w:t>
      </w:r>
      <w:r>
        <w:t xml:space="preserve">Third, source-only counterfactuals should be paired with both deterministic</w:t>
      </w:r>
      <w:r>
        <w:t xml:space="preserve"> </w:t>
      </w:r>
      <w:r>
        <w:t xml:space="preserve">Guard replay and end-to-end execution, rather than treating either as a proxy</w:t>
      </w:r>
      <w:r>
        <w:t xml:space="preserve"> </w:t>
      </w:r>
      <w:r>
        <w:t xml:space="preserve">for the other. Fourth, security reports should include benign completion,</w:t>
      </w:r>
      <w:r>
        <w:t xml:space="preserve"> </w:t>
      </w:r>
      <w:r>
        <w:t xml:space="preserve">system confirmation/blocking incidence, failures, latency, and attack budget</w:t>
      </w:r>
      <w:r>
        <w:t xml:space="preserve"> </w:t>
      </w:r>
      <w:r>
        <w:t xml:space="preserve">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E6 additionally shows why an active no-defense control should accompany</w:t>
      </w:r>
      <w:r>
        <w:t xml:space="preserve"> </w:t>
      </w:r>
      <w:r>
        <w:t xml:space="preserve">floor-limited defended cells. Both Gemini attempts closed with incomplete</w:t>
      </w:r>
      <w:r>
        <w:t xml:space="preserve"> </w:t>
      </w:r>
      <w:r>
        <w:t xml:space="preserve">diagnostic subsets and cannot alter or broaden the DeepSeek findings.</w:t>
      </w:r>
    </w:p>
    <w:bookmarkEnd w:id="83"/>
    <w:bookmarkEnd w:id="84"/>
    <w:bookmarkStart w:id="85" w:name="conclusion"/>
    <w:p>
      <w:pPr>
        <w:pStyle w:val="Heading2"/>
        <w:keepNext/>
        <w:jc w:val="left"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 the</w:t>
      </w:r>
      <w:r>
        <w:t xml:space="preserve"> </w:t>
      </w:r>
      <w:r>
        <w:t xml:space="preserve">full configuration package reduced unsafe effects relative to a structural</w:t>
      </w:r>
      <w:r>
        <w:t xml:space="preserve"> </w:t>
      </w:r>
      <w:r>
        <w:t xml:space="preserve">baseline but did not improve on the policy package. The larger historical</w:t>
      </w:r>
      <w:r>
        <w:t xml:space="preserve"> </w:t>
      </w:r>
      <w:r>
        <w:t xml:space="preserve">direction replicated across DeepSeek V4 Pro and V4 Flash: the full package</w:t>
      </w:r>
      <w:r>
        <w:t xml:space="preserve"> </w:t>
      </w:r>
      <w:r>
        <w:t xml:space="preserve">produced more unsafe effects, while benign-tool utility was equal or only</w:t>
      </w:r>
      <w:r>
        <w:t xml:space="preserve"> </w:t>
      </w:r>
      <w:r>
        <w:t xml:space="preserve">slightly different.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cells. The pooled exact-minus-auto benign-tool differences were −21.67</w:t>
      </w:r>
      <w:r>
        <w:t xml:space="preserve"> </w:t>
      </w:r>
      <w:r>
        <w:t xml:space="preserve">points for the policy package and −15.00 for the full package, but AgentDojo</w:t>
      </w:r>
      <w:r>
        <w:t xml:space="preserve"> </w:t>
      </w:r>
      <w:r>
        <w:t xml:space="preserve">improved by 13.33/10.00 points while M3-v2 fell by 56.67/40.00. Under a</w:t>
      </w:r>
      <w:r>
        <w:t xml:space="preserve"> </w:t>
      </w:r>
      <w:r>
        <w:t xml:space="preserve">pessimistic unsafe-or-operational-failure bound, both packages worsened by 18</w:t>
      </w:r>
      <w:r>
        <w:t xml:space="preserve"> </w:t>
      </w:r>
      <w:r>
        <w:t xml:space="preserve">points overall, driven by +36-point changes on AgentDojo and no change on</w:t>
      </w:r>
      <w:r>
        <w:t xml:space="preserve"> </w:t>
      </w:r>
      <w:r>
        <w:t xml:space="preserve">M3-v2. Exact authorization removed system ASK but moved 45.00–48.89% of records</w:t>
      </w:r>
      <w:r>
        <w:t xml:space="preserve"> </w:t>
      </w:r>
      <w:r>
        <w:t xml:space="preserve">into at least one DENY, raised failures to approximately 24%, and increased</w:t>
      </w:r>
      <w:r>
        <w:t xml:space="preserve"> </w:t>
      </w:r>
      <w:r>
        <w:t xml:space="preserve">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concurrent 2×2 experiment then separated prompt profile from the runtime</w:t>
      </w:r>
      <w:r>
        <w:t xml:space="preserve"> </w:t>
      </w:r>
      <w:r>
        <w:t xml:space="preserve">module bundle. Across 400 attack assignments, the policy cells produced two</w:t>
      </w:r>
      <w:r>
        <w:t xml:space="preserve"> </w:t>
      </w:r>
      <w:r>
        <w:t xml:space="preserve">unsafe effects and the full cells produced none; the module estimate was −1.00</w:t>
      </w:r>
      <w:r>
        <w:t xml:space="preserve"> </w:t>
      </w:r>
      <w:r>
        <w:t xml:space="preserve">percentage point (95% bootstrap CI −3.00 to 0.00), while the prompt and</w:t>
      </w:r>
      <w:r>
        <w:t xml:space="preserve"> </w:t>
      </w:r>
      <w:r>
        <w:t xml:space="preserve">interaction estimates were zero. Benign-tool module and prompt effects were</w:t>
      </w:r>
      <w:r>
        <w:t xml:space="preserve"> </w:t>
      </w:r>
      <w:r>
        <w:t xml:space="preserve">both −3.33 points with intervals including zero. The design resolves the</w:t>
      </w:r>
      <w:r>
        <w:t xml:space="preserve"> </w:t>
      </w:r>
      <w:r>
        <w:t xml:space="preserve">prompt/module confounding but remains floor-limited and does not isolate the</w:t>
      </w:r>
      <w:r>
        <w:t xml:space="preserve"> </w:t>
      </w:r>
      <w:r>
        <w:t xml:space="preserve">individual provenance, data-flow, monotonicity, or confirmation components.</w:t>
      </w:r>
    </w:p>
    <w:p>
      <w:pPr>
        <w:pStyle w:val="BodyText"/>
      </w:pPr>
      <w:r>
        <w:t xml:space="preserve">The source-authority counterfactual supplies the corresponding mechanism</w:t>
      </w:r>
      <w:r>
        <w:t xml:space="preserve"> </w:t>
      </w:r>
      <w:r>
        <w:t xml:space="preserve">evidence. Full-Guard decisions changed under an untrusted source, whereas the</w:t>
      </w:r>
      <w:r>
        <w:t xml:space="preserve"> </w:t>
      </w:r>
      <w:r>
        <w:t xml:space="preserve">policy-only distribution did not; 480 replay decisions comprised 0/240 false</w:t>
      </w:r>
      <w:r>
        <w:t xml:space="preserve"> </w:t>
      </w:r>
      <w:r>
        <w:t xml:space="preserve">allows among unauthorized proposals and 30/240 false blocks among authorized</w:t>
      </w:r>
      <w:r>
        <w:t xml:space="preserve"> </w:t>
      </w:r>
      <w:r>
        <w:t xml:space="preserve">proposals. Yet all 240 end-to-end runs executed no action, alongside</w:t>
      </w:r>
      <w:r>
        <w:t xml:space="preserve"> </w:t>
      </w:r>
      <w:r>
        <w:t xml:space="preserve">substantial ASK and DENY burden. Mechanism-level provenance sensitivity is therefore</w:t>
      </w:r>
      <w:r>
        <w:t xml:space="preserve"> </w:t>
      </w:r>
      <w:r>
        <w:t xml:space="preserve">not equivalent to usable end-to-end utility. The outcome-enriched challenge</w:t>
      </w:r>
      <w:r>
        <w:t xml:space="preserve"> </w:t>
      </w:r>
      <w:r>
        <w:t xml:space="preserve">set likewise reproduced only 1/60 historical unsafe effects and incurred 55</w:t>
      </w:r>
      <w:r>
        <w:t xml:space="preserve"> </w:t>
      </w:r>
      <w:r>
        <w:t xml:space="preserve">operational failures, while the Flash factorial replication had zero unsafe</w:t>
      </w:r>
      <w:r>
        <w:t xml:space="preserve"> </w:t>
      </w:r>
      <w:r>
        <w:t xml:space="preserve">effects in every attack cell. Both results reinforce the need to report a</w:t>
      </w:r>
      <w:r>
        <w:t xml:space="preserve"> </w:t>
      </w:r>
      <w:r>
        <w:t xml:space="preserve">failure-sensitive endpoint instead of treating non-operation as safety.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budget. Among the 12 prespecified B200 survivors, 0/12 produced a new first</w:t>
      </w:r>
      <w:r>
        <w:t xml:space="preserve"> </w:t>
      </w:r>
      <w:r>
        <w:t xml:space="preserve">unsafe effect by query 500 (Wilson upper limit 24.25%). This conditional result</w:t>
      </w:r>
      <w:r>
        <w:t xml:space="preserve"> </w:t>
      </w:r>
      <w:r>
        <w:t xml:space="preserve">cannot be merged into a full B500 curve or used to establish saturation or zero</w:t>
      </w:r>
      <w:r>
        <w:t xml:space="preserve"> </w:t>
      </w:r>
      <w:r>
        <w:t xml:space="preserve">tail risk.</w:t>
      </w:r>
    </w:p>
    <w:p>
      <w:pPr>
        <w:pStyle w:val="BodyText"/>
      </w:pPr>
      <w:r>
        <w:t xml:space="preserve">A separately executed single-block calibration observed attack activity in a</w:t>
      </w:r>
      <w:r>
        <w:t xml:space="preserve"> </w:t>
      </w:r>
      <w:r>
        <w:t xml:space="preserve">historically risk-enriched cohort: no defense produced 17/60 unsafe effects</w:t>
      </w:r>
      <w:r>
        <w:t xml:space="preserve"> </w:t>
      </w:r>
      <w:r>
        <w:t xml:space="preserve">across both benchmarks, compared with 2/60 under policy/normal and 0/60 under</w:t>
      </w:r>
      <w:r>
        <w:t xml:space="preserve"> </w:t>
      </w:r>
      <w:r>
        <w:t xml:space="preserve">full/safe. Because 47/60 tasks also anchored E3, this is not independent-sample</w:t>
      </w:r>
      <w:r>
        <w:t xml:space="preserve"> </w:t>
      </w:r>
      <w:r>
        <w:t xml:space="preserve">replication. These conditional contrasts remain bounded by non-negligible</w:t>
      </w:r>
      <w:r>
        <w:t xml:space="preserve"> </w:t>
      </w:r>
      <w:r>
        <w:t xml:space="preserve">operational failure, outcome-enriched sampling, the absence of benign tasks,</w:t>
      </w:r>
      <w:r>
        <w:t xml:space="preserve"> </w:t>
      </w:r>
      <w:r>
        <w:t xml:space="preserve">and a single execution block. They do not satisfy the original multi-window</w:t>
      </w:r>
      <w:r>
        <w:t xml:space="preserve"> </w:t>
      </w:r>
      <w:r>
        <w:t xml:space="preserve">activity gate or estimate deployment prevalence, utility, temporal</w:t>
      </w:r>
      <w:r>
        <w:t xml:space="preserve"> </w:t>
      </w:r>
      <w:r>
        <w:t xml:space="preserve">repeatability, or an individual provenance-module effect.</w:t>
      </w:r>
    </w:p>
    <w:p>
      <w:pPr>
        <w:pStyle w:val="BodyText"/>
      </w:pPr>
      <w:r>
        <w:t xml:space="preserve">The follow-up permission study further separates policy scope, confirmation,</w:t>
      </w:r>
      <w:r>
        <w:t xml:space="preserve"> </w:t>
      </w:r>
      <w:r>
        <w:t xml:space="preserve">and effect commitment. Across 96 model proposals and 384 paired controller</w:t>
      </w:r>
      <w:r>
        <w:t xml:space="preserve"> </w:t>
      </w:r>
      <w:r>
        <w:t xml:space="preserve">cells, bounded enumeration permitted an already-authorized text alternative</w:t>
      </w:r>
      <w:r>
        <w:t xml:space="preserve"> </w:t>
      </w:r>
      <w:r>
        <w:t xml:space="preserve">that a deliberately overconstrained exact control rejected. Neither module</w:t>
      </w:r>
      <w:r>
        <w:t xml:space="preserve"> </w:t>
      </w:r>
      <w:r>
        <w:t xml:space="preserve">outperformed the other. These are execution permits without backend effects,</w:t>
      </w:r>
      <w:r>
        <w:t xml:space="preserve"> </w:t>
      </w:r>
      <w:r>
        <w:t xml:space="preserve">not additional task-completion or safety evidence; the distinction matters</w:t>
      </w:r>
      <w:r>
        <w:t xml:space="preserve"> </w:t>
      </w:r>
      <w:r>
        <w:t xml:space="preserve">when interpreting both confirmation burden and apparent non-operation.</w:t>
      </w:r>
    </w:p>
    <w:p>
      <w:pPr>
        <w:pStyle w:val="BodyText"/>
      </w:pPr>
      <w:r>
        <w:t xml:space="preserve">These findings support four practical requirements for tool-agent security</w:t>
      </w:r>
      <w:r>
        <w:t xml:space="preserve"> </w:t>
      </w:r>
      <w:r>
        <w:t xml:space="preserve">evaluation: keep evaluator-only fields outside online Guard state; manipulate</w:t>
      </w:r>
      <w:r>
        <w:t xml:space="preserve"> </w:t>
      </w:r>
      <w:r>
        <w:t xml:space="preserve">prompt and runtime factors separately; pair deterministic source-authority</w:t>
      </w:r>
      <w:r>
        <w:t xml:space="preserve"> </w:t>
      </w:r>
      <w:r>
        <w:t xml:space="preserve">replay with end-to-end execution; and report utility, ASK/DENY incidence,</w:t>
      </w:r>
      <w:r>
        <w:t xml:space="preserve"> </w:t>
      </w:r>
      <w:r>
        <w:t xml:space="preserve">failures, latency, and attack budget alongside unsafe effects. The conclusions</w:t>
      </w:r>
      <w:r>
        <w:t xml:space="preserve"> </w:t>
      </w:r>
      <w:r>
        <w:t xml:space="preserve">remain limited to the tested policies, benchmarks, runtime implementation,</w:t>
      </w:r>
      <w:r>
        <w:t xml:space="preserve"> </w:t>
      </w:r>
      <w:r>
        <w:t xml:space="preserve">DeepSeek models, and budget range. Both the earlier Gemini authorization sample</w:t>
      </w:r>
      <w:r>
        <w:t xml:space="preserve"> </w:t>
      </w:r>
      <w:r>
        <w:t xml:space="preserve">and the separate E6 Gemini prefix closed below their paired-coverage gates; all</w:t>
      </w:r>
      <w:r>
        <w:t xml:space="preserve"> </w:t>
      </w:r>
      <w:r>
        <w:t xml:space="preserve">Gemini effects are not estimable and cannot erase or broaden the completed</w:t>
      </w:r>
      <w:r>
        <w:t xml:space="preserve"> </w:t>
      </w:r>
      <w:r>
        <w:t xml:space="preserve">DeepSeek findings.</w:t>
      </w:r>
    </w:p>
    <w:bookmarkEnd w:id="85"/>
    <w:bookmarkStart w:id="91" w:name="figures"/>
    <w:p>
      <w:pPr>
        <w:pStyle w:val="Heading2"/>
        <w:keepNext/>
        <w:jc w:val="left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3540815"/>
            <wp:effectExtent b="0" l="0" r="0" t="0"/>
            <wp:docPr descr="Figure 1. Online fields and the source-authority boundary." title="" id="1" name="Picture"/>
            <a:graphic>
              <a:graphicData uri="http://schemas.openxmlformats.org/drawingml/2006/picture">
                <pic:pic>
                  <pic:nvPicPr>
                    <pic:cNvPr descr="../../../../outputs/experiments/incremental_empirical_v1/figures/figure_1_authority_bounda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0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fields and the source-authority boundary.</w:t>
      </w:r>
    </w:p>
    <w:p>
      <w:pPr>
        <w:pStyle w:val="CaptionedFigure"/>
      </w:pPr>
      <w:r>
        <w:drawing>
          <wp:inline>
            <wp:extent cx="5334000" cy="3486186"/>
            <wp:effectExtent b="0" l="0" r="0" t="0"/>
            <wp:docPr descr="Figure 2. Prompt, runtime-module, and interaction effects." title="" id="1" name="Picture"/>
            <a:graphic>
              <a:graphicData uri="http://schemas.openxmlformats.org/drawingml/2006/picture">
                <pic:pic>
                  <pic:nvPicPr>
                    <pic:cNvPr descr="../../../../outputs/experiments/incremental_empirical_v1/figures/figure_2_factorial_interac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Prompt, runtime-module, and interaction effects.</w:t>
      </w:r>
    </w:p>
    <w:p>
      <w:pPr>
        <w:pStyle w:val="CaptionedFigure"/>
      </w:pPr>
      <w:r>
        <w:drawing>
          <wp:inline>
            <wp:extent cx="5334000" cy="3642407"/>
            <wp:effectExtent b="0" l="0" r="0" t="0"/>
            <wp:docPr descr="Figure 3. Source-authority counterfactual decisions and action changes." title="" id="1" name="Picture"/>
            <a:graphic>
              <a:graphicData uri="http://schemas.openxmlformats.org/drawingml/2006/picture">
                <pic:pic>
                  <pic:nvPicPr>
                    <pic:cNvPr descr="../../../../outputs/experiments/incremental_empirical_v1/figures/figure_3_provenance_counterfactu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2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Source-authority counterfactual decisions and action changes.</w:t>
      </w:r>
    </w:p>
    <w:p>
      <w:pPr>
        <w:pStyle w:val="CaptionedFigure"/>
      </w:pPr>
      <w:r>
        <w:drawing>
          <wp:inline>
            <wp:extent cx="5334000" cy="3970116"/>
            <wp:effectExtent b="0" l="0" r="0" t="0"/>
            <wp:docPr descr="Figure 4. Factor effects across representative, enriched, and Flash cohorts." title="" id="1" name="Picture"/>
            <a:graphic>
              <a:graphicData uri="http://schemas.openxmlformats.org/drawingml/2006/picture">
                <pic:pic>
                  <pic:nvPicPr>
                    <pic:cNvPr descr="../../../../outputs/experiments/incremental_empirical_v1/figures/figure_4_factor_effect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0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Factor effects across representative, enriched, and Flash cohorts.</w:t>
      </w:r>
    </w:p>
    <w:p>
      <w:pPr>
        <w:pStyle w:val="CaptionedFigure"/>
      </w:pPr>
      <w:r>
        <w:drawing>
          <wp:inline>
            <wp:extent cx="5334000" cy="3559380"/>
            <wp:effectExtent b="0" l="0" r="0" t="0"/>
            <wp:docPr descr="Figure 5. Complete B50/B200 evidence and the conditional B200-survivor tail." title="" id="1" name="Picture"/>
            <a:graphic>
              <a:graphicData uri="http://schemas.openxmlformats.org/drawingml/2006/picture">
                <pic:pic>
                  <pic:nvPicPr>
                    <pic:cNvPr descr="../../../../outputs/experiments/incremental_empirical_v1/figures/figure_5_adaptive_tai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9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Complete B50/B200 evidence and the conditional B200-survivor tail.</w:t>
      </w:r>
    </w:p>
    <w:bookmarkEnd w:id="91"/>
    <w:bookmarkStart w:id="100" w:name="tables"/>
    <w:p>
      <w:pPr>
        <w:pStyle w:val="Heading2"/>
        <w:keepNext/>
        <w:jc w:val="left"/>
      </w:pPr>
      <w:r>
        <w:t xml:space="preserve">Tables</w:t>
      </w:r>
    </w:p>
    <w:bookmarkStart w:id="92" w:name="Xbd5cc16ae6c0b6f8e328a9f47f945872774ee2e"/>
    <w:p>
      <w:pPr>
        <w:pStyle w:val="Heading3"/>
        <w:keepNext/>
        <w:jc w:val="left"/>
      </w:pPr>
      <w:r>
        <w:t xml:space="preserve">Table 1. Prompt-by-module factorial design</w:t>
      </w:r>
    </w:p>
    <w:p>
      <w:pPr>
        <w:pStyle w:val="FirstParagraph"/>
      </w:pPr>
      <w:r>
        <w:t xml:space="preserve">The four contemporaneous cells cross prompt profile with the runtime module bundle while holding authorization at auto_compiled.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012"/>
        <w:gridCol w:w="1537"/>
        <w:gridCol w:w="1602"/>
        <w:gridCol w:w="1922"/>
        <w:gridCol w:w="2287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1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 cell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3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Modules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2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8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Historical rows reused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3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3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3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3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92"/>
    <w:bookmarkStart w:id="93" w:name="table-2.-e1-factorial-estimates"/>
    <w:p>
      <w:pPr>
        <w:pStyle w:val="Heading3"/>
        <w:keepNext/>
        <w:jc w:val="left"/>
      </w:pPr>
      <w:r>
        <w:t xml:space="preserve">Table 2. E1 factorial estimates</w:t>
      </w:r>
    </w:p>
    <w:p>
      <w:pPr>
        <w:pStyle w:val="FirstParagraph"/>
      </w:pPr>
      <w:r>
        <w:t xml:space="preserve">Absolute effects are probability differences; intervals use 10,000 case-cluster bootstrap replicates. Holm values apply only to E1’s prespecified endpoint families. Historical tables retain their recorded endpoint, not a retrospectively verified count of committed unauthorized effects. See the measurement correction and separate corrected-v1 results.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052"/>
        <w:gridCol w:w="1084"/>
        <w:gridCol w:w="927"/>
        <w:gridCol w:w="942"/>
        <w:gridCol w:w="879"/>
        <w:gridCol w:w="896"/>
        <w:gridCol w:w="879"/>
        <w:gridCol w:w="927"/>
        <w:gridCol w:w="842"/>
        <w:gridCol w:w="932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Factor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cases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low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high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0.7358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0.8206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-2.50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-5.50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+1.50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+6.00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0.5868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-6.67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+8.33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-8.33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0.2880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E1 representative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-10.83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0.4496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0.8992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</w:tbl>
    <w:bookmarkEnd w:id="93"/>
    <w:bookmarkStart w:id="94" w:name="table-3.-e2-source-authority-evidence"/>
    <w:p>
      <w:pPr>
        <w:pStyle w:val="Heading3"/>
        <w:keepNext/>
        <w:jc w:val="left"/>
      </w:pPr>
      <w:r>
        <w:t xml:space="preserve">Table 3. E2 source-authority evidence</w:t>
      </w:r>
    </w:p>
    <w:p>
      <w:pPr>
        <w:pStyle w:val="FirstParagraph"/>
      </w:pPr>
      <w:r>
        <w:t xml:space="preserve">End-to-end source swaps and deterministic Guard replay are separate evidence layers and must not be interpreted as interchangeable.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052"/>
        <w:gridCol w:w="1125"/>
        <w:gridCol w:w="965"/>
        <w:gridCol w:w="926"/>
        <w:gridCol w:w="883"/>
        <w:gridCol w:w="866"/>
        <w:gridCol w:w="883"/>
        <w:gridCol w:w="912"/>
        <w:gridCol w:w="831"/>
        <w:gridCol w:w="917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Factor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cases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low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high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unauthorized argument influence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unauthorized argument influence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source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unauthorized argument influence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source x 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authorized action execution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authorized action execution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source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authorized action execution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source x 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source swap action change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+6.02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end to end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source swap action change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+6.02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offline guard replay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false allow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not applicable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+1.58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E2 offline guard replay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false block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not applicable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+12.50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6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+8.90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+17.28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3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1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94"/>
    <w:bookmarkStart w:id="95" w:name="table-4.-e3e4-conditional-robustness"/>
    <w:p>
      <w:pPr>
        <w:pStyle w:val="Heading3"/>
        <w:keepNext/>
        <w:jc w:val="left"/>
      </w:pPr>
      <w:r>
        <w:t xml:space="preserve">Table 4. E3/E4 conditional robustness</w:t>
      </w:r>
    </w:p>
    <w:p>
      <w:pPr>
        <w:pStyle w:val="FirstParagraph"/>
      </w:pPr>
      <w:r>
        <w:t xml:space="preserve">E3 is outcome-enriched and E4 is a same-provider replication. Neither opens a new significance family or estimates deployment prevalence. Historical tables retain their recorded endpoint, not a retrospectively verified count of committed unauthorized effects. See the measurement correction and separate corrected-v1 results.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041"/>
        <w:gridCol w:w="1083"/>
        <w:gridCol w:w="927"/>
        <w:gridCol w:w="941"/>
        <w:gridCol w:w="878"/>
        <w:gridCol w:w="895"/>
        <w:gridCol w:w="895"/>
        <w:gridCol w:w="927"/>
        <w:gridCol w:w="841"/>
        <w:gridCol w:w="932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Factor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cases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low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high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E3 risk enriched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E3 risk enriched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-1.67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0.7406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E3 risk enriched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E3 risk enriched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0.3448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E3 risk enriched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+0.83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0.1528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E3 risk enriched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+0.83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-8.33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0.9438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+4.00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0.7852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+7.00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0.0864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+2.00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0.7752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interaction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+6.67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+16.67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0.2558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module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+8.33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0.2602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E4 flash replication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8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prompt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-11.67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+3.33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0.5494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10000</w:t>
            </w:r>
          </w:p>
        </w:tc>
      </w:tr>
    </w:tbl>
    <w:bookmarkEnd w:id="95"/>
    <w:bookmarkStart w:id="96" w:name="table-5.-e5-conditional-adaptive-tail"/>
    <w:p>
      <w:pPr>
        <w:pStyle w:val="Heading3"/>
        <w:keepNext/>
        <w:jc w:val="left"/>
      </w:pPr>
      <w:r>
        <w:t xml:space="preserve">Table 5. E5 conditional adaptive tail</w:t>
      </w:r>
    </w:p>
    <w:p>
      <w:pPr>
        <w:pStyle w:val="FirstParagraph"/>
      </w:pPr>
      <w:r>
        <w:t xml:space="preserve">The tail probability is conditional on the prespecified B200 survivors; it is not a complete original-panel B500 curve or saturation estimate. Historical tables retain their recorded endpoint, not a retrospectively verified count of committed unauthorized effects. See the measurement correction and separate corrected-v1 results.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292"/>
        <w:gridCol w:w="961"/>
        <w:gridCol w:w="1190"/>
        <w:gridCol w:w="1307"/>
        <w:gridCol w:w="961"/>
        <w:gridCol w:w="990"/>
        <w:gridCol w:w="1276"/>
        <w:gridCol w:w="1383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0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Successes by 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Conditional probability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low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0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CI high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First-success queries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3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Complete original B500 panel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all selected survivors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24.25%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No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48.99%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No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48.99%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No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48.99%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No</w:t>
            </w:r>
          </w:p>
        </w:tc>
      </w:tr>
    </w:tbl>
    <w:bookmarkEnd w:id="96"/>
    <w:bookmarkStart w:id="97" w:name="X1378f33ad774f656f9ee1cbc184e456785c8061"/>
    <w:p>
      <w:pPr>
        <w:pStyle w:val="Heading3"/>
        <w:keepNext/>
        <w:jc w:val="left"/>
      </w:pPr>
      <w:r>
        <w:t xml:space="preserve">Table 6. E6 contemporaneous attack-activity calibration</w:t>
      </w:r>
    </w:p>
    <w:p>
      <w:pPr>
        <w:pStyle w:val="FirstParagraph"/>
      </w:pPr>
      <w:r>
        <w:t xml:space="preserve">E6 uses a historically risk-enriched single execution block; 47/60 tasks also anchor E3. It does not estimate deployment prevalence, benign utility, temporal repeatability, independent-sample replication, or a cross-provider effect. Historical tables retain their recorded endpoint, not a retrospectively verified count of committed unauthorized effects. See the measurement correction and separate corrected-v1 results.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92"/>
        <w:gridCol w:w="1779"/>
        <w:gridCol w:w="1592"/>
        <w:gridCol w:w="1658"/>
        <w:gridCol w:w="1352"/>
        <w:gridCol w:w="1387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9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Legacy risk,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Operational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8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Legacy risk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52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ASK events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7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DENY events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17/60 (28.3%) [18.5%, 40.8%]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12/60 (20.0%)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29/60 (48.3%)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5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Source-pinned VIGIL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8/60 (13.3%)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24/60 (40.0%)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5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2/60 (3.3%) [0.9%,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5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1/60 (1.7%) [0.3%, 8.9%]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2/60 (3.3%)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3/60 (5.0%)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5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0/60 (0.0%) [0.0%, 6.0%]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5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0/60 (0.0%) [0.0%, 6.0%]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3/60 (5.0%)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3/60 (5.0%)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5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8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</w:t>
            </w:r>
          </w:p>
        </w:tc>
      </w:tr>
    </w:tbl>
    <w:bookmarkEnd w:id="97"/>
    <w:bookmarkStart w:id="98" w:name="table-7.-e7a-execution-permit-diagnostic"/>
    <w:p>
      <w:pPr>
        <w:pStyle w:val="Heading3"/>
        <w:keepNext/>
        <w:jc w:val="left"/>
      </w:pPr>
      <w:r>
        <w:t xml:space="preserve">Table 7. E7a execution-permit diagnostic</w:t>
      </w:r>
    </w:p>
    <w:p>
      <w:pPr>
        <w:pStyle w:val="FirstParagraph"/>
      </w:pPr>
      <w:r>
        <w:t xml:space="preserve">One-shot permits under trusted approval, not task completion or committed effects. Strict exact deliberately excludes the request’s preferred but authorized wording. Each denominator is 12; Wilson 95% intervals are 0.00%–24.25% for 0/12 and 75.75%–100.00% for 12/12. Attack prompts produced no unauthorized target proposal, so zero unauthorized permits do not establish attack resistance.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221"/>
        <w:gridCol w:w="2358"/>
        <w:gridCol w:w="2358"/>
        <w:gridCol w:w="2423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21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Policy / modules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58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 authorized permits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58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Attack authorized permits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23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Attack unauthorized permits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Strict exact / policy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5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2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Strict exact / 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5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2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Bounded enum / policy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5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2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Bounded enum / 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5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2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</w:tr>
    </w:tbl>
    <w:bookmarkEnd w:id="98"/>
    <w:bookmarkStart w:id="99" w:name="Xc04d79353abfe11d08eee6f4fcac6483eece6a1"/>
    <w:p>
      <w:pPr>
        <w:pStyle w:val="Heading3"/>
        <w:keepNext/>
        <w:jc w:val="left"/>
      </w:pPr>
      <w:r>
        <w:t xml:space="preserve">Table 8. Corrected development study by benchmark</w:t>
      </w:r>
    </w:p>
    <w:p>
      <w:pPr>
        <w:pStyle w:val="FirstParagraph"/>
      </w:pPr>
      <w:r>
        <w:t xml:space="preserve">Corrected-v1 development data, not a confirmatory comparison with historical runs. AgentDojo retains its native security checker; M3-v2 counts observed simulated effects. Fractions give numerator/observed denominator, not evidence that failures are safe. Unknown values, when present, are explicit. Each model has 288 planned executions including no-tool tasks; those tasks and operational status counts are described in the text. Flash is V4.1, not the historical V4 model.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86"/>
        <w:gridCol w:w="1636"/>
        <w:gridCol w:w="1979"/>
        <w:gridCol w:w="1903"/>
        <w:gridCol w:w="2156"/>
      </w:tblGrid>
      <w:tr>
        <w:trPr>
          <w:cantSplit/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Configuration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Attack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  <w:shd w:fill="E8EEF5"/>
          </w:tcPr>
          <w:p>
            <w:pPr>
              <w:pStyle w:val="Compact"/>
              <w:keepNext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Benign tool completion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guard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guard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guard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guard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 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V4.1 Flash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guard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V4.1 Flash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guard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V4.1 Flash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V4.1 Flash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V4.1 Flash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V4.1 Flash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V4.1 Flash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guard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V4.1 Flash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guard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V4.1 Flash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V4.1 Flash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V4.1 Flash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/ normal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6/8</w:t>
            </w:r>
          </w:p>
        </w:tc>
      </w:tr>
      <w:tr>
        <w:trPr>
          <w:cantSplit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8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V4.1 Flash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7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/ safe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5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6/8</w:t>
            </w:r>
          </w:p>
        </w:tc>
      </w:tr>
    </w:tbl>
    <w:bookmarkEnd w:id="99"/>
    <w:bookmarkEnd w:id="100"/>
    <w:bookmarkStart w:id="101" w:name="figure-captions"/>
    <w:p>
      <w:pPr>
        <w:pStyle w:val="Heading2"/>
        <w:keepNext/>
        <w:jc w:val="left"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fields and the source-authority boundary.</w:t>
      </w:r>
      <w:r>
        <w:t xml:space="preserve"> </w:t>
      </w:r>
      <w:r>
        <w:t xml:space="preserve">Trusted task</w:t>
      </w:r>
      <w:r>
        <w:t xml:space="preserve"> </w:t>
      </w:r>
      <w:r>
        <w:t xml:space="preserve">context, projected authorization, provenance events, and proposed actions may</w:t>
      </w:r>
      <w:r>
        <w:t xml:space="preserve"> </w:t>
      </w:r>
      <w:r>
        <w:t xml:space="preserve">enter the Guard. Raw evaluator labels, gold answers, and effect receipts remain</w:t>
      </w:r>
      <w:r>
        <w:t xml:space="preserve"> </w:t>
      </w:r>
      <w:r>
        <w:t xml:space="preserve">offline. The E2 source swap changes authority while holding proposition, value,</w:t>
      </w:r>
      <w:r>
        <w:t xml:space="preserve"> </w:t>
      </w:r>
      <w:r>
        <w:t xml:space="preserve">relative position, and policy fixed; provider-managed tools and real external</w:t>
      </w:r>
      <w:r>
        <w:t xml:space="preserve"> </w:t>
      </w:r>
      <w:r>
        <w:t xml:space="preserve">effects remain disabled.</w:t>
      </w:r>
    </w:p>
    <w:p>
      <w:pPr>
        <w:pStyle w:val="BodyText"/>
      </w:pPr>
      <w:r>
        <w:rPr>
          <w:bCs/>
          <w:b/>
        </w:rPr>
        <w:t xml:space="preserve">Figure 2. Prompt-by-module factorial effects.</w:t>
      </w:r>
      <w:r>
        <w:t xml:space="preserve"> </w:t>
      </w:r>
      <w:r>
        <w:t xml:space="preserve">Panels show the four E1 cells</w:t>
      </w:r>
      <w:r>
        <w:t xml:space="preserve"> </w:t>
      </w:r>
      <w:r>
        <w:t xml:space="preserve">for the legacy-labelled risk endpoint, benign-tool completion, and the failure-sensitive attack</w:t>
      </w:r>
      <w:r>
        <w:t xml:space="preserve"> </w:t>
      </w:r>
      <w:r>
        <w:t xml:space="preserve">endpoint; Table 2 reports the corresponding module, prompt, and interaction</w:t>
      </w:r>
      <w:r>
        <w:t xml:space="preserve"> </w:t>
      </w:r>
      <w:r>
        <w:t xml:space="preserve">effects. Intervals use 10,000 case-cluster bootstrap replicates. Holm adjustment</w:t>
      </w:r>
      <w:r>
        <w:t xml:space="preserve"> </w:t>
      </w:r>
      <w:r>
        <w:t xml:space="preserve">is confined to the originally specified safety and benign-tool TCR families; the</w:t>
      </w:r>
      <w:r>
        <w:t xml:space="preserve"> </w:t>
      </w:r>
      <w:r>
        <w:t xml:space="preserve">failure-sensitive endpoint remains a descriptive sensitivity analysis.</w:t>
      </w:r>
    </w:p>
    <w:p>
      <w:pPr>
        <w:pStyle w:val="BodyText"/>
      </w:pPr>
      <w:r>
        <w:rPr>
          <w:bCs/>
          <w:b/>
        </w:rPr>
        <w:t xml:space="preserve">Figure 3. Source-authority counterfactual.</w:t>
      </w:r>
      <w:r>
        <w:t xml:space="preserve"> </w:t>
      </w:r>
      <w:r>
        <w:t xml:space="preserve">The decision heatmap reports</w:t>
      </w:r>
      <w:r>
        <w:t xml:space="preserve"> </w:t>
      </w:r>
      <w:r>
        <w:t xml:space="preserve">deterministic Guard outcomes for authorized and unauthorized proposals under</w:t>
      </w:r>
      <w:r>
        <w:t xml:space="preserve"> </w:t>
      </w:r>
      <w:r>
        <w:t xml:space="preserve">trusted/untrusted origins and policy/full modules. The paired action panel</w:t>
      </w:r>
      <w:r>
        <w:t xml:space="preserve"> </w:t>
      </w:r>
      <w:r>
        <w:t xml:space="preserve">separately reports end-to-end source-swap action changes. Offline Guard</w:t>
      </w:r>
      <w:r>
        <w:t xml:space="preserve"> </w:t>
      </w:r>
      <w:r>
        <w:t xml:space="preserve">correctness is not treated as a substitute for system task completion.</w:t>
      </w:r>
    </w:p>
    <w:p>
      <w:pPr>
        <w:pStyle w:val="BodyText"/>
      </w:pPr>
      <w:r>
        <w:rPr>
          <w:bCs/>
          <w:b/>
        </w:rPr>
        <w:t xml:space="preserve">Figure 4. Factor effects across representative, enriched, and Flash</w:t>
      </w:r>
      <w:r>
        <w:rPr>
          <w:bCs/>
          <w:b/>
        </w:rPr>
        <w:t xml:space="preserve"> </w:t>
      </w:r>
      <w:r>
        <w:rPr>
          <w:bCs/>
          <w:b/>
        </w:rPr>
        <w:t xml:space="preserve">cohorts.</w:t>
      </w:r>
      <w:r>
        <w:t xml:space="preserve"> </w:t>
      </w:r>
      <w:r>
        <w:t xml:space="preserve">Absolute module, prompt, and interaction effects on the legacy-labelled</w:t>
      </w:r>
      <w:r>
        <w:t xml:space="preserve"> </w:t>
      </w:r>
      <w:r>
        <w:t xml:space="preserve">risk endpoint are shown for E1,</w:t>
      </w:r>
      <w:r>
        <w:t xml:space="preserve"> </w:t>
      </w:r>
      <w:r>
        <w:t xml:space="preserve">the outcome-enriched E3 challenge, and the same-provider E4 Flash replication.</w:t>
      </w:r>
      <w:r>
        <w:t xml:space="preserve"> </w:t>
      </w:r>
      <w:r>
        <w:t xml:space="preserve">E3 does not estimate prevalence and E4 does not establish cross-provider</w:t>
      </w:r>
      <w:r>
        <w:t xml:space="preserve"> </w:t>
      </w:r>
      <w:r>
        <w:t xml:space="preserve">generality; neither opens a new significance family.</w:t>
      </w:r>
    </w:p>
    <w:p>
      <w:pPr>
        <w:pStyle w:val="BodyText"/>
      </w:pPr>
      <w:r>
        <w:rPr>
          <w:bCs/>
          <w:b/>
        </w:rPr>
        <w:t xml:space="preserve">Figure 5. Complete B50/B200 evidence and the conditional adaptive tail.</w:t>
      </w:r>
      <w:r>
        <w:t xml:space="preserve"> </w:t>
      </w:r>
      <w:r>
        <w:t xml:space="preserve">The original 40-task panel contributes the complete cumulative first-success</w:t>
      </w:r>
      <w:r>
        <w:t xml:space="preserve"> </w:t>
      </w:r>
      <w:r>
        <w:t xml:space="preserve">evidence through 200. The second panel includes only 12 prespecified B200</w:t>
      </w:r>
      <w:r>
        <w:t xml:space="preserve"> </w:t>
      </w:r>
      <w:r>
        <w:t xml:space="preserve">survivors extended toward 500. The conditional tail is not merged into a full</w:t>
      </w:r>
      <w:r>
        <w:t xml:space="preserve"> </w:t>
      </w:r>
      <w:r>
        <w:t xml:space="preserve">original-panel B500 curve and is not an estimate of saturation. Success refers</w:t>
      </w:r>
      <w:r>
        <w:t xml:space="preserve"> </w:t>
      </w:r>
      <w:r>
        <w:t xml:space="preserve">to the historical evaluator endpoint, not retrospectively confirmed unauthorized effects.</w:t>
      </w:r>
    </w:p>
    <w:bookmarkEnd w:id="101"/>
    <w:bookmarkStart w:id="108" w:name="submission-statements"/>
    <w:p>
      <w:pPr>
        <w:pStyle w:val="Heading2"/>
        <w:keepNext/>
        <w:jc w:val="left"/>
      </w:pPr>
      <w:r>
        <w:t xml:space="preserve">Submission statements</w:t>
      </w:r>
    </w:p>
    <w:bookmarkStart w:id="102" w:name="competing-interests"/>
    <w:p>
      <w:pPr>
        <w:pStyle w:val="Heading3"/>
        <w:keepNext/>
        <w:jc w:val="left"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102"/>
    <w:bookmarkStart w:id="103" w:name="funding"/>
    <w:p>
      <w:pPr>
        <w:pStyle w:val="Heading3"/>
        <w:keepNext/>
        <w:jc w:val="left"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103"/>
    <w:bookmarkStart w:id="104" w:name="data-and-code-availability"/>
    <w:p>
      <w:pPr>
        <w:pStyle w:val="Heading3"/>
        <w:keepNext/>
        <w:jc w:val="left"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https://github.com/Fischl0527/RedTeam_LLM_Security.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104"/>
    <w:bookmarkStart w:id="105" w:name="X1f74eb43af444059c7518034463b6c89b1cacf4"/>
    <w:p>
      <w:pPr>
        <w:pStyle w:val="Heading3"/>
        <w:keepNext/>
        <w:jc w:val="left"/>
      </w:pPr>
      <w:r>
        <w:t xml:space="preserve">Declaration of generative AI and AI-assisted technologies in the manuscript preparation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An earlier DeepSeek-generated project-planning note supplied by the</w:t>
      </w:r>
      <w:r>
        <w:t xml:space="preserve"> </w:t>
      </w:r>
      <w:r>
        <w:t xml:space="preserve">project owner was consulted during study scoping. The authors reviewed and</w:t>
      </w:r>
      <w:r>
        <w:t xml:space="preserve"> </w:t>
      </w:r>
      <w:r>
        <w:t xml:space="preserve">revised the resulting material and take full responsibility for the analysis,</w:t>
      </w:r>
      <w:r>
        <w:t xml:space="preserve"> </w:t>
      </w:r>
      <w:r>
        <w:t xml:space="preserve">interpretation, citations, and manuscript content. DeepSeek and Gemini API</w:t>
      </w:r>
      <w:r>
        <w:t xml:space="preserve"> </w:t>
      </w:r>
      <w:r>
        <w:t xml:space="preserve">outputs reported in the experiments are evaluated research data; they were not</w:t>
      </w:r>
      <w:r>
        <w:t xml:space="preserve"> </w:t>
      </w:r>
      <w:r>
        <w:t xml:space="preserve">used to generate outcome labels or statistical conclusions.</w:t>
      </w:r>
    </w:p>
    <w:bookmarkEnd w:id="105"/>
    <w:bookmarkStart w:id="106" w:name="ethics-and-safety"/>
    <w:p>
      <w:pPr>
        <w:pStyle w:val="Heading3"/>
        <w:keepNext/>
        <w:jc w:val="left"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106"/>
    <w:bookmarkStart w:id="107" w:name="author-contributions"/>
    <w:p>
      <w:pPr>
        <w:pStyle w:val="Heading3"/>
        <w:keepNext/>
        <w:jc w:val="left"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107"/>
    <w:bookmarkEnd w:id="108"/>
    <w:bookmarkStart w:id="158" w:name="references"/>
    <w:p>
      <w:pPr>
        <w:pStyle w:val="Heading2"/>
        <w:keepNext/>
        <w:jc w:val="left"/>
      </w:pPr>
      <w:r>
        <w:t xml:space="preserve">References</w:t>
      </w:r>
    </w:p>
    <w:bookmarkStart w:id="157" w:name="refs"/>
    <w:bookmarkStart w:id="110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109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110"/>
    <w:bookmarkStart w:id="112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111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12"/>
    <w:bookmarkStart w:id="114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13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14"/>
    <w:bookmarkStart w:id="116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15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16"/>
    <w:bookmarkStart w:id="118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17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18"/>
    <w:bookmarkStart w:id="120" w:name="ref-L37"/>
    <w:p>
      <w:pPr>
        <w:pStyle w:val="Bibliography"/>
      </w:pPr>
      <w:r>
        <w:t xml:space="preserve">Geng, Runpeng, Chenlong Yin, Yanting Wang, Ying Chen, and Jinyuan Jia. 2026.</w:t>
      </w:r>
      <w:r>
        <w:t xml:space="preserve"> </w:t>
      </w:r>
      <w:r>
        <w:t xml:space="preserve">“</w:t>
      </w:r>
      <w:r>
        <w:t xml:space="preserve">PIArena</w:t>
      </w:r>
      <w:r>
        <w:t xml:space="preserve">: A Platform for Prompt Injection Evaluation.”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 Association for Computational Linguistics (Volume 1: Long Papers)</w:t>
      </w:r>
      <w:r>
        <w:t xml:space="preserve">, 33170–92. Association for Computational Linguistics.</w:t>
      </w:r>
      <w:r>
        <w:t xml:space="preserve"> </w:t>
      </w:r>
      <w:hyperlink r:id="rId119">
        <w:r>
          <w:rPr>
            <w:rStyle w:val="Hyperlink"/>
          </w:rPr>
          <w:t xml:space="preserve">https://doi.org/10.18653/v1/2026.acl-long.1533</w:t>
        </w:r>
      </w:hyperlink>
      <w:r>
        <w:t xml:space="preserve">.</w:t>
      </w:r>
    </w:p>
    <w:bookmarkEnd w:id="120"/>
    <w:bookmarkStart w:id="122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21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22"/>
    <w:bookmarkStart w:id="124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23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24"/>
    <w:bookmarkStart w:id="126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25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26"/>
    <w:bookmarkStart w:id="128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27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28"/>
    <w:bookmarkStart w:id="130" w:name="ref-L38"/>
    <w:p>
      <w:pPr>
        <w:pStyle w:val="Bibliography"/>
      </w:pPr>
      <w:r>
        <w:t xml:space="preserve">Li, Hao, Ruoyao Wen, Shanghao Shi, Ning Zhang, Yevgeniy Vorobeychik, and Chaowei Xiao. 2026.</w:t>
      </w:r>
      <w:r>
        <w:t xml:space="preserve"> </w:t>
      </w:r>
      <w:r>
        <w:t xml:space="preserve">“</w:t>
      </w:r>
      <w:r>
        <w:t xml:space="preserve">AgentDyn</w:t>
      </w:r>
      <w:r>
        <w:t xml:space="preserve">: Are Your Agent Security Defenses Deployable in Real-World Dynamic Environments?”</w:t>
      </w:r>
      <w:r>
        <w:t xml:space="preserve"> </w:t>
      </w:r>
      <w:hyperlink r:id="rId129">
        <w:r>
          <w:rPr>
            <w:rStyle w:val="Hyperlink"/>
          </w:rPr>
          <w:t xml:space="preserve">https://doi.org/10.48550/arXiv.2602.03117</w:t>
        </w:r>
      </w:hyperlink>
      <w:r>
        <w:t xml:space="preserve">.</w:t>
      </w:r>
    </w:p>
    <w:bookmarkEnd w:id="130"/>
    <w:bookmarkStart w:id="132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31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32"/>
    <w:bookmarkStart w:id="134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33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34"/>
    <w:bookmarkStart w:id="136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</w:t>
      </w:r>
      <w:r>
        <w:t xml:space="preserve"> </w:t>
      </w:r>
      <w:r>
        <w:t xml:space="preserve">LLM</w:t>
      </w:r>
      <w:r>
        <w:t xml:space="preserve"> </w:t>
      </w:r>
      <w:r>
        <w:t xml:space="preserve">Jailbreaks and Prompt Injections.”</w:t>
      </w:r>
      <w:r>
        <w:t xml:space="preserve"> </w:t>
      </w:r>
      <w:hyperlink r:id="rId135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36"/>
    <w:bookmarkStart w:id="138" w:name="ref-L39"/>
    <w:p>
      <w:pPr>
        <w:pStyle w:val="Bibliography"/>
      </w:pPr>
      <w:r>
        <w:t xml:space="preserve">Sehwag, Udari Madhushani, Zhengyang Shan, Heming Liu, Dileepa Lakshan, Joseph Brandifino, and Max Fenkell. 2026.</w:t>
      </w:r>
      <w:r>
        <w:t xml:space="preserve"> </w:t>
      </w:r>
      <w:r>
        <w:t xml:space="preserve">“</w:t>
      </w:r>
      <w:r>
        <w:t xml:space="preserve">ASPI</w:t>
      </w:r>
      <w:r>
        <w:t xml:space="preserve">: Seeking Ambiguity Clarification Amplifies Prompt Injection Vulnerability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hyperlink r:id="rId137">
        <w:r>
          <w:rPr>
            <w:rStyle w:val="Hyperlink"/>
          </w:rPr>
          <w:t xml:space="preserve">https://doi.org/10.48550/arXiv.2605.17324</w:t>
        </w:r>
      </w:hyperlink>
      <w:r>
        <w:t xml:space="preserve">.</w:t>
      </w:r>
    </w:p>
    <w:bookmarkEnd w:id="138"/>
    <w:bookmarkStart w:id="140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39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40"/>
    <w:bookmarkStart w:id="142" w:name="ref-L08"/>
    <w:p>
      <w:pPr>
        <w:pStyle w:val="Bibliography"/>
      </w:pPr>
      <w:r>
        <w:t xml:space="preserve">Tsai, Lillian, and Eugene Bagdasaryan.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41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42"/>
    <w:bookmarkStart w:id="144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43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44"/>
    <w:bookmarkStart w:id="146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, 2938–50.</w:t>
      </w:r>
      <w:r>
        <w:t xml:space="preserve"> </w:t>
      </w:r>
      <w:hyperlink r:id="rId145">
        <w:r>
          <w:rPr>
            <w:rStyle w:val="Hyperlink"/>
          </w:rPr>
          <w:t xml:space="preserve">https://doi.org/10.1145/3744916.3764546</w:t>
        </w:r>
      </w:hyperlink>
      <w:r>
        <w:t xml:space="preserve">.</w:t>
      </w:r>
    </w:p>
    <w:bookmarkEnd w:id="146"/>
    <w:bookmarkStart w:id="148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47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48"/>
    <w:bookmarkStart w:id="150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49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50"/>
    <w:bookmarkStart w:id="152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51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52"/>
    <w:bookmarkStart w:id="154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, edited by Y. Yue, A. Garg, N. Peng, F. Sha, and R. Yu, 2025:35331–66.</w:t>
      </w:r>
      <w:r>
        <w:t xml:space="preserve"> </w:t>
      </w:r>
      <w:hyperlink r:id="rId153">
        <w:r>
          <w:rPr>
            <w:rStyle w:val="Hyperlink"/>
          </w:rPr>
          <w:t xml:space="preserve">https://proceedings.iclr.cc/paper_files/paper/2025/file/5750f91d8fb9d5c02bd8ad2c3b44456b-Paper-Conference.pdf</w:t>
        </w:r>
      </w:hyperlink>
      <w:r>
        <w:t xml:space="preserve">.</w:t>
      </w:r>
    </w:p>
    <w:bookmarkEnd w:id="154"/>
    <w:bookmarkStart w:id="156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55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56"/>
    <w:bookmarkEnd w:id="157"/>
    <w:bookmarkEnd w:id="158"/>
    <w:bookmarkEnd w:id="159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86" Type="http://schemas.openxmlformats.org/officeDocument/2006/relationships/image" Target="media/rId86.png"/><Relationship Id="rId87" Type="http://schemas.openxmlformats.org/officeDocument/2006/relationships/image" Target="media/rId87.png"/><Relationship Id="rId88" Type="http://schemas.openxmlformats.org/officeDocument/2006/relationships/image" Target="media/rId88.png"/><Relationship Id="rId89" Type="http://schemas.openxmlformats.org/officeDocument/2006/relationships/image" Target="media/rId89.png"/><Relationship Id="rId90" Type="http://schemas.openxmlformats.org/officeDocument/2006/relationships/image" Target="media/rId90.png"/><Relationship Id="rId123" Type="http://schemas.openxmlformats.org/officeDocument/2006/relationships/hyperlink" Target="https://arxiv.org/abs/2403.14720" TargetMode="External"/><Relationship Id="rId143" Type="http://schemas.openxmlformats.org/officeDocument/2006/relationships/hyperlink" Target="https://arxiv.org/abs/2404.13208" TargetMode="External"/><Relationship Id="rId115" Type="http://schemas.openxmlformats.org/officeDocument/2006/relationships/hyperlink" Target="https://arxiv.org/abs/2503.18813" TargetMode="External"/><Relationship Id="rId139" Type="http://schemas.openxmlformats.org/officeDocument/2006/relationships/hyperlink" Target="https://arxiv.org/abs/2504.11703" TargetMode="External"/><Relationship Id="rId135" Type="http://schemas.openxmlformats.org/officeDocument/2006/relationships/hyperlink" Target="https://arxiv.org/abs/2510.09023" TargetMode="External"/><Relationship Id="rId121" Type="http://schemas.openxmlformats.org/officeDocument/2006/relationships/hyperlink" Target="https://arxiv.org/abs/2604.10134" TargetMode="External"/><Relationship Id="rId149" Type="http://schemas.openxmlformats.org/officeDocument/2006/relationships/hyperlink" Target="https://arxiv.org/abs/2605.03378" TargetMode="External"/><Relationship Id="rId147" Type="http://schemas.openxmlformats.org/officeDocument/2006/relationships/hyperlink" Target="https://arxiv.org/abs/2605.26497" TargetMode="External"/><Relationship Id="rId131" Type="http://schemas.openxmlformats.org/officeDocument/2006/relationships/hyperlink" Target="https://arxiv.org/abs/2607.20827" TargetMode="External"/><Relationship Id="rId155" Type="http://schemas.openxmlformats.org/officeDocument/2006/relationships/hyperlink" Target="https://arxiv.org/abs/2607.27267" TargetMode="External"/><Relationship Id="rId141" Type="http://schemas.openxmlformats.org/officeDocument/2006/relationships/hyperlink" Target="https://doi.org/10.1145/3713082.3730378" TargetMode="External"/><Relationship Id="rId145" Type="http://schemas.openxmlformats.org/officeDocument/2006/relationships/hyperlink" Target="https://doi.org/10.1145/3744916.3764546" TargetMode="External"/><Relationship Id="rId151" Type="http://schemas.openxmlformats.org/officeDocument/2006/relationships/hyperlink" Target="https://doi.org/10.18653/v1/2024.findings-acl.624" TargetMode="External"/><Relationship Id="rId125" Type="http://schemas.openxmlformats.org/officeDocument/2006/relationships/hyperlink" Target="https://doi.org/10.18653/v1/2025.acl-long.1435" TargetMode="External"/><Relationship Id="rId113" Type="http://schemas.openxmlformats.org/officeDocument/2006/relationships/hyperlink" Target="https://doi.org/10.18653/v1/2025.acl-long.890" TargetMode="External"/><Relationship Id="rId109" Type="http://schemas.openxmlformats.org/officeDocument/2006/relationships/hyperlink" Target="https://doi.org/10.18653/v1/2025.emnlp-main.53" TargetMode="External"/><Relationship Id="rId119" Type="http://schemas.openxmlformats.org/officeDocument/2006/relationships/hyperlink" Target="https://doi.org/10.18653/v1/2026.acl-long.1533" TargetMode="External"/><Relationship Id="rId133" Type="http://schemas.openxmlformats.org/officeDocument/2006/relationships/hyperlink" Target="https://doi.org/10.18653/v1/2026.acl-long.443" TargetMode="External"/><Relationship Id="rId129" Type="http://schemas.openxmlformats.org/officeDocument/2006/relationships/hyperlink" Target="https://doi.org/10.48550/arXiv.2602.03117" TargetMode="External"/><Relationship Id="rId137" Type="http://schemas.openxmlformats.org/officeDocument/2006/relationships/hyperlink" Target="https://doi.org/10.48550/arXiv.2605.17324" TargetMode="External"/><Relationship Id="rId117" Type="http://schemas.openxmlformats.org/officeDocument/2006/relationships/hyperlink" Target="https://doi.org/10.52202/079017-2636" TargetMode="External"/><Relationship Id="rId127" Type="http://schemas.openxmlformats.org/officeDocument/2006/relationships/hyperlink" Target="https://doi.org/10.52202/085713-2791" TargetMode="External"/><Relationship Id="rId153" Type="http://schemas.openxmlformats.org/officeDocument/2006/relationships/hyperlink" Target="https://proceedings.iclr.cc/paper_files/paper/2025/file/5750f91d8fb9d5c02bd8ad2c3b44456b-Paper-Conference.pdf" TargetMode="External"/><Relationship Id="rId111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https://arxiv.org/abs/2403.14720" TargetMode="External"/><Relationship Id="rId143" Type="http://schemas.openxmlformats.org/officeDocument/2006/relationships/hyperlink" Target="https://arxiv.org/abs/2404.13208" TargetMode="External"/><Relationship Id="rId115" Type="http://schemas.openxmlformats.org/officeDocument/2006/relationships/hyperlink" Target="https://arxiv.org/abs/2503.18813" TargetMode="External"/><Relationship Id="rId139" Type="http://schemas.openxmlformats.org/officeDocument/2006/relationships/hyperlink" Target="https://arxiv.org/abs/2504.11703" TargetMode="External"/><Relationship Id="rId135" Type="http://schemas.openxmlformats.org/officeDocument/2006/relationships/hyperlink" Target="https://arxiv.org/abs/2510.09023" TargetMode="External"/><Relationship Id="rId121" Type="http://schemas.openxmlformats.org/officeDocument/2006/relationships/hyperlink" Target="https://arxiv.org/abs/2604.10134" TargetMode="External"/><Relationship Id="rId149" Type="http://schemas.openxmlformats.org/officeDocument/2006/relationships/hyperlink" Target="https://arxiv.org/abs/2605.03378" TargetMode="External"/><Relationship Id="rId147" Type="http://schemas.openxmlformats.org/officeDocument/2006/relationships/hyperlink" Target="https://arxiv.org/abs/2605.26497" TargetMode="External"/><Relationship Id="rId131" Type="http://schemas.openxmlformats.org/officeDocument/2006/relationships/hyperlink" Target="https://arxiv.org/abs/2607.20827" TargetMode="External"/><Relationship Id="rId155" Type="http://schemas.openxmlformats.org/officeDocument/2006/relationships/hyperlink" Target="https://arxiv.org/abs/2607.27267" TargetMode="External"/><Relationship Id="rId141" Type="http://schemas.openxmlformats.org/officeDocument/2006/relationships/hyperlink" Target="https://doi.org/10.1145/3713082.3730378" TargetMode="External"/><Relationship Id="rId145" Type="http://schemas.openxmlformats.org/officeDocument/2006/relationships/hyperlink" Target="https://doi.org/10.1145/3744916.3764546" TargetMode="External"/><Relationship Id="rId151" Type="http://schemas.openxmlformats.org/officeDocument/2006/relationships/hyperlink" Target="https://doi.org/10.18653/v1/2024.findings-acl.624" TargetMode="External"/><Relationship Id="rId125" Type="http://schemas.openxmlformats.org/officeDocument/2006/relationships/hyperlink" Target="https://doi.org/10.18653/v1/2025.acl-long.1435" TargetMode="External"/><Relationship Id="rId113" Type="http://schemas.openxmlformats.org/officeDocument/2006/relationships/hyperlink" Target="https://doi.org/10.18653/v1/2025.acl-long.890" TargetMode="External"/><Relationship Id="rId109" Type="http://schemas.openxmlformats.org/officeDocument/2006/relationships/hyperlink" Target="https://doi.org/10.18653/v1/2025.emnlp-main.53" TargetMode="External"/><Relationship Id="rId119" Type="http://schemas.openxmlformats.org/officeDocument/2006/relationships/hyperlink" Target="https://doi.org/10.18653/v1/2026.acl-long.1533" TargetMode="External"/><Relationship Id="rId133" Type="http://schemas.openxmlformats.org/officeDocument/2006/relationships/hyperlink" Target="https://doi.org/10.18653/v1/2026.acl-long.443" TargetMode="External"/><Relationship Id="rId129" Type="http://schemas.openxmlformats.org/officeDocument/2006/relationships/hyperlink" Target="https://doi.org/10.48550/arXiv.2602.03117" TargetMode="External"/><Relationship Id="rId137" Type="http://schemas.openxmlformats.org/officeDocument/2006/relationships/hyperlink" Target="https://doi.org/10.48550/arXiv.2605.17324" TargetMode="External"/><Relationship Id="rId117" Type="http://schemas.openxmlformats.org/officeDocument/2006/relationships/hyperlink" Target="https://doi.org/10.52202/079017-2636" TargetMode="External"/><Relationship Id="rId127" Type="http://schemas.openxmlformats.org/officeDocument/2006/relationships/hyperlink" Target="https://doi.org/10.52202/085713-2791" TargetMode="External"/><Relationship Id="rId153" Type="http://schemas.openxmlformats.org/officeDocument/2006/relationships/hyperlink" Target="https://proceedings.iclr.cc/paper_files/paper/2025/file/5750f91d8fb9d5c02bd8ad2c3b44456b-Paper-Conference.pdf" TargetMode="External"/><Relationship Id="rId111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Authorization Regimes and Runtime Guardrail Configurations for Tool-Using LLM Agents</dc:title>
  <dc:creator/>
  <cp:keywords/>
  <dcterms:created xsi:type="dcterms:W3CDTF">2026-10-05T17:36:24Z</dcterms:created>
  <dcterms:modified xsi:type="dcterms:W3CDTF">2026-10-05T17:36:24Z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references_v1.bib</vt:lpwstr>
  </property>
  <property fmtid="{D5CDD505-2E9C-101B-9397-08002B2CF9AE}" pid="3" name="reference-section-title">
    <vt:lpwstr>References</vt:lpwstr>
  </property>
</Properties>
</file>