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9CF18">
      <w:pPr>
        <w:spacing w:before="800" w:after="180"/>
        <w:jc w:val="center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2355B"/>
          <w:sz w:val="52"/>
          <w:szCs w:val="52"/>
        </w:rPr>
        <w:t>M3-PI Guard</w:t>
      </w:r>
    </w:p>
    <w:p w14:paraId="4CF22863">
      <w:pPr>
        <w:spacing w:after="180"/>
        <w:jc w:val="center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44"/>
          <w:szCs w:val="44"/>
        </w:rPr>
        <w:t>阶段性研究报告</w:t>
      </w:r>
    </w:p>
    <w:p w14:paraId="0948E97A">
      <w:pPr>
        <w:spacing w:after="420"/>
        <w:jc w:val="center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5B6577"/>
          <w:sz w:val="25"/>
          <w:szCs w:val="25"/>
        </w:rPr>
        <w:t>面向 SCI JCR Q2 网络安全期刊的研究定位、工程证据与实验路线</w:t>
      </w:r>
    </w:p>
    <w:tbl>
      <w:tblPr>
        <w:tblStyle w:val="11"/>
        <w:tblW w:w="76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00"/>
      </w:tblGrid>
      <w:tr w14:paraId="54361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7600" w:type="dxa"/>
            <w:tcBorders>
              <w:top w:val="single" w:color="2457D6" w:sz="8" w:space="0"/>
              <w:left w:val="single" w:color="2457D6" w:sz="8" w:space="0"/>
              <w:bottom w:val="single" w:color="2457D6" w:sz="8" w:space="0"/>
              <w:right w:val="single" w:color="2457D6" w:sz="8" w:space="0"/>
            </w:tcBorders>
            <w:shd w:val="clear" w:color="auto" w:fill="EAF1FF"/>
            <w:tcMar>
              <w:top w:w="260" w:type="dxa"/>
              <w:left w:w="280" w:type="dxa"/>
              <w:bottom w:w="260" w:type="dxa"/>
              <w:right w:w="280" w:type="dxa"/>
            </w:tcMar>
          </w:tcPr>
          <w:p w14:paraId="78C79354">
            <w:pPr>
              <w:spacing w:after="0" w:line="32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457D6"/>
                <w:sz w:val="19"/>
                <w:szCs w:val="19"/>
              </w:rPr>
              <w:t>拟定英文标题</w:t>
            </w: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20"/>
                <w:szCs w:val="20"/>
              </w:rPr>
              <w:t>
Evaluating Runtime Authorization Under Context and Provenance Uncertainty for Tool-Using LLM Agents</w:t>
            </w:r>
          </w:p>
        </w:tc>
      </w:tr>
    </w:tbl>
    <w:p w14:paraId="7B77B350">
      <w:pPr>
        <w:spacing w:before="900" w:after="100"/>
        <w:jc w:val="center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5B6577"/>
          <w:sz w:val="21"/>
          <w:szCs w:val="21"/>
        </w:rPr>
        <w:t>报告日期：2026 年 7 月 24 日</w:t>
      </w:r>
    </w:p>
    <w:p w14:paraId="68347D8C">
      <w:pPr>
        <w:spacing w:after="100"/>
        <w:jc w:val="center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5B6577"/>
          <w:sz w:val="19"/>
          <w:szCs w:val="19"/>
        </w:rPr>
        <w:t>证据截止：v7 候选已冻结；v7 全量离线审计与 API 实验尚未完成</w:t>
      </w:r>
    </w:p>
    <w:p w14:paraId="4B481776">
      <w:pPr>
        <w:spacing w:after="100"/>
        <w:jc w:val="center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5B6577"/>
          <w:sz w:val="19"/>
          <w:szCs w:val="19"/>
        </w:rPr>
        <w:t>报告版本：1.0</w:t>
      </w:r>
    </w:p>
    <w:p w14:paraId="68A2441C">
      <w:r>
        <w:br w:type="page"/>
      </w:r>
    </w:p>
    <w:p w14:paraId="70832A74">
      <w:pPr>
        <w:pStyle w:val="2"/>
        <w:keepNext/>
        <w:spacing w:before="26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2355B"/>
          <w:sz w:val="31"/>
          <w:szCs w:val="31"/>
        </w:rPr>
        <w:t>执行摘要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3AC05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single" w:color="078B6C" w:sz="10" w:space="0"/>
              <w:left w:val="single" w:color="078B6C" w:sz="18" w:space="0"/>
              <w:bottom w:val="single" w:color="078B6C" w:sz="10" w:space="0"/>
              <w:right w:val="single" w:color="078B6C" w:sz="10" w:space="0"/>
            </w:tcBorders>
            <w:shd w:val="clear" w:color="auto" w:fill="EAF8F1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47E970F7">
            <w:pPr>
              <w:spacing w:after="7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78B6C"/>
                <w:sz w:val="22"/>
                <w:szCs w:val="22"/>
              </w:rPr>
              <w:t>核心结论</w:t>
            </w:r>
          </w:p>
          <w:p w14:paraId="59C941CC">
            <w:pPr>
              <w:spacing w:after="0" w:line="34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20"/>
                <w:szCs w:val="20"/>
              </w:rPr>
              <w:t>以“运行时授权不确定性评估 + 来源感知、权限单调的防御机制”为主线，M3-PI Guard 具备冲击 SCI JCR Q2 网络安全期刊的条件，但当前只能判定为“有条件可行”。工程协议、证据链和中型实验基础已较成熟；决定论文能否成立的正式比较结果、跨模型验证、公共基准、自适应攻击和独立盲测尚未完成。</w:t>
            </w:r>
          </w:p>
        </w:tc>
      </w:tr>
    </w:tbl>
    <w:p w14:paraId="5E2F2E7B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  <w:t>截至本报告，已经完成 34 篇直接相关文献的分级矩阵、22 个在线状态审计单元、六条件中型实验协议、DeepSeek 官方 API 的可审计证据链、v4–v6 失败版本的不可变封存，以及 v7 的新适配器、候选和准入冻结。最近一次完整且完成的全量回归为 1049 项通过、1 项跳过、0 项验证失败；v7 专项测试为 12/12 通过。</w:t>
      </w:r>
    </w:p>
    <w:p w14:paraId="1BAC62B7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  <w:t>需要特别强调：现有数据只支持技术审计和运行质量分析，不支持 M3 的安全性、效用或领先性结论。v4、v5、v6 均因不同的协议或证据格式问题被判定为结果不准入；v7 尚未调用 API。</w:t>
      </w:r>
    </w:p>
    <w:tbl>
      <w:tblPr>
        <w:tblStyle w:val="11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1900"/>
        <w:gridCol w:w="5900"/>
      </w:tblGrid>
      <w:tr w14:paraId="16AE0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B68AC5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判断维度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C254C6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当前判断</w:t>
            </w:r>
          </w:p>
        </w:tc>
        <w:tc>
          <w:tcPr>
            <w:tcW w:w="5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64210F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研究决策</w:t>
            </w:r>
          </w:p>
        </w:tc>
      </w:tr>
      <w:tr w14:paraId="36EEE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54C3E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期刊方向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95F74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网络安全方向匹配</w:t>
            </w:r>
          </w:p>
        </w:tc>
        <w:tc>
          <w:tcPr>
            <w:tcW w:w="5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5BF39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首选 JISA；投稿前由机构订阅复核当期 JCR Q2</w:t>
            </w:r>
          </w:p>
        </w:tc>
      </w:tr>
      <w:tr w14:paraId="4B6DB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78B75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创新叙事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36F8D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可成立但边界收紧</w:t>
            </w:r>
          </w:p>
        </w:tc>
        <w:tc>
          <w:tcPr>
            <w:tcW w:w="5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40AEA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不主张“首个来源追踪”或“SOTA”，强调 oracle-free 评估与配对消融</w:t>
            </w:r>
          </w:p>
        </w:tc>
      </w:tr>
      <w:tr w14:paraId="76C1B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D3D0C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工程证据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95CC0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较强</w:t>
            </w:r>
          </w:p>
        </w:tc>
        <w:tc>
          <w:tcPr>
            <w:tcW w:w="5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62564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冻结、哈希、准入、append-only 日志和失败留分母已成体系</w:t>
            </w:r>
          </w:p>
        </w:tc>
      </w:tr>
      <w:tr w14:paraId="5FF08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D877B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科学证据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9141B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尚未形成</w:t>
            </w:r>
          </w:p>
        </w:tc>
        <w:tc>
          <w:tcPr>
            <w:tcW w:w="5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C5EA2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必须完成 v7 正式矩阵、公共基准、跨模型及自适应攻击</w:t>
            </w:r>
          </w:p>
        </w:tc>
      </w:tr>
      <w:tr w14:paraId="7E419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716F4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主要风险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4F7D2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效果可能来自过度阻断</w:t>
            </w:r>
          </w:p>
        </w:tc>
        <w:tc>
          <w:tcPr>
            <w:tcW w:w="5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B69B0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以 TCR 非劣、ASK 负担和 policy-only/​full 消融约束主张</w:t>
            </w:r>
          </w:p>
        </w:tc>
      </w:tr>
      <w:tr w14:paraId="0A25F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EB24F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备用论文路线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FEF3B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可保留</w:t>
            </w:r>
          </w:p>
        </w:tc>
        <w:tc>
          <w:tcPr>
            <w:tcW w:w="5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CDA53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若机制无优势，转为授权泄漏、不确定性与安全—效用权衡实证研究</w:t>
            </w:r>
          </w:p>
        </w:tc>
      </w:tr>
    </w:tbl>
    <w:p w14:paraId="021E5B1C">
      <w:pPr>
        <w:keepNext/>
        <w:spacing w:before="120" w:after="40"/>
        <w:jc w:val="center"/>
      </w:pPr>
      <w:r>
        <w:drawing>
          <wp:inline distT="0" distB="0" distL="0" distR="0">
            <wp:extent cx="6191250" cy="30861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7447">
      <w:pPr>
        <w:keepNext w:val="0"/>
        <w:spacing w:before="70" w:after="160"/>
        <w:jc w:val="center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B6577"/>
          <w:sz w:val="17"/>
          <w:szCs w:val="17"/>
        </w:rPr>
        <w:t>图 1  当前阶段就绪度。图中百分比是项目管理估计，不是论文效果或统计结论。</w:t>
      </w:r>
    </w:p>
    <w:p w14:paraId="06235C93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本报告的阅读边界</w:t>
      </w:r>
    </w:p>
    <w:p w14:paraId="67E9695F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“工程就绪”表示接口、门禁、日志、哈希和测试具备继续实验的条件；不等价于防御有效。</w:t>
      </w:r>
    </w:p>
    <w:p w14:paraId="7BCD155F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v4–v6 的记录用于定位实验协议缺陷，不进入论文主结果表，也不被删除或重写。</w:t>
      </w:r>
    </w:p>
    <w:p w14:paraId="528FC3DA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所有后续 API 调用仅限合成/公共研究数据，无工具执行、无真实外部副作用；模型输出只作为不可信动作提案。</w:t>
      </w:r>
    </w:p>
    <w:p w14:paraId="4442C47C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DeepSeek 的正式请求链采用：调用前冻结的本地 request ID + payload hash + 官方 response ID + 精确模型身份 + append-only 日志。</w:t>
      </w:r>
    </w:p>
    <w:p w14:paraId="63B3D1EE">
      <w:pPr>
        <w:pStyle w:val="2"/>
        <w:keepNext/>
        <w:spacing w:before="26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2355B"/>
          <w:sz w:val="31"/>
          <w:szCs w:val="31"/>
        </w:rPr>
        <w:t>目录</w:t>
      </w:r>
    </w:p>
    <w:tbl>
      <w:tblPr>
        <w:tblStyle w:val="11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300"/>
      </w:tblGrid>
      <w:tr w14:paraId="0CBF6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96D55B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章节</w:t>
            </w:r>
          </w:p>
        </w:tc>
        <w:tc>
          <w:tcPr>
            <w:tcW w:w="8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9CE0D8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内容</w:t>
            </w:r>
          </w:p>
        </w:tc>
      </w:tr>
      <w:tr w14:paraId="03C30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245BF7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1</w:t>
            </w:r>
          </w:p>
        </w:tc>
        <w:tc>
          <w:tcPr>
            <w:tcW w:w="8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D5A96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项目定位、论文问题与可发表贡献</w:t>
            </w:r>
          </w:p>
        </w:tc>
      </w:tr>
      <w:tr w14:paraId="04DCE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8CB4AF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2</w:t>
            </w:r>
          </w:p>
        </w:tc>
        <w:tc>
          <w:tcPr>
            <w:tcW w:w="8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D790C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前沿研究版图与创新边界</w:t>
            </w:r>
          </w:p>
        </w:tc>
      </w:tr>
      <w:tr w14:paraId="2E615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B5D8A1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3</w:t>
            </w:r>
          </w:p>
        </w:tc>
        <w:tc>
          <w:tcPr>
            <w:tcW w:w="8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98E82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已完成的研究与工程工作</w:t>
            </w:r>
          </w:p>
        </w:tc>
      </w:tr>
      <w:tr w14:paraId="593A5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1BDC21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4</w:t>
            </w:r>
          </w:p>
        </w:tc>
        <w:tc>
          <w:tcPr>
            <w:tcW w:w="8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A16A4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实验架构、证据链与安全边界</w:t>
            </w:r>
          </w:p>
        </w:tc>
      </w:tr>
      <w:tr w14:paraId="290AD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3ADDF6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5</w:t>
            </w:r>
          </w:p>
        </w:tc>
        <w:tc>
          <w:tcPr>
            <w:tcW w:w="8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56BF1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v4–v7 技术演进与失败分析</w:t>
            </w:r>
          </w:p>
        </w:tc>
      </w:tr>
      <w:tr w14:paraId="6AA65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B8E6C2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6</w:t>
            </w:r>
          </w:p>
        </w:tc>
        <w:tc>
          <w:tcPr>
            <w:tcW w:w="8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094A1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当前数据、成本与验证状态</w:t>
            </w:r>
          </w:p>
        </w:tc>
      </w:tr>
      <w:tr w14:paraId="7284F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81DC00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7</w:t>
            </w:r>
          </w:p>
        </w:tc>
        <w:tc>
          <w:tcPr>
            <w:tcW w:w="8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4EC13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SCI JCR Q2 可行性评估与投稿策略</w:t>
            </w:r>
          </w:p>
        </w:tc>
      </w:tr>
      <w:tr w14:paraId="5D8BB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53918E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8</w:t>
            </w:r>
          </w:p>
        </w:tc>
        <w:tc>
          <w:tcPr>
            <w:tcW w:w="8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53243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后续正式实验详细方案</w:t>
            </w:r>
          </w:p>
        </w:tc>
      </w:tr>
      <w:tr w14:paraId="5B6C3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824D24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9</w:t>
            </w:r>
          </w:p>
        </w:tc>
        <w:tc>
          <w:tcPr>
            <w:tcW w:w="8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0F92C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恢复运行时的执行顺序</w:t>
            </w:r>
          </w:p>
        </w:tc>
      </w:tr>
      <w:tr w14:paraId="134D4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42F5E2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10</w:t>
            </w:r>
          </w:p>
        </w:tc>
        <w:tc>
          <w:tcPr>
            <w:tcW w:w="8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F284C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风险、止损与论文转向规则</w:t>
            </w:r>
          </w:p>
        </w:tc>
      </w:tr>
      <w:tr w14:paraId="1C523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885B80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11</w:t>
            </w:r>
          </w:p>
        </w:tc>
        <w:tc>
          <w:tcPr>
            <w:tcW w:w="8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BF09D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阶段结论</w:t>
            </w:r>
          </w:p>
        </w:tc>
      </w:tr>
      <w:tr w14:paraId="09C28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1A7404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附录</w:t>
            </w:r>
          </w:p>
        </w:tc>
        <w:tc>
          <w:tcPr>
            <w:tcW w:w="8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E5AF5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研究问题、统计规范、证据索引与核心参考文献</w:t>
            </w:r>
          </w:p>
        </w:tc>
      </w:tr>
    </w:tbl>
    <w:p w14:paraId="1CBFED1B">
      <w:pPr>
        <w:pStyle w:val="2"/>
        <w:keepNext/>
        <w:spacing w:before="26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2355B"/>
          <w:sz w:val="31"/>
          <w:szCs w:val="31"/>
        </w:rPr>
        <w:t>1  项目定位、论文问题与可发表贡献</w:t>
      </w:r>
    </w:p>
    <w:p w14:paraId="2F7BD2AA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1.1 论文定位</w:t>
      </w:r>
    </w:p>
    <w:p w14:paraId="25A00BF0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  <w:t>M3-PI Guard 研究工具型 LLM Agent 在间接提示注入环境下的运行时授权问题。系统不把模型输出直接视为可执行命令，而是将其视为需要经过策略、来源、时序、数据流和确认机制联合审查的动作提案。研究重点是实际执行安全，而不是单纯检测文本是否“像攻击”。</w:t>
      </w:r>
    </w:p>
    <w:p w14:paraId="0C4CEA76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  <w:t>拟投稿方向优先选择 Journal of Information Security and Applications（JISA）。其官方范围覆盖访问控制、安全策略和信息安全应用，与本项目的运行时授权和工具调用安全契合。JCR 分区必须在投稿时通过学校或 Clarivate 订阅再次确认，任何第三方分区页面只能作为前期参考。</w:t>
      </w:r>
    </w:p>
    <w:p w14:paraId="12E188EB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1.2 研究问题</w:t>
      </w:r>
    </w:p>
    <w:tbl>
      <w:tblPr>
        <w:tblStyle w:val="11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300"/>
        <w:gridCol w:w="4300"/>
      </w:tblGrid>
      <w:tr w14:paraId="261F2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890141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RQ</w:t>
            </w:r>
          </w:p>
        </w:tc>
        <w:tc>
          <w:tcPr>
            <w:tcW w:w="4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90EF0D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问题</w:t>
            </w:r>
          </w:p>
        </w:tc>
        <w:tc>
          <w:tcPr>
            <w:tcW w:w="4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269DDA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需要的证据</w:t>
            </w:r>
          </w:p>
        </w:tc>
      </w:tr>
      <w:tr w14:paraId="06D4B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32FFFD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RQ1</w:t>
            </w:r>
          </w:p>
        </w:tc>
        <w:tc>
          <w:tcPr>
            <w:tcW w:w="4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4193C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逐样本精确授权、答案键或评估标签进入在线 Guard 时，会造成多大程度的安全结果高估？</w:t>
            </w:r>
          </w:p>
        </w:tc>
        <w:tc>
          <w:tcPr>
            <w:tcW w:w="4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33110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多种 authorization regime 的严格配对；在线可见字段摘要；字段泄漏测试</w:t>
            </w:r>
          </w:p>
        </w:tc>
      </w:tr>
      <w:tr w14:paraId="7265A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F6A393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RQ2</w:t>
            </w:r>
          </w:p>
        </w:tc>
        <w:tc>
          <w:tcPr>
            <w:tcW w:w="4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3679A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在不使用 oracle 授权的条件下，M3-full 能否相对最强结构化基线降低 unsafe effect？</w:t>
            </w:r>
          </w:p>
        </w:tc>
        <w:tc>
          <w:tcPr>
            <w:tcW w:w="4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E269A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M3-full 与 VIGIL/​DRIFT 的配对差异、置信区间和 ITT 分母</w:t>
            </w:r>
          </w:p>
        </w:tc>
      </w:tr>
      <w:tr w14:paraId="75ADB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B17906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RQ3</w:t>
            </w:r>
          </w:p>
        </w:tc>
        <w:tc>
          <w:tcPr>
            <w:tcW w:w="4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DC325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来源、时序、数据流和独立确认是否在 policy-only 之外提供独立增益？</w:t>
            </w:r>
          </w:p>
        </w:tc>
        <w:tc>
          <w:tcPr>
            <w:tcW w:w="4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44F72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M3 policy-only 与 M3-full 配对消融</w:t>
            </w:r>
          </w:p>
        </w:tc>
      </w:tr>
      <w:tr w14:paraId="78CA6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7592BF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RQ4</w:t>
            </w:r>
          </w:p>
        </w:tc>
        <w:tc>
          <w:tcPr>
            <w:tcW w:w="4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A00D9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安全提升是否由 deny-all 或过度 ASK 获得？</w:t>
            </w:r>
          </w:p>
        </w:tc>
        <w:tc>
          <w:tcPr>
            <w:tcW w:w="4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8F859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TCR 非劣检验、ASK 率、确认次数、攻击条件下效用</w:t>
            </w:r>
          </w:p>
        </w:tc>
      </w:tr>
      <w:tr w14:paraId="6FD7E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B9AFEF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RQ5</w:t>
            </w:r>
          </w:p>
        </w:tc>
        <w:tc>
          <w:tcPr>
            <w:tcW w:w="4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C3592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结论能否跨模型、公共基准和防御感知攻击保持方向一致？</w:t>
            </w:r>
          </w:p>
        </w:tc>
        <w:tc>
          <w:tcPr>
            <w:tcW w:w="4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6067F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DeepSeek/​Gemini、AgentDojo/​SIREN、adaptive attack 与盲测</w:t>
            </w:r>
          </w:p>
        </w:tc>
      </w:tr>
    </w:tbl>
    <w:p w14:paraId="699015F9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1.3 可保留的贡献</w:t>
      </w:r>
    </w:p>
    <w:p w14:paraId="2EED49A9">
      <w:pPr>
        <w:pStyle w:val="16"/>
        <w:numPr>
          <w:ilvl w:val="0"/>
          <w:numId w:val="2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把 evaluator/gold 字段与在线执行状态做可验证隔离，并报告在线可见字段的稳定摘要。</w:t>
      </w:r>
    </w:p>
    <w:p w14:paraId="563DA5FB">
      <w:pPr>
        <w:pStyle w:val="16"/>
        <w:numPr>
          <w:ilvl w:val="0"/>
          <w:numId w:val="2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把权限变化设计为单调关系：自动路径只能收缩权限；权限扩张必须经过独立确认。</w:t>
      </w:r>
    </w:p>
    <w:p w14:paraId="50113F76">
      <w:pPr>
        <w:pStyle w:val="16"/>
        <w:numPr>
          <w:ilvl w:val="0"/>
          <w:numId w:val="2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以 ALLOW/ASK/DENY 三态替代二元阻断，同时测量 ASK 的交互负担和效用损失。</w:t>
      </w:r>
    </w:p>
    <w:p w14:paraId="11F8CB76">
      <w:pPr>
        <w:pStyle w:val="16"/>
        <w:numPr>
          <w:ilvl w:val="0"/>
          <w:numId w:val="2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联合分析授权不确定性、参数来源影响、unsafe effect、任务完成率和过度阻断。</w:t>
      </w:r>
    </w:p>
    <w:p w14:paraId="17817BFA">
      <w:pPr>
        <w:pStyle w:val="16"/>
        <w:numPr>
          <w:ilvl w:val="0"/>
          <w:numId w:val="2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在结果不可见条件下冻结候选、哈希、准入、分母和失败规则，提供可追溯实验链。</w:t>
      </w:r>
    </w:p>
    <w:p w14:paraId="13AF2094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1.4 明确不做的主张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1E817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single" w:color="C62828" w:sz="10" w:space="0"/>
              <w:left w:val="single" w:color="C62828" w:sz="18" w:space="0"/>
              <w:bottom w:val="single" w:color="C62828" w:sz="10" w:space="0"/>
              <w:right w:val="single" w:color="C62828" w:sz="10" w:space="0"/>
            </w:tcBorders>
            <w:shd w:val="clear" w:color="auto" w:fill="FDECEC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2548E730">
            <w:pPr>
              <w:spacing w:after="7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C62828"/>
                <w:sz w:val="22"/>
                <w:szCs w:val="22"/>
              </w:rPr>
              <w:t>主张红线</w:t>
            </w:r>
          </w:p>
          <w:p w14:paraId="1C5D9C79">
            <w:pPr>
              <w:spacing w:after="0" w:line="34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20"/>
                <w:szCs w:val="20"/>
              </w:rPr>
              <w:t>不使用“首个参数级来源追踪系统”“唯一的信息流防御”“首个 verify-before-commit”或“当前 SOTA”等措辞。ARGUS、AuthGraph、VIGIL、DRIFT、Task Shield、IPIGuard 和 CaMeL 已覆盖相邻创新空间。M3 的论文价值必须来自可重复的评估方法、可解释的配对消融和真实安全—效用收益。</w:t>
            </w:r>
          </w:p>
        </w:tc>
      </w:tr>
    </w:tbl>
    <w:p w14:paraId="12C23BE8">
      <w:pPr>
        <w:pStyle w:val="2"/>
        <w:keepNext/>
        <w:spacing w:before="26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2355B"/>
          <w:sz w:val="31"/>
          <w:szCs w:val="31"/>
        </w:rPr>
        <w:t>2  前沿研究版图与创新边界</w:t>
      </w:r>
    </w:p>
    <w:p w14:paraId="5331003C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  <w:t>已建立 2024–2026 年直接相关文献矩阵，区分同行评审论文、预印本和基准工作。核心对照不是数量堆叠，而是覆盖检测、提示层缓解、结构化运行时防御、权限/数据流机制和公共评测五类路线。</w:t>
      </w:r>
    </w:p>
    <w:tbl>
      <w:tblPr>
        <w:tblStyle w:val="11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300"/>
        <w:gridCol w:w="2900"/>
        <w:gridCol w:w="2800"/>
      </w:tblGrid>
      <w:tr w14:paraId="21C31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B4F0C2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路线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8BBF73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代表工作</w:t>
            </w:r>
          </w:p>
        </w:tc>
        <w:tc>
          <w:tcPr>
            <w:tcW w:w="2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88E90F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与 M3 的关系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EFBEA7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实验处理</w:t>
            </w:r>
          </w:p>
        </w:tc>
      </w:tr>
      <w:tr w14:paraId="6975E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8E37F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提交前验证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26790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VIGIL（ACL 2026）</w:t>
            </w:r>
          </w:p>
        </w:tc>
        <w:tc>
          <w:tcPr>
            <w:tcW w:w="2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EC421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最接近的同行评审结构化防御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0187A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核心基线，优先完整适配</w:t>
            </w:r>
          </w:p>
        </w:tc>
      </w:tr>
      <w:tr w14:paraId="0E137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763A9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控制/数据流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E8A42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DRIFT（NeurIPS 2025）</w:t>
            </w:r>
          </w:p>
        </w:tc>
        <w:tc>
          <w:tcPr>
            <w:tcW w:w="2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E2047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覆盖动态规则、控制流、数据流和记忆隔离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C4D48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核心基线；适配成本过高时至少完成方法对齐</w:t>
            </w:r>
          </w:p>
        </w:tc>
      </w:tr>
      <w:tr w14:paraId="2D5EE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F15B9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目标一致性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F7512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Task Shield（ACL 2025）</w:t>
            </w:r>
          </w:p>
        </w:tc>
        <w:tc>
          <w:tcPr>
            <w:tcW w:w="2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ADA7F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与 policy-only 条件直接相邻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07632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可作为结构化补充基线</w:t>
            </w:r>
          </w:p>
        </w:tc>
      </w:tr>
      <w:tr w14:paraId="1CB15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33358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工具依赖/最小权限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3831A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IPIGuard、Progent、CaMeL</w:t>
            </w:r>
          </w:p>
        </w:tc>
        <w:tc>
          <w:tcPr>
            <w:tcW w:w="2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B0C97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与 provenance、dependency、privilege 机制重叠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BE2B5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按代码可复现性择一准入</w:t>
            </w:r>
          </w:p>
        </w:tc>
      </w:tr>
      <w:tr w14:paraId="14EE9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86823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上下文与授权图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6A61D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ARGUS、AuthGraph（预印本）</w:t>
            </w:r>
          </w:p>
        </w:tc>
        <w:tc>
          <w:tcPr>
            <w:tcW w:w="2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3F60F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与来源感知决策审计、参数级授权重叠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02486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有公开可复现代码再加入结果表</w:t>
            </w:r>
          </w:p>
        </w:tc>
      </w:tr>
      <w:tr w14:paraId="008AC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DA865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公共基准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70550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AgentDojo、SIREN、InjecAgent</w:t>
            </w:r>
          </w:p>
        </w:tc>
        <w:tc>
          <w:tcPr>
            <w:tcW w:w="2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2BFF6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提供外部有效性与任务效用语义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212BF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AgentDojo 主基准，SIREN 优先外部验证</w:t>
            </w:r>
          </w:p>
        </w:tc>
      </w:tr>
      <w:tr w14:paraId="3D801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43E1B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自适应攻击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949DF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The Attacker Moves Second</w:t>
            </w:r>
          </w:p>
        </w:tc>
        <w:tc>
          <w:tcPr>
            <w:tcW w:w="2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66334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证明静态攻击可能高估防御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CAADC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正式结果必须包含防御感知攻击</w:t>
            </w:r>
          </w:p>
        </w:tc>
      </w:tr>
    </w:tbl>
    <w:p w14:paraId="170F8244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2.1 M3 的差异化空间</w:t>
      </w:r>
    </w:p>
    <w:p w14:paraId="0B331CD1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把 oracle 授权泄漏本身变成可测量变量，而不是在不透明 benchmark wrapper 中默认接受。</w:t>
      </w:r>
    </w:p>
    <w:p w14:paraId="20883EC8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要求自动授权编译保持权限单调，并把权限扩张从模型自证改为独立确认事件。</w:t>
      </w:r>
    </w:p>
    <w:p w14:paraId="1A06E33A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以同一任务、同一模型、同一在线上下文做 policy-only/full 配对，避免把模型差异误计为机制贡献。</w:t>
      </w:r>
    </w:p>
    <w:p w14:paraId="166F516A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把 operational failure、timeout、parse failure 和拒答保留在 intention-to-treat 分母。</w:t>
      </w:r>
    </w:p>
    <w:p w14:paraId="0ABE9160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将确认负担作为安全机制成本，而不是只报告 ASR 或检测 recall。</w:t>
      </w:r>
    </w:p>
    <w:p w14:paraId="49F610CD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2.2 论文叙事建议</w:t>
      </w:r>
    </w:p>
    <w:p w14:paraId="362AAD5F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  <w:t>主叙事采用“评估方法 + 防御机制”双主线。Introduction 先指出现有工具型 Agent 防御的评估常把授权信息、目标答案或过度明确策略带入在线阶段，随后提出非 oracle 的运行时授权机制，并用来源/时序/确认模块的配对消融证明或否证增益。若正式结果不支持机制优势，保留评估方法与负面结果，转为系统实证论文。</w:t>
      </w:r>
    </w:p>
    <w:p w14:paraId="1E9DA815">
      <w:pPr>
        <w:pStyle w:val="2"/>
        <w:keepNext/>
        <w:spacing w:before="26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2355B"/>
          <w:sz w:val="31"/>
          <w:szCs w:val="31"/>
        </w:rPr>
        <w:t>3  已完成的研究与工程工作</w:t>
      </w:r>
    </w:p>
    <w:tbl>
      <w:tblPr>
        <w:tblStyle w:val="11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200"/>
        <w:gridCol w:w="2900"/>
        <w:gridCol w:w="1900"/>
      </w:tblGrid>
      <w:tr w14:paraId="4C097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8FFCEB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工作包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C9666B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完成内容</w:t>
            </w:r>
          </w:p>
        </w:tc>
        <w:tc>
          <w:tcPr>
            <w:tcW w:w="2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5802AB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当前证据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9E1DC8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状态</w:t>
            </w:r>
          </w:p>
        </w:tc>
      </w:tr>
      <w:tr w14:paraId="0CBD1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30D73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文献与创新边界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C4326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34 项直接相关工作；同行评审/预印本分级；竞争边界表</w:t>
            </w:r>
          </w:p>
        </w:tc>
        <w:tc>
          <w:tcPr>
            <w:tcW w:w="2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5F8F7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文献矩阵与引用准入规则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08AC44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已完成首轮</w:t>
            </w:r>
          </w:p>
        </w:tc>
      </w:tr>
      <w:tr w14:paraId="4A1A5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A4931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在线状态审计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0EA2A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22 个 Guard/​benchmark 审计单元；检查 gold/​evaluator/​authorization 可见性</w:t>
            </w:r>
          </w:p>
        </w:tc>
        <w:tc>
          <w:tcPr>
            <w:tcW w:w="2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FBF6E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源码级审计记录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013B5C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已完成首轮</w:t>
            </w:r>
          </w:p>
        </w:tc>
      </w:tr>
      <w:tr w14:paraId="6F0CC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126F3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实验接口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A2AE0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TaskPolicyManifest、ActionProposal、GuardDecision、ProvenanceEvent 及版本字段</w:t>
            </w:r>
          </w:p>
        </w:tc>
        <w:tc>
          <w:tcPr>
            <w:tcW w:w="2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99B56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schema、单元测试、golden tests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E55A3D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已实现</w:t>
            </w:r>
          </w:p>
        </w:tc>
      </w:tr>
      <w:tr w14:paraId="65D9C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27058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六条件矩阵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98D81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no defense、spotlighting、PromptGuard、结构化基线、M3 policy-only、M3-full</w:t>
            </w:r>
          </w:p>
        </w:tc>
        <w:tc>
          <w:tcPr>
            <w:tcW w:w="2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9F9B2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480 项冻结计划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C7DBB2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已冻结</w:t>
            </w:r>
          </w:p>
        </w:tc>
      </w:tr>
      <w:tr w14:paraId="09D7F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E8293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失败分母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242AD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parse/​provider/​runner/​max-step/​open attempt 的 ITT 规则</w:t>
            </w:r>
          </w:p>
        </w:tc>
        <w:tc>
          <w:tcPr>
            <w:tcW w:w="2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8FC03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结果门与技术审查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9493F4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已实现</w:t>
            </w:r>
          </w:p>
        </w:tc>
      </w:tr>
      <w:tr w14:paraId="787FF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E5730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API 证据链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02F3A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本地 request ID、payload hash、官方 response ID、精确模型、usage/​cost</w:t>
            </w:r>
          </w:p>
        </w:tc>
        <w:tc>
          <w:tcPr>
            <w:tcW w:w="2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1A677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append-only trace 与预算账本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EB04F0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DeepSeek 已验证</w:t>
            </w:r>
          </w:p>
        </w:tc>
      </w:tr>
      <w:tr w14:paraId="10206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F4C5F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副作用边界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CB8F1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provider tools 关闭；sandbox/​in-memory 后端；未知外部动作拒绝</w:t>
            </w:r>
          </w:p>
        </w:tc>
        <w:tc>
          <w:tcPr>
            <w:tcW w:w="2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ABB29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安全收据与零 effect 资格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B40A58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已实现</w:t>
            </w:r>
          </w:p>
        </w:tc>
      </w:tr>
      <w:tr w14:paraId="341E5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6E9DB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v7 修订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93F88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哈希化 proposal 分类、backend→evaluator 端到端校验、候选与准入冻结</w:t>
            </w:r>
          </w:p>
        </w:tc>
        <w:tc>
          <w:tcPr>
            <w:tcW w:w="2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C48C2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12 项专项测试通过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1307C3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待全量审计</w:t>
            </w:r>
          </w:p>
        </w:tc>
      </w:tr>
      <w:tr w14:paraId="09B18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B8370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正式科学结果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335E7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M3 与基线的安全—效用比较</w:t>
            </w:r>
          </w:p>
        </w:tc>
        <w:tc>
          <w:tcPr>
            <w:tcW w:w="2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B1C22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尚无结果准入</w:t>
            </w:r>
          </w:p>
        </w:tc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853C96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未开始</w:t>
            </w:r>
          </w:p>
        </w:tc>
      </w:tr>
    </w:tbl>
    <w:p w14:paraId="52DBFC99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3.1 冻结的实验规模</w:t>
      </w:r>
    </w:p>
    <w:p w14:paraId="40D4D579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  <w:t>中型证伪矩阵包含 480 个工作项：432 个主实验记录和 48 个授权机制探针。六个核心条件在同一任务集合上运行；正式分析以任务级配对为主，而不是把不同条件的独立比例直接比较。</w:t>
      </w:r>
    </w:p>
    <w:tbl>
      <w:tblPr>
        <w:tblStyle w:val="11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3900"/>
        <w:gridCol w:w="3500"/>
      </w:tblGrid>
      <w:tr w14:paraId="377C0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6B6C64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条件</w:t>
            </w:r>
          </w:p>
        </w:tc>
        <w:tc>
          <w:tcPr>
            <w:tcW w:w="3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24CAA3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作用</w:t>
            </w:r>
          </w:p>
        </w:tc>
        <w:tc>
          <w:tcPr>
            <w:tcW w:w="3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E8EBA6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论文定位</w:t>
            </w:r>
          </w:p>
        </w:tc>
      </w:tr>
      <w:tr w14:paraId="4C03F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E4D93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No defense</w:t>
            </w:r>
          </w:p>
        </w:tc>
        <w:tc>
          <w:tcPr>
            <w:tcW w:w="3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A219C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给出 Agent 原始风险下界</w:t>
            </w:r>
          </w:p>
        </w:tc>
        <w:tc>
          <w:tcPr>
            <w:tcW w:w="3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E745E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必要参照</w:t>
            </w:r>
          </w:p>
        </w:tc>
      </w:tr>
      <w:tr w14:paraId="09390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4DE8F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Safe prompt / Spotlighting</w:t>
            </w:r>
          </w:p>
        </w:tc>
        <w:tc>
          <w:tcPr>
            <w:tcW w:w="3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34067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轻量提示层缓解</w:t>
            </w:r>
          </w:p>
        </w:tc>
        <w:tc>
          <w:tcPr>
            <w:tcW w:w="3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F2542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低成本基线</w:t>
            </w:r>
          </w:p>
        </w:tc>
      </w:tr>
      <w:tr w14:paraId="53A4D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F065C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PromptGuard</w:t>
            </w:r>
          </w:p>
        </w:tc>
        <w:tc>
          <w:tcPr>
            <w:tcW w:w="3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681FD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检测器门控</w:t>
            </w:r>
          </w:p>
        </w:tc>
        <w:tc>
          <w:tcPr>
            <w:tcW w:w="3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D0C46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明确标注 detector-only</w:t>
            </w:r>
          </w:p>
        </w:tc>
      </w:tr>
      <w:tr w14:paraId="6E3F0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DCBFC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VIGIL（优先）</w:t>
            </w:r>
          </w:p>
        </w:tc>
        <w:tc>
          <w:tcPr>
            <w:tcW w:w="3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1D2C7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同行评审结构化提交前验证</w:t>
            </w:r>
          </w:p>
        </w:tc>
        <w:tc>
          <w:tcPr>
            <w:tcW w:w="3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55931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最强主对照</w:t>
            </w:r>
          </w:p>
        </w:tc>
      </w:tr>
      <w:tr w14:paraId="0A5AA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F85AB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M3 policy-only</w:t>
            </w:r>
          </w:p>
        </w:tc>
        <w:tc>
          <w:tcPr>
            <w:tcW w:w="3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9998D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只保留策略约束</w:t>
            </w:r>
          </w:p>
        </w:tc>
        <w:tc>
          <w:tcPr>
            <w:tcW w:w="3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98984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核心消融</w:t>
            </w:r>
          </w:p>
        </w:tc>
      </w:tr>
      <w:tr w14:paraId="456D6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A4D9A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M3 full</w:t>
            </w:r>
          </w:p>
        </w:tc>
        <w:tc>
          <w:tcPr>
            <w:tcW w:w="3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26F28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策略 + 来源 + 时序 + 数据流 + 确认</w:t>
            </w:r>
          </w:p>
        </w:tc>
        <w:tc>
          <w:tcPr>
            <w:tcW w:w="3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98473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目标机制</w:t>
            </w:r>
          </w:p>
        </w:tc>
      </w:tr>
    </w:tbl>
    <w:p w14:paraId="266C5052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3.2 安全运行承诺</w:t>
      </w:r>
    </w:p>
    <w:p w14:paraId="790E49EF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不把 DeepSeek 或 Gemini 连接到真实工具、生产系统、邮件、支付、文件删除或外部执行能力。</w:t>
      </w:r>
    </w:p>
    <w:p w14:paraId="77DCFE65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模型只生成结构化 proposal；执行与效果判断由本地隔离层完成。</w:t>
      </w:r>
    </w:p>
    <w:p w14:paraId="5777FDA2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只发送合成或公开 benchmark 内容；不发送密钥、私人数据或评估答案字段。</w:t>
      </w:r>
    </w:p>
    <w:p w14:paraId="780076AD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不自动跨 provider 回退，不因格式错误反复重试，不绕过身份或日志门禁。</w:t>
      </w:r>
    </w:p>
    <w:p w14:paraId="2E8E9A00">
      <w:pPr>
        <w:pStyle w:val="2"/>
        <w:keepNext/>
        <w:spacing w:before="26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2355B"/>
          <w:sz w:val="31"/>
          <w:szCs w:val="31"/>
        </w:rPr>
        <w:t>4  实验架构、证据链与安全边界</w:t>
      </w:r>
    </w:p>
    <w:p w14:paraId="79894DB8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  <w:t>正式实验采用“先冻结、后调用、再准入、最后分析”的单向链。科学结果在技术完整性审查通过前保持不可见，避免根据结果修门槛。任何失败都保留在分母；旧版本失败后新建身份，不对既有账本做回写修补。</w:t>
      </w:r>
    </w:p>
    <w:p w14:paraId="5562C06B">
      <w:pPr>
        <w:keepNext/>
        <w:spacing w:before="120" w:after="40"/>
        <w:jc w:val="center"/>
      </w:pPr>
      <w:r>
        <w:drawing>
          <wp:inline distT="0" distB="0" distL="0" distR="0">
            <wp:extent cx="6381750" cy="23526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E45C">
      <w:pPr>
        <w:keepNext w:val="0"/>
        <w:spacing w:before="70" w:after="160"/>
        <w:jc w:val="center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B6577"/>
          <w:sz w:val="17"/>
          <w:szCs w:val="17"/>
        </w:rPr>
        <w:t>图 2  正式证据链：候选冻结、canary、完整矩阵、结果准入和统计主张依次解锁。</w:t>
      </w:r>
    </w:p>
    <w:p w14:paraId="6E49FF6D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4.1 单请求证据链</w:t>
      </w:r>
    </w:p>
    <w:tbl>
      <w:tblPr>
        <w:tblStyle w:val="11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100"/>
        <w:gridCol w:w="3400"/>
      </w:tblGrid>
      <w:tr w14:paraId="19B5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B87B30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链路元素</w:t>
            </w:r>
          </w:p>
        </w:tc>
        <w:tc>
          <w:tcPr>
            <w:tcW w:w="4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FFC264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记录内容</w:t>
            </w:r>
          </w:p>
        </w:tc>
        <w:tc>
          <w:tcPr>
            <w:tcW w:w="3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98B4D3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目的</w:t>
            </w:r>
          </w:p>
        </w:tc>
      </w:tr>
      <w:tr w14:paraId="0AA88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622DF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本地 request ID</w:t>
            </w:r>
          </w:p>
        </w:tc>
        <w:tc>
          <w:tcPr>
            <w:tcW w:w="4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7F6BA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调用前生成并写入 attempt ledger</w:t>
            </w:r>
          </w:p>
        </w:tc>
        <w:tc>
          <w:tcPr>
            <w:tcW w:w="3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FE8E8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证明请求在响应前已承诺</w:t>
            </w:r>
          </w:p>
        </w:tc>
      </w:tr>
      <w:tr w14:paraId="26E07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D8DBC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Payload hash</w:t>
            </w:r>
          </w:p>
        </w:tc>
        <w:tc>
          <w:tcPr>
            <w:tcW w:w="4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59034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对规范化请求体计算 SHA-256</w:t>
            </w:r>
          </w:p>
        </w:tc>
        <w:tc>
          <w:tcPr>
            <w:tcW w:w="3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0A34D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证明实际 payload 与冻结契约一致</w:t>
            </w:r>
          </w:p>
        </w:tc>
      </w:tr>
      <w:tr w14:paraId="28019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7F652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Provider identity</w:t>
            </w:r>
          </w:p>
        </w:tc>
        <w:tc>
          <w:tcPr>
            <w:tcW w:w="4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B5F07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官方 base URL、精确 returned model、端点类型</w:t>
            </w:r>
          </w:p>
        </w:tc>
        <w:tc>
          <w:tcPr>
            <w:tcW w:w="3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D12D3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排除模型身份漂移</w:t>
            </w:r>
          </w:p>
        </w:tc>
      </w:tr>
      <w:tr w14:paraId="3CC7B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05EFE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Official response ID</w:t>
            </w:r>
          </w:p>
        </w:tc>
        <w:tc>
          <w:tcPr>
            <w:tcW w:w="4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D4602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供应商响应中的唯一标识</w:t>
            </w:r>
          </w:p>
        </w:tc>
        <w:tc>
          <w:tcPr>
            <w:tcW w:w="3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3C50E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把本地请求与官方响应关联</w:t>
            </w:r>
          </w:p>
        </w:tc>
      </w:tr>
      <w:tr w14:paraId="42C7A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B37E0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Usage/cost</w:t>
            </w:r>
          </w:p>
        </w:tc>
        <w:tc>
          <w:tcPr>
            <w:tcW w:w="4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83851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输入、缓存命中/未命中、输出 token 与成本</w:t>
            </w:r>
          </w:p>
        </w:tc>
        <w:tc>
          <w:tcPr>
            <w:tcW w:w="3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28191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支持预算和可重复成本核算</w:t>
            </w:r>
          </w:p>
        </w:tc>
      </w:tr>
      <w:tr w14:paraId="434A5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04448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Append-only log</w:t>
            </w:r>
          </w:p>
        </w:tc>
        <w:tc>
          <w:tcPr>
            <w:tcW w:w="4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70E5F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attempt、trace、record、budget 独立追加</w:t>
            </w:r>
          </w:p>
        </w:tc>
        <w:tc>
          <w:tcPr>
            <w:tcW w:w="3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93B1D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避免覆盖、删行或结果后重写</w:t>
            </w:r>
          </w:p>
        </w:tc>
      </w:tr>
    </w:tbl>
    <w:p w14:paraId="761AACBB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4.2 在线状态与离线评估边界</w:t>
      </w:r>
    </w:p>
    <w:p w14:paraId="0D5677F4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在线状态只包含任务输入、允许公开的应用上下文、条件配置和非答案型授权信封。</w:t>
      </w:r>
    </w:p>
    <w:p w14:paraId="6B699A9C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unsafe_effect、task_completion、gold action、evaluator labels 和 primary eligibility 仅供离线评估。</w:t>
      </w:r>
    </w:p>
    <w:p w14:paraId="39C7C5CD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每条记录保存 online_visible_field_digest，用于证明不同条件下可见字段集合符合冻结定义。</w:t>
      </w:r>
    </w:p>
    <w:p w14:paraId="6140711D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exact_gold 仅作为 48 个隔离的 oracle probe，不进入主比较，也不伪装为真实可部署防御。</w:t>
      </w:r>
    </w:p>
    <w:p w14:paraId="2A3AD028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4.3 三道安全边界</w:t>
      </w:r>
    </w:p>
    <w:tbl>
      <w:tblPr>
        <w:tblStyle w:val="11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4300"/>
        <w:gridCol w:w="3300"/>
      </w:tblGrid>
      <w:tr w14:paraId="1597E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6845E4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边界</w:t>
            </w:r>
          </w:p>
        </w:tc>
        <w:tc>
          <w:tcPr>
            <w:tcW w:w="4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582CC3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约束</w:t>
            </w:r>
          </w:p>
        </w:tc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BEC36E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失效时处理</w:t>
            </w:r>
          </w:p>
        </w:tc>
      </w:tr>
      <w:tr w14:paraId="45E7C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E5A30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Provider 边界</w:t>
            </w:r>
          </w:p>
        </w:tc>
        <w:tc>
          <w:tcPr>
            <w:tcW w:w="4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FA5D2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无 provider tools、无真实 effect、无敏感数据</w:t>
            </w:r>
          </w:p>
        </w:tc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92508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立即暂停，不重试</w:t>
            </w:r>
          </w:p>
        </w:tc>
      </w:tr>
      <w:tr w14:paraId="29CD2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A2AEC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Runtime 边界</w:t>
            </w:r>
          </w:p>
        </w:tc>
        <w:tc>
          <w:tcPr>
            <w:tcW w:w="4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0EA6A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proposal 需经过策略/来源/时序/确认审查</w:t>
            </w:r>
          </w:p>
        </w:tc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A04E3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拒绝执行并保守计入 ITT</w:t>
            </w:r>
          </w:p>
        </w:tc>
      </w:tr>
      <w:tr w14:paraId="3D04C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EDA56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Evaluator 边界</w:t>
            </w:r>
          </w:p>
        </w:tc>
        <w:tc>
          <w:tcPr>
            <w:tcW w:w="4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160DD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评估字段不得回流在线 Guard</w:t>
            </w:r>
          </w:p>
        </w:tc>
        <w:tc>
          <w:tcPr>
            <w:tcW w:w="3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B3182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7"/>
                <w:szCs w:val="17"/>
              </w:rPr>
              <w:t>记录不准入，建立新版本</w:t>
            </w:r>
          </w:p>
        </w:tc>
      </w:tr>
    </w:tbl>
    <w:p w14:paraId="18F920F5">
      <w:pPr>
        <w:pStyle w:val="2"/>
        <w:keepNext/>
        <w:spacing w:before="26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2355B"/>
          <w:sz w:val="31"/>
          <w:szCs w:val="31"/>
        </w:rPr>
        <w:t>5  v4–v7 技术演进与失败分析</w:t>
      </w:r>
    </w:p>
    <w:p w14:paraId="646A04DB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  <w:t>v4–v6 的失败均暴露了可复现的实验接口问题。正确处理不是删除失败记录或继续填满矩阵，而是冻结旧版本、保留成本与终态、修正假设后生成新版本身份。v7 是针对 v6 证据格式缺陷的版本化修订，尚未产生 API 记录。</w:t>
      </w:r>
    </w:p>
    <w:p w14:paraId="152547F3">
      <w:pPr>
        <w:keepNext/>
        <w:spacing w:before="120" w:after="40"/>
        <w:jc w:val="center"/>
      </w:pPr>
      <w:r>
        <w:drawing>
          <wp:inline distT="0" distB="0" distL="0" distR="0">
            <wp:extent cx="6191250" cy="34861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202A">
      <w:pPr>
        <w:keepNext w:val="0"/>
        <w:spacing w:before="70" w:after="160"/>
        <w:jc w:val="center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B6577"/>
          <w:sz w:val="17"/>
          <w:szCs w:val="17"/>
        </w:rPr>
        <w:t>图 3  DeepSeek v4–v7 的记录、调用与累计成本。v7 尚未调用 API。</w:t>
      </w:r>
    </w:p>
    <w:tbl>
      <w:tblPr>
        <w:tblStyle w:val="11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200"/>
        <w:gridCol w:w="3200"/>
        <w:gridCol w:w="3100"/>
      </w:tblGrid>
      <w:tr w14:paraId="42013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D8D3C7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版本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7CA20D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规模与成本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A92ED7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发现的问题</w:t>
            </w:r>
          </w:p>
        </w:tc>
        <w:tc>
          <w:tcPr>
            <w:tcW w:w="3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F78F9A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处理与结论</w:t>
            </w:r>
          </w:p>
        </w:tc>
      </w:tr>
      <w:tr w14:paraId="68139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0F682F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v4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4063D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395 records；773 calls；累计 ¥0.7445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B1BAB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39 个运行终态失败；结果门阻断</w:t>
            </w:r>
          </w:p>
        </w:tc>
        <w:tc>
          <w:tcPr>
            <w:tcW w:w="3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C5D68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永久冻结，不进入科学分析</w:t>
            </w:r>
          </w:p>
        </w:tc>
      </w:tr>
      <w:tr w14:paraId="292EB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63BC9B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v5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BE972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94 records；157 calls；累计 ¥0.8384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8D57D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1 个开放 attempt；proposal 分类不足</w:t>
            </w:r>
          </w:p>
        </w:tc>
        <w:tc>
          <w:tcPr>
            <w:tcW w:w="3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0DF78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永久冻结，建立新版本</w:t>
            </w:r>
          </w:p>
        </w:tc>
      </w:tr>
      <w:tr w14:paraId="219BB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5739B0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v6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C5960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64 records；112 calls；累计 ¥0.9067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5183A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boundary rejection evidence 格式不一致；3 runner failure</w:t>
            </w:r>
          </w:p>
        </w:tc>
        <w:tc>
          <w:tcPr>
            <w:tcW w:w="3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0C759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中止并生成内容无关 abort review</w:t>
            </w:r>
          </w:p>
        </w:tc>
      </w:tr>
      <w:tr w14:paraId="394FF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1577F9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v7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48B56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0 records；0 calls；累计仍为 ¥0.9067</w:t>
            </w:r>
          </w:p>
        </w:tc>
        <w:tc>
          <w:tcPr>
            <w:tcW w:w="3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F542D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候选已冻结；全量离线审计尚未完成</w:t>
            </w:r>
          </w:p>
        </w:tc>
        <w:tc>
          <w:tcPr>
            <w:tcW w:w="3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810D0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先完成审计和结果门 v4，再决定 canary</w:t>
            </w:r>
          </w:p>
        </w:tc>
      </w:tr>
    </w:tbl>
    <w:p w14:paraId="4A898647">
      <w:pPr>
        <w:keepNext/>
        <w:spacing w:before="120" w:after="40"/>
        <w:jc w:val="center"/>
      </w:pPr>
      <w:r>
        <w:drawing>
          <wp:inline distT="0" distB="0" distL="0" distR="0">
            <wp:extent cx="6191250" cy="34861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F83D">
      <w:pPr>
        <w:keepNext w:val="0"/>
        <w:spacing w:before="70" w:after="160"/>
        <w:jc w:val="center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B6577"/>
          <w:sz w:val="17"/>
          <w:szCs w:val="17"/>
        </w:rPr>
        <w:t>图 4  v4–v6 技术终态构成。柱顶总数含开放 attempt；这些不是论文安全效果。</w:t>
      </w:r>
    </w:p>
    <w:p w14:paraId="5EBAB641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5.1 v4：运行质量不足而非统计失败</w:t>
      </w:r>
    </w:p>
    <w:p w14:paraId="41AFE94E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  <w:t>v4 在 395/480 时形成 356 个 completed、6 个 max_steps、2 个 provider_failure、1 个 parse_failure 和 30 个 runner_failure；共 39 个 operational failures。结果技术门阻断准入，科学结果没有被审阅。该版本证明请求链和大规模续跑可工作，但不能用于比较防御效果。</w:t>
      </w:r>
    </w:p>
    <w:p w14:paraId="485408E7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5.2 v5：终态分类仍有未闭合路径</w:t>
      </w:r>
    </w:p>
    <w:p w14:paraId="3D93DF0B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  <w:t>v5 共形成 94 条记录、157 次调用，另有 1 个开放 attempt；92 条 completed、2 条 runner_failure。审计发现 proposal/终态分类仍无法覆盖全部安全边界状态，因此新建 v6，而不是在 v5 账本上补写。</w:t>
      </w:r>
    </w:p>
    <w:p w14:paraId="676D1EF7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5.3 v6：证据格式与消费者契约不一致</w:t>
      </w:r>
    </w:p>
    <w:p w14:paraId="11270AA7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  <w:t>v6 canary 6/6 通过，正式续跑至 64 条记录时，本地离线评估器拒绝 malformed boundary rejection evidence。问题位于适配器产生的证据格式和 evaluator 消费规则之间，并非模型安全效果。v6 保留 61 completed、3 runner_failure、1 open attempt、112 次 provider 调用以及完整 usage/cost，全部结果不准入。</w:t>
      </w:r>
    </w:p>
    <w:p w14:paraId="09A7FF96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5.4 v7：修复目标与当前状态</w:t>
      </w:r>
    </w:p>
    <w:p w14:paraId="75F54080">
      <w:pPr>
        <w:spacing w:after="120" w:line="360" w:lineRule="auto"/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  <w:t>v7 新增哈希化 proposal-message 分类，并从 backend receipt 一直验证到 evaluator 输入，避免仅测试 producer 而未测试 consumer。候选、qualification 和 canary admission 已冻结；专项测试 12/12 通过，Ruff 通过。截至本报告，全量离线审计执行进度约 47%，没有形成完整通过或失败结论；未进行 v7 API、canary 或正式矩阵调用。</w:t>
      </w:r>
    </w:p>
    <w:p w14:paraId="10B6DA1F">
      <w:pPr>
        <w:spacing w:after="120" w:line="36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2355B"/>
          <w:sz w:val="31"/>
          <w:szCs w:val="31"/>
        </w:rPr>
        <w:t>6  当前数据、成本与验证状态</w:t>
      </w:r>
    </w:p>
    <w:p w14:paraId="651362C1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6.1 DeepSeek 运行账本摘要</w:t>
      </w:r>
    </w:p>
    <w:tbl>
      <w:tblPr>
        <w:tblStyle w:val="11"/>
        <w:tblW w:w="7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750"/>
        <w:gridCol w:w="750"/>
        <w:gridCol w:w="750"/>
        <w:gridCol w:w="900"/>
        <w:gridCol w:w="950"/>
        <w:gridCol w:w="1650"/>
        <w:gridCol w:w="1500"/>
      </w:tblGrid>
      <w:tr w14:paraId="5240E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644E9F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版本</w:t>
            </w:r>
          </w:p>
        </w:tc>
        <w:tc>
          <w:tcPr>
            <w:tcW w:w="7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EFA193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记录</w:t>
            </w:r>
          </w:p>
        </w:tc>
        <w:tc>
          <w:tcPr>
            <w:tcW w:w="7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88CF8D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调用</w:t>
            </w:r>
          </w:p>
        </w:tc>
        <w:tc>
          <w:tcPr>
            <w:tcW w:w="7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E6620C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完成</w:t>
            </w:r>
          </w:p>
        </w:tc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8EFD34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失败终态</w:t>
            </w:r>
          </w:p>
        </w:tc>
        <w:tc>
          <w:tcPr>
            <w:tcW w:w="9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D02C33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开放 attempt</w:t>
            </w:r>
          </w:p>
        </w:tc>
        <w:tc>
          <w:tcPr>
            <w:tcW w:w="16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FEDFE2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累计成本（CNY）</w:t>
            </w:r>
          </w:p>
        </w:tc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0711A3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结果准入</w:t>
            </w:r>
          </w:p>
        </w:tc>
      </w:tr>
      <w:tr w14:paraId="44F2A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2E9FC6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v4</w:t>
            </w:r>
          </w:p>
        </w:tc>
        <w:tc>
          <w:tcPr>
            <w:tcW w:w="7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24C3D4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395</w:t>
            </w:r>
          </w:p>
        </w:tc>
        <w:tc>
          <w:tcPr>
            <w:tcW w:w="7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57305A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773</w:t>
            </w:r>
          </w:p>
        </w:tc>
        <w:tc>
          <w:tcPr>
            <w:tcW w:w="7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0180FC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356</w:t>
            </w:r>
          </w:p>
        </w:tc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355920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39</w:t>
            </w:r>
          </w:p>
        </w:tc>
        <w:tc>
          <w:tcPr>
            <w:tcW w:w="9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A993F3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0</w:t>
            </w:r>
          </w:p>
        </w:tc>
        <w:tc>
          <w:tcPr>
            <w:tcW w:w="16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02967D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0.7445328</w:t>
            </w:r>
          </w:p>
        </w:tc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153EB1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否</w:t>
            </w:r>
          </w:p>
        </w:tc>
      </w:tr>
      <w:tr w14:paraId="4787F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49AB95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v5</w:t>
            </w:r>
          </w:p>
        </w:tc>
        <w:tc>
          <w:tcPr>
            <w:tcW w:w="7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DAEF44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94</w:t>
            </w:r>
          </w:p>
        </w:tc>
        <w:tc>
          <w:tcPr>
            <w:tcW w:w="7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C811EC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157</w:t>
            </w:r>
          </w:p>
        </w:tc>
        <w:tc>
          <w:tcPr>
            <w:tcW w:w="7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A283E9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92</w:t>
            </w:r>
          </w:p>
        </w:tc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E51EA8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2</w:t>
            </w:r>
          </w:p>
        </w:tc>
        <w:tc>
          <w:tcPr>
            <w:tcW w:w="9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A93978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1</w:t>
            </w:r>
          </w:p>
        </w:tc>
        <w:tc>
          <w:tcPr>
            <w:tcW w:w="16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8DA4C0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0.8384096</w:t>
            </w:r>
          </w:p>
        </w:tc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A99518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否</w:t>
            </w:r>
          </w:p>
        </w:tc>
      </w:tr>
      <w:tr w14:paraId="6EBCB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352DAE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v6</w:t>
            </w:r>
          </w:p>
        </w:tc>
        <w:tc>
          <w:tcPr>
            <w:tcW w:w="7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827C7F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64</w:t>
            </w:r>
          </w:p>
        </w:tc>
        <w:tc>
          <w:tcPr>
            <w:tcW w:w="7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016800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112</w:t>
            </w:r>
          </w:p>
        </w:tc>
        <w:tc>
          <w:tcPr>
            <w:tcW w:w="7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F660FE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61</w:t>
            </w:r>
          </w:p>
        </w:tc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A9E6E0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3</w:t>
            </w:r>
          </w:p>
        </w:tc>
        <w:tc>
          <w:tcPr>
            <w:tcW w:w="9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D7DC5B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1</w:t>
            </w:r>
          </w:p>
        </w:tc>
        <w:tc>
          <w:tcPr>
            <w:tcW w:w="16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9B9FB6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0.9066668</w:t>
            </w:r>
          </w:p>
        </w:tc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64F33C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否</w:t>
            </w:r>
          </w:p>
        </w:tc>
      </w:tr>
      <w:tr w14:paraId="1C23E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105679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v7</w:t>
            </w:r>
          </w:p>
        </w:tc>
        <w:tc>
          <w:tcPr>
            <w:tcW w:w="7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6F04B1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0</w:t>
            </w:r>
          </w:p>
        </w:tc>
        <w:tc>
          <w:tcPr>
            <w:tcW w:w="7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62A68F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0</w:t>
            </w:r>
          </w:p>
        </w:tc>
        <w:tc>
          <w:tcPr>
            <w:tcW w:w="7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8D0CA3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957CD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0</w:t>
            </w:r>
          </w:p>
        </w:tc>
        <w:tc>
          <w:tcPr>
            <w:tcW w:w="9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44551E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0</w:t>
            </w:r>
          </w:p>
        </w:tc>
        <w:tc>
          <w:tcPr>
            <w:tcW w:w="16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3E150A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0.9066668</w:t>
            </w:r>
          </w:p>
        </w:tc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E9EA90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尚未评估</w:t>
            </w:r>
          </w:p>
        </w:tc>
      </w:tr>
    </w:tbl>
    <w:p w14:paraId="705EEBE8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  <w:t>v6 共计 635,368 个输入 token，其中缓存命中 472,832、未命中 162,536；输出 67,873 token。高缓存命中使当前成本很低，但正式计划仍以逐请求 usage/cost 账本和 provider 实际限额为准，不把历史命中率视为保证。</w:t>
      </w:r>
    </w:p>
    <w:p w14:paraId="2B3EF3FE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6.2 验证证据</w:t>
      </w:r>
    </w:p>
    <w:tbl>
      <w:tblPr>
        <w:tblStyle w:val="11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2200"/>
        <w:gridCol w:w="2900"/>
        <w:gridCol w:w="2500"/>
      </w:tblGrid>
      <w:tr w14:paraId="476F3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2DD119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验证层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399329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最后完整结果</w:t>
            </w:r>
          </w:p>
        </w:tc>
        <w:tc>
          <w:tcPr>
            <w:tcW w:w="2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4D961D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可支持的结论</w:t>
            </w:r>
          </w:p>
        </w:tc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F1B1B3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不能支持的结论</w:t>
            </w:r>
          </w:p>
        </w:tc>
      </w:tr>
      <w:tr w14:paraId="2BD7B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A6DAC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完整回归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326D5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1049 passed；1 skipped；0 verification failed</w:t>
            </w:r>
          </w:p>
        </w:tc>
        <w:tc>
          <w:tcPr>
            <w:tcW w:w="2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3BA8A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v6 前工程状态整体一致</w:t>
            </w:r>
          </w:p>
        </w:tc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AE6A3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v7 全量审计通过</w:t>
            </w:r>
          </w:p>
        </w:tc>
      </w:tr>
      <w:tr w14:paraId="770E4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B58F0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v7 专项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2A674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12/12 passed；Ruff passed</w:t>
            </w:r>
          </w:p>
        </w:tc>
        <w:tc>
          <w:tcPr>
            <w:tcW w:w="2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03053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v7 新适配器和控制器的目标行为通过专项检查</w:t>
            </w:r>
          </w:p>
        </w:tc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BBAA4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正式矩阵可直接运行</w:t>
            </w:r>
          </w:p>
        </w:tc>
      </w:tr>
      <w:tr w14:paraId="60E4C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2380C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v7 全量离线审计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D3EE2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约 47% 时暂停；无完整结论</w:t>
            </w:r>
          </w:p>
        </w:tc>
        <w:tc>
          <w:tcPr>
            <w:tcW w:w="2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F3306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没有观察到已确认失败</w:t>
            </w:r>
          </w:p>
        </w:tc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08B57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不得宣称审计通过</w:t>
            </w:r>
          </w:p>
        </w:tc>
      </w:tr>
      <w:tr w14:paraId="24781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01190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正式安全结果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374AC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0 条准入结果</w:t>
            </w:r>
          </w:p>
        </w:tc>
        <w:tc>
          <w:tcPr>
            <w:tcW w:w="2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64F40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无</w:t>
            </w:r>
          </w:p>
        </w:tc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3E90E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不得宣称降低 ASR/unsafe effect 或保持 TCR</w:t>
            </w:r>
          </w:p>
        </w:tc>
      </w:tr>
    </w:tbl>
    <w:p w14:paraId="02A6F51B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6.3 Gemini 当前定位</w:t>
      </w:r>
    </w:p>
    <w:p w14:paraId="1CDAC358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  <w:t>Gemini 官方 OpenAI-compatible 端点已完成基础连通性验证，精确模型槽为 gemini-3.6-flash。正式实验前需要单独完成原生参数适配：Gemini 3.6 Flash 不应沿用旧式 temperature/top_p/top_k 组合；实际 RPM/TPM/RPD 以 AI Studio 项目限额为准。Gemini 免费额度用于跨模型泛化，不与 DeepSeek 同一模型身份发生静默回退。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03FD7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single" w:color="078B6C" w:sz="10" w:space="0"/>
              <w:left w:val="single" w:color="078B6C" w:sz="18" w:space="0"/>
              <w:bottom w:val="single" w:color="078B6C" w:sz="10" w:space="0"/>
              <w:right w:val="single" w:color="078B6C" w:sz="10" w:space="0"/>
            </w:tcBorders>
            <w:shd w:val="clear" w:color="auto" w:fill="EAF8F1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79C77D68">
            <w:pPr>
              <w:spacing w:after="7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78B6C"/>
                <w:sz w:val="22"/>
                <w:szCs w:val="22"/>
              </w:rPr>
              <w:t>成本判断</w:t>
            </w:r>
          </w:p>
          <w:p w14:paraId="085957BF">
            <w:pPr>
              <w:spacing w:after="0" w:line="34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20"/>
                <w:szCs w:val="20"/>
              </w:rPr>
              <w:t>截至 v6 的 DeepSeek 累计成本不足 1 元，尚未构成实验阻塞。后续不人为压缩必要样本，但仍保留逐调用计量、阶段检查点、首个 429 暂停和无自动重试，以避免额度或配额异常造成不可恢复的矩阵偏差。</w:t>
            </w:r>
          </w:p>
        </w:tc>
      </w:tr>
    </w:tbl>
    <w:p w14:paraId="73189D51">
      <w:pPr>
        <w:pStyle w:val="2"/>
        <w:keepNext/>
        <w:spacing w:before="26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2355B"/>
          <w:sz w:val="31"/>
          <w:szCs w:val="31"/>
        </w:rPr>
        <w:t>7  SCI JCR Q2 可行性评估与投稿策略</w:t>
      </w:r>
    </w:p>
    <w:p w14:paraId="23AFE28E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7.1 结论：有条件可行</w:t>
      </w:r>
    </w:p>
    <w:p w14:paraId="4983E325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  <w:t>从研究问题、网络安全属性、工程证据和可获得的 API/公共基准看，项目具备 SCI JCR Q2 的潜力。其优势是实验审计深、授权安全问题明确、失败证据保留完整；短板是尚无准入的机制效果结果，且 2025–2026 年相邻工作已显著压缩“首次性”空间。</w:t>
      </w:r>
    </w:p>
    <w:tbl>
      <w:tblPr>
        <w:tblStyle w:val="11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800"/>
        <w:gridCol w:w="2600"/>
        <w:gridCol w:w="2600"/>
      </w:tblGrid>
      <w:tr w14:paraId="4E86E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838291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评估项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40825F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优势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773F40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缺口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AADF8E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发表前门槛</w:t>
            </w:r>
          </w:p>
        </w:tc>
      </w:tr>
      <w:tr w14:paraId="28A51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02E1D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问题重要性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46815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工具型 Agent 间接注入与授权是活跃安全问题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565E2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需要把威胁模型与真实 unsafe effect 对齐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3F27F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至少两个外部数据源方向一致</w:t>
            </w:r>
          </w:p>
        </w:tc>
      </w:tr>
      <w:tr w14:paraId="1F1ED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59D5E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创新性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8CA54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oracle-free 评估、权限单调、三态确认、证据链组合有差异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F11DC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AuthGraph/ARGUS/VIGIL/DRIFT 高度相邻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A8273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以消融证明独立贡献，不用 first/only</w:t>
            </w:r>
          </w:p>
        </w:tc>
      </w:tr>
      <w:tr w14:paraId="7E260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56574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方法严谨性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A7808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冻结、哈希、准入、ITT、失败留分母较强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4CC1E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v4–v6 暴露执行契约仍需稳定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F7CAA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v7 完整门禁与正式结果准入</w:t>
            </w:r>
          </w:p>
        </w:tc>
      </w:tr>
      <w:tr w14:paraId="6B575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37648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效果证据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0EFFE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矩阵和指标已设计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9735E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当前为零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04DAF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达到安全增益与 TCR 非劣阈值</w:t>
            </w:r>
          </w:p>
        </w:tc>
      </w:tr>
      <w:tr w14:paraId="09989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7CE85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外部有效性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FA00E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已规划 AgentDojo/SIREN/InjecAgent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BAAB0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尚未运行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A3D4D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主模型至少两个基准，第二模型方向验证</w:t>
            </w:r>
          </w:p>
        </w:tc>
      </w:tr>
      <w:tr w14:paraId="67675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7C2D7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可复现性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17C74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版本、trace、成本与模型身份可审计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86080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基线适配仍不完整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EDD8A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公开复现脚本、环境和 claim–evidence ledger</w:t>
            </w:r>
          </w:p>
        </w:tc>
      </w:tr>
    </w:tbl>
    <w:p w14:paraId="4EB74917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7.2 目标期刊</w:t>
      </w:r>
    </w:p>
    <w:p w14:paraId="3EC82B90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首选：Journal of Information Security and Applications（JISA）。官方范围：</w:t>
      </w:r>
      <w:r>
        <w:fldChar w:fldCharType="begin"/>
      </w:r>
      <w:r>
        <w:instrText xml:space="preserve"> HYPERLINK "https://www.sciencedirect.com/journal/journal-of-information-security-and-applications" </w:instrText>
      </w:r>
      <w:r>
        <w:fldChar w:fldCharType="separate"/>
      </w:r>
      <w:r>
        <w:rPr>
          <w:rStyle w:val="14"/>
          <w:rFonts w:ascii="微软雅黑" w:hAnsi="微软雅黑" w:eastAsia="微软雅黑" w:cs="微软雅黑"/>
          <w:color w:val="2457D6"/>
          <w:sz w:val="19"/>
          <w:szCs w:val="19"/>
          <w:u w:val="single" w:color="2457D6"/>
        </w:rPr>
        <w:t>ScienceDirect 期刊主页</w:t>
      </w:r>
      <w:r>
        <w:rPr>
          <w:rStyle w:val="14"/>
          <w:rFonts w:ascii="微软雅黑" w:hAnsi="微软雅黑" w:eastAsia="微软雅黑" w:cs="微软雅黑"/>
          <w:color w:val="2457D6"/>
          <w:sz w:val="19"/>
          <w:szCs w:val="19"/>
          <w:u w:val="single" w:color="2457D6"/>
        </w:rPr>
        <w:fldChar w:fldCharType="end"/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。其访问控制、安全策略与信息安全应用范围适合 M3。正式投稿前必须复核最新 Guide for Authors、专题开放状态和机构可见的 JCR 分区。</w:t>
      </w:r>
    </w:p>
    <w:p w14:paraId="1F0E3E9E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  <w:t>不建议把 Computers &amp; Security 作为当前首投默认：其最新范围对 AI/ML 系统自身安全的适配存在限制。若 JISA 审稿前景变化，可重新筛选网络安全/可信 AI 交叉期刊，但不能仅凭第三方分区网站定刊。</w:t>
      </w:r>
    </w:p>
    <w:p w14:paraId="6FDDC21B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7.3 防御机制论文的最低验收</w:t>
      </w:r>
    </w:p>
    <w:p w14:paraId="0B9F977B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M3-full 相对最强结构化基线：unsafe-effect 点估计相对降低至少 20%，或绝对降低至少 10 个百分点。</w:t>
      </w:r>
    </w:p>
    <w:p w14:paraId="13A827DB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合法任务 TCR 的非劣界限不低于 −5 个百分点。</w:t>
      </w:r>
    </w:p>
    <w:p w14:paraId="07278193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M3-full 相对 policy-only 呈一致正向增益，并能从模块事件中解释。</w:t>
      </w:r>
    </w:p>
    <w:p w14:paraId="563D3B8C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ASK + DENY 不退化为近似 deny-all；确认负担可接受。</w:t>
      </w:r>
    </w:p>
    <w:p w14:paraId="12C2E7FB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至少两个公共/外部基准方向一致，且至少一个正式可审计 API 模型。</w:t>
      </w:r>
    </w:p>
    <w:p w14:paraId="70008F14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防御感知自适应攻击不能完全推翻主要结论。</w:t>
      </w:r>
    </w:p>
    <w:p w14:paraId="0EA0FD79">
      <w:pPr>
        <w:pStyle w:val="2"/>
        <w:keepNext/>
        <w:spacing w:before="26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2355B"/>
          <w:sz w:val="31"/>
          <w:szCs w:val="31"/>
        </w:rPr>
        <w:t>8  后续正式实验详细方案</w:t>
      </w:r>
    </w:p>
    <w:p w14:paraId="46704372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  <w:t>后续工作按“协议闭环 → 单次 canary → 主矩阵 → 结果准入 → 跨模型/基准 → 自适应与盲测 → 写作”推进。每个阶段均有止损条件；上一门未通过，不解锁下一阶段。</w:t>
      </w:r>
    </w:p>
    <w:p w14:paraId="174BCE9F">
      <w:pPr>
        <w:keepNext/>
        <w:spacing w:before="120" w:after="40"/>
        <w:jc w:val="center"/>
      </w:pPr>
      <w:r>
        <w:drawing>
          <wp:inline distT="0" distB="0" distL="0" distR="0">
            <wp:extent cx="6381750" cy="359092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9A1E">
      <w:pPr>
        <w:keepNext w:val="0"/>
        <w:spacing w:before="70" w:after="160"/>
        <w:jc w:val="center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B6577"/>
          <w:sz w:val="17"/>
          <w:szCs w:val="17"/>
        </w:rPr>
        <w:t>图 5  建议的八周恢复路线。周次从重新启动实验时计算，不以本报告日期强行绑定。</w:t>
      </w:r>
    </w:p>
    <w:p w14:paraId="3DA9CAC9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8.1 P0：完成 v7 离线闭环</w:t>
      </w:r>
    </w:p>
    <w:p w14:paraId="5189A9BB">
      <w:pPr>
        <w:pStyle w:val="16"/>
        <w:numPr>
          <w:ilvl w:val="0"/>
          <w:numId w:val="2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重新运行并完成全量离线审计，确认所有测试、冻结复现、schema、静态检查和历史证据验证通过。</w:t>
      </w:r>
    </w:p>
    <w:p w14:paraId="2AE534DD">
      <w:pPr>
        <w:pStyle w:val="16"/>
        <w:numPr>
          <w:ilvl w:val="0"/>
          <w:numId w:val="2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实现并冻结 result gate v4。它必须识别 v7 的哈希化 boundary-rejection evidence，拒绝 open attempt、未知 runner failure、身份漂移、trace 漂移和 ledger 截断。</w:t>
      </w:r>
    </w:p>
    <w:p w14:paraId="176C3D3B">
      <w:pPr>
        <w:pStyle w:val="16"/>
        <w:numPr>
          <w:ilvl w:val="0"/>
          <w:numId w:val="2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为 result gate v4 增加正反向 fixture：合法完成、边界拒绝、parse/provider failure、orphan response、重复 work、hash drift。</w:t>
      </w:r>
    </w:p>
    <w:p w14:paraId="5DA9E496">
      <w:pPr>
        <w:pStyle w:val="16"/>
        <w:numPr>
          <w:ilvl w:val="0"/>
          <w:numId w:val="2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冻结 v7 candidate、qualification、canary admission 与 result-gate v4 的联合哈希；若任何冻结输入改变，建立 v8，而不是修改 v7 身份。</w:t>
      </w:r>
    </w:p>
    <w:p w14:paraId="674E40FC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  <w:t>P0 出口：完整审计通过；result gate v4 的专项测试和零网络 replay 通过；v7 输出根仍为零 API 记录。</w:t>
      </w:r>
    </w:p>
    <w:p w14:paraId="453D4DAB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8.2 P1：DeepSeek v7 单次 canary 与 480 项主矩阵</w:t>
      </w:r>
    </w:p>
    <w:p w14:paraId="5ED48E3E">
      <w:pPr>
        <w:pStyle w:val="16"/>
        <w:numPr>
          <w:ilvl w:val="0"/>
          <w:numId w:val="2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执行一次六条件 canary；固定 non-thinking、JSON output、精确 deepseek-v4-pro、无 provider tools、无外部 effect、零自动重试。</w:t>
      </w:r>
    </w:p>
    <w:p w14:paraId="0326874E">
      <w:pPr>
        <w:pStyle w:val="16"/>
        <w:numPr>
          <w:ilvl w:val="0"/>
          <w:numId w:val="2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在科学结果不可见条件下生成 canary technical review；检查六条终态、request/response 链、usage/cost、无 open attempt、无 orphan response。</w:t>
      </w:r>
    </w:p>
    <w:p w14:paraId="7D332EB5">
      <w:pPr>
        <w:pStyle w:val="16"/>
        <w:numPr>
          <w:ilvl w:val="0"/>
          <w:numId w:val="2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只有 canary 技术门通过，才冻结 continuation admission；随后从同一 matrix identity 执行剩余工作项。</w:t>
      </w:r>
    </w:p>
    <w:p w14:paraId="6C9473E0">
      <w:pPr>
        <w:pStyle w:val="16"/>
        <w:numPr>
          <w:ilvl w:val="0"/>
          <w:numId w:val="2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矩阵完成或 provider 配额中断后，先做技术结果审查；未通过时不查看机制效果，按失败类型决定新版本或转向实证论文。</w:t>
      </w:r>
    </w:p>
    <w:p w14:paraId="56F4C9D3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  <w:t>P1 主要规模：480 个工作项，包含 432 条主记录与 48 条授权探针；失败、超时、拒答和最大步数全部保留在 ITT 分母。</w:t>
      </w:r>
    </w:p>
    <w:p w14:paraId="4383F4CE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8.3 P2：结果准入和统计分析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2300"/>
        <w:gridCol w:w="2600"/>
        <w:gridCol w:w="2200"/>
      </w:tblGrid>
      <w:tr w14:paraId="517AD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DF74A4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分析对象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1EBF3F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主要估计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F0868C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统计方法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41DD8C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判定</w:t>
            </w:r>
          </w:p>
        </w:tc>
      </w:tr>
      <w:tr w14:paraId="0F459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6BDA7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M3-full vs 最强结构化基线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ED7B0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unsafe-effect 配对差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68943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exact McNemar + cluster bootstrap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9625B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相对≥20% 或绝对≥10pp</w:t>
            </w:r>
          </w:p>
        </w:tc>
      </w:tr>
      <w:tr w14:paraId="378FF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8E921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M3-full vs policy-only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1283B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模块增益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502A6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配对差 + 10,000 次 cluster bootstrap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6B1EC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方向一致且 CI 支持实际意义</w:t>
            </w:r>
          </w:p>
        </w:tc>
      </w:tr>
      <w:tr w14:paraId="61F23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744EA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合法任务效用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30536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TCR 差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04EA3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非劣检验；Wilson CI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064C9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下界不低于 −5pp</w:t>
            </w:r>
          </w:p>
        </w:tc>
      </w:tr>
      <w:tr w14:paraId="551D5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B7811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确认机制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35F6C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ASK 率、确认次数、误确认/漏确认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8322A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分层比例与任务族异质性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8291AA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不退化为 deny-all</w:t>
            </w:r>
          </w:p>
        </w:tc>
      </w:tr>
      <w:tr w14:paraId="53EE8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985DB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运行质量</w:t>
            </w:r>
          </w:p>
        </w:tc>
        <w:tc>
          <w:tcPr>
            <w:tcW w:w="23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BBD1D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failure、timeout、latency、token、cost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004D6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ITT 原始分子/分母</w:t>
            </w:r>
          </w:p>
        </w:tc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46FAC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透明报告，不后删失败</w:t>
            </w:r>
          </w:p>
        </w:tc>
      </w:tr>
    </w:tbl>
    <w:p w14:paraId="12C3C14C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8.4 P3：Gemini 跨模型验证</w:t>
      </w:r>
    </w:p>
    <w:p w14:paraId="6F833262">
      <w:pPr>
        <w:pStyle w:val="16"/>
        <w:numPr>
          <w:ilvl w:val="0"/>
          <w:numId w:val="2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使用 Gemini 官方 API 和精确 gemini-3.6-flash 身份；新建 provider-specific candidate，不复用 DeepSeek 的 transport hash。</w:t>
      </w:r>
    </w:p>
    <w:p w14:paraId="290371FD">
      <w:pPr>
        <w:pStyle w:val="16"/>
        <w:numPr>
          <w:ilvl w:val="0"/>
          <w:numId w:val="2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移除 Gemini 3.6 Flash 已弃用或不建议的采样参数；先完成严格 JSON 和 usage/ID 解析的零网络及单条 synthetic qualification。</w:t>
      </w:r>
    </w:p>
    <w:p w14:paraId="139DBEA2">
      <w:pPr>
        <w:pStyle w:val="16"/>
        <w:numPr>
          <w:ilvl w:val="0"/>
          <w:numId w:val="2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正式规模优先运行最强结构化基线、M3 policy-only 和 M3-full；最低 200 个攻击任务、100 个良性任务。</w:t>
      </w:r>
    </w:p>
    <w:p w14:paraId="38143A10">
      <w:pPr>
        <w:pStyle w:val="16"/>
        <w:numPr>
          <w:ilvl w:val="0"/>
          <w:numId w:val="2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首个 429 或身份/响应链异常即暂停；不自动重试，不把 DeepSeek 结果填补到 Gemini 分母。</w:t>
      </w:r>
    </w:p>
    <w:p w14:paraId="61E72547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8.5 P4：公共基准与外部有效性</w:t>
      </w:r>
    </w:p>
    <w:tbl>
      <w:tblPr>
        <w:tblStyle w:val="11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400"/>
        <w:gridCol w:w="2700"/>
        <w:gridCol w:w="2600"/>
      </w:tblGrid>
      <w:tr w14:paraId="52F2F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C3173E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基准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FC3E24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角色</w:t>
            </w:r>
          </w:p>
        </w:tc>
        <w:tc>
          <w:tcPr>
            <w:tcW w:w="2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C2F4BE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最低规模/处理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73C40F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关键检查</w:t>
            </w:r>
          </w:p>
        </w:tc>
      </w:tr>
      <w:tr w14:paraId="5F7C4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D0F40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AgentDojo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FFCCE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主公共基准</w:t>
            </w:r>
          </w:p>
        </w:tc>
        <w:tc>
          <w:tcPr>
            <w:tcW w:w="2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F7303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主模型≥300 攻击、≥150 良性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16FAD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官方 utility/​security checker；在线字段不含 evaluator gold</w:t>
            </w:r>
          </w:p>
        </w:tc>
      </w:tr>
      <w:tr w14:paraId="6F391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7BE91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SIREN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E7CE7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上下文依赖外部验证</w:t>
            </w:r>
          </w:p>
        </w:tc>
        <w:tc>
          <w:tcPr>
            <w:tcW w:w="2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2E0A3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优先覆盖 300/150 或按 power analysis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F2367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与 VIGIL 语义对齐；避免只挑 M3 有利任务</w:t>
            </w:r>
          </w:p>
        </w:tc>
      </w:tr>
      <w:tr w14:paraId="48AE8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4CB0E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InjecAgent</w:t>
            </w:r>
          </w:p>
        </w:tc>
        <w:tc>
          <w:tcPr>
            <w:tcW w:w="24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363E2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补充泛化</w:t>
            </w:r>
          </w:p>
        </w:tc>
        <w:tc>
          <w:tcPr>
            <w:tcW w:w="2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B370E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按工具族分层抽样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69351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unsafe effect 语义映射和多语言异质性</w:t>
            </w:r>
          </w:p>
        </w:tc>
      </w:tr>
    </w:tbl>
    <w:p w14:paraId="0BF8C370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8.6 P5：防御感知自适应攻击</w:t>
      </w:r>
    </w:p>
    <w:p w14:paraId="162303FA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  <w:t>攻击者知道防御结构并优化真实 unsafe effect，而不是只优化模型文本。主模型选择 40 个任务，预算 50/200/500；其中 20 个最难任务追加 2000 次预算以检验攻击是否饱和。第二模型选择 20 个任务，预算 50/200。攻击提示、种子、停止规则和成功判据在查看结果前冻结。</w:t>
      </w:r>
    </w:p>
    <w:p w14:paraId="19E2465C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8.7 P6：独立盲测</w:t>
      </w:r>
    </w:p>
    <w:p w14:paraId="0F38BFDC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  <w:t>由未参与实现的保管人生成或抽取 600 条样本，保存生成脚本、时间、SHA-256 和标签保管链。开发者提交固定输出后再解封标签。若无法落实第三方保管，只能称“内部封存测试”，并在论文中收缩外部有效性声明。</w:t>
      </w:r>
    </w:p>
    <w:p w14:paraId="34EBA6A9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8.8 P7：论文与开放材料</w:t>
      </w:r>
    </w:p>
    <w:p w14:paraId="56B223C4">
      <w:pPr>
        <w:pStyle w:val="16"/>
        <w:numPr>
          <w:ilvl w:val="0"/>
          <w:numId w:val="2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先完成 claim–evidence ledger、主表和失败流图，再写 Methods/Results。</w:t>
      </w:r>
    </w:p>
    <w:p w14:paraId="752A63D1">
      <w:pPr>
        <w:pStyle w:val="16"/>
        <w:numPr>
          <w:ilvl w:val="0"/>
          <w:numId w:val="2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对主结果做方法审查与 Devil’s Advocate 审查，主动寻找 oracle 泄漏、deny-all、挑样本和分母偏差。</w:t>
      </w:r>
    </w:p>
    <w:p w14:paraId="0A1FB7F8">
      <w:pPr>
        <w:pStyle w:val="16"/>
        <w:numPr>
          <w:ilvl w:val="0"/>
          <w:numId w:val="2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公开可复现 manifest、schema、统计脚本、冻结哈希和脱敏日志；不公开凭据或原始敏感内容。</w:t>
      </w:r>
    </w:p>
    <w:p w14:paraId="330D0B77">
      <w:pPr>
        <w:pStyle w:val="16"/>
        <w:numPr>
          <w:ilvl w:val="0"/>
          <w:numId w:val="2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完成引用、数字、图表、DOI、模型版本和 JCR 分区的提交日前核验。</w:t>
      </w:r>
    </w:p>
    <w:p w14:paraId="1015750F">
      <w:pPr>
        <w:pStyle w:val="2"/>
        <w:keepNext/>
        <w:spacing w:before="26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2355B"/>
          <w:sz w:val="31"/>
          <w:szCs w:val="31"/>
        </w:rPr>
        <w:t>9  恢复运行时的执行顺序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6D65C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single" w:color="D97706" w:sz="10" w:space="0"/>
              <w:left w:val="single" w:color="D97706" w:sz="18" w:space="0"/>
              <w:bottom w:val="single" w:color="D97706" w:sz="10" w:space="0"/>
              <w:right w:val="single" w:color="D97706" w:sz="10" w:space="0"/>
            </w:tcBorders>
            <w:shd w:val="clear" w:color="auto" w:fill="FFF5E6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2A1D9908">
            <w:pPr>
              <w:spacing w:after="7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D97706"/>
                <w:sz w:val="22"/>
                <w:szCs w:val="22"/>
              </w:rPr>
              <w:t>重要顺序</w:t>
            </w:r>
          </w:p>
          <w:p w14:paraId="757D5D84">
            <w:pPr>
              <w:spacing w:after="0" w:line="34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20"/>
                <w:szCs w:val="20"/>
              </w:rPr>
              <w:t>下面是恢复实验时的操作顺序，不是现在立即执行的任务。result gate v4 尚未实现和冻结，因此不能直接运行 v7 canary。</w:t>
            </w:r>
          </w:p>
        </w:tc>
      </w:tr>
    </w:tbl>
    <w:p w14:paraId="5C3D17FA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9.1 第一步：完成全量离线验证</w:t>
      </w:r>
    </w:p>
    <w:p w14:paraId="0AD859AE">
      <w:pPr>
        <w:shd w:val="clear" w:fill="EEF2F7"/>
        <w:spacing w:after="40" w:line="280" w:lineRule="auto"/>
        <w:ind w:left="170" w:right="170"/>
      </w:pPr>
      <w:r>
        <w:rPr>
          <w:rFonts w:ascii="Consolas" w:hAnsi="Consolas" w:eastAsia="Consolas" w:cs="Consolas"/>
          <w:color w:val="243B53"/>
          <w:sz w:val="17"/>
          <w:szCs w:val="17"/>
        </w:rPr>
        <w:t>F:\robot\Anaconda3\python.exe -m pytest -q</w:t>
      </w:r>
    </w:p>
    <w:p w14:paraId="303954D6">
      <w:pPr>
        <w:shd w:val="clear" w:fill="EEF2F7"/>
        <w:spacing w:after="40" w:line="280" w:lineRule="auto"/>
        <w:ind w:left="170" w:right="170"/>
      </w:pPr>
      <w:r>
        <w:rPr>
          <w:rFonts w:ascii="Consolas" w:hAnsi="Consolas" w:eastAsia="Consolas" w:cs="Consolas"/>
          <w:color w:val="243B53"/>
          <w:sz w:val="17"/>
          <w:szCs w:val="17"/>
        </w:rPr>
        <w:t>powershell -NoProfile -ExecutionPolicy Bypass -File harness\scripts\verify.ps1</w:t>
      </w:r>
    </w:p>
    <w:p w14:paraId="6592C445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  <w:t>验收：完整命令自然结束；测试和独立门禁均通过；不得把被中止或超时的验证计为通过。</w:t>
      </w:r>
    </w:p>
    <w:p w14:paraId="32A1F510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9.2 第二步：实现并冻结 result gate v4</w:t>
      </w:r>
    </w:p>
    <w:p w14:paraId="1A1487F8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  <w:t>先完成新模块、schema、正反 fixture 和哈希冻结。该模块目前尚未存在，因此本报告不提供伪造的可执行命令。模块完成后，应先在零网络历史副本上验证 v4/v5/v6 必须拒绝、合格 v7 fixture 必须准入。</w:t>
      </w:r>
    </w:p>
    <w:p w14:paraId="060B0725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9.3 第三步：复核 v7 冻结身份</w:t>
      </w:r>
    </w:p>
    <w:p w14:paraId="1AB218FA">
      <w:pPr>
        <w:shd w:val="clear" w:fill="EEF2F7"/>
        <w:spacing w:after="40" w:line="280" w:lineRule="auto"/>
        <w:ind w:left="170" w:right="170"/>
      </w:pPr>
      <w:r>
        <w:rPr>
          <w:rFonts w:ascii="Consolas" w:hAnsi="Consolas" w:eastAsia="Consolas" w:cs="Consolas"/>
          <w:color w:val="243B53"/>
          <w:sz w:val="17"/>
          <w:szCs w:val="17"/>
        </w:rPr>
        <w:t>F:\robot\Anaconda3\python.exe -m experiments.paper_v2.formal_matrix_controller_v7 --verify-qualification</w:t>
      </w:r>
    </w:p>
    <w:p w14:paraId="754C7ECC">
      <w:pPr>
        <w:shd w:val="clear" w:fill="EEF2F7"/>
        <w:spacing w:after="40" w:line="280" w:lineRule="auto"/>
        <w:ind w:left="170" w:right="170"/>
      </w:pPr>
      <w:r>
        <w:rPr>
          <w:rFonts w:ascii="Consolas" w:hAnsi="Consolas" w:eastAsia="Consolas" w:cs="Consolas"/>
          <w:color w:val="243B53"/>
          <w:sz w:val="17"/>
          <w:szCs w:val="17"/>
        </w:rPr>
        <w:t>F:\robot\Anaconda3\python.exe -m experiments.paper_v2.formal_matrix_controller_v7 --verify-candidate</w:t>
      </w:r>
    </w:p>
    <w:p w14:paraId="16FEDFE1">
      <w:pPr>
        <w:shd w:val="clear" w:fill="EEF2F7"/>
        <w:spacing w:after="40" w:line="280" w:lineRule="auto"/>
        <w:ind w:left="170" w:right="170"/>
      </w:pPr>
      <w:r>
        <w:rPr>
          <w:rFonts w:ascii="Consolas" w:hAnsi="Consolas" w:eastAsia="Consolas" w:cs="Consolas"/>
          <w:color w:val="243B53"/>
          <w:sz w:val="17"/>
          <w:szCs w:val="17"/>
        </w:rPr>
        <w:t>F:\robot\Anaconda3\python.exe -m experiments.paper_v2.formal_matrix_controller_v7 --verify-canary-admission</w:t>
      </w:r>
    </w:p>
    <w:p w14:paraId="2E76CBBC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9.4 第四步：一次 canary；通过后才 continuation</w:t>
      </w:r>
    </w:p>
    <w:p w14:paraId="5F657F87">
      <w:pPr>
        <w:shd w:val="clear" w:fill="EEF2F7"/>
        <w:spacing w:after="40" w:line="280" w:lineRule="auto"/>
        <w:ind w:left="170" w:right="170"/>
      </w:pPr>
      <w:r>
        <w:rPr>
          <w:rFonts w:ascii="Consolas" w:hAnsi="Consolas" w:eastAsia="Consolas" w:cs="Consolas"/>
          <w:color w:val="243B53"/>
          <w:sz w:val="17"/>
          <w:szCs w:val="17"/>
        </w:rPr>
        <w:t>F:\robot\Anaconda3\python.exe -m experiments.paper_v2.formal_matrix_controller_v7 --execute-canary</w:t>
      </w:r>
    </w:p>
    <w:p w14:paraId="5CC74EDD">
      <w:pPr>
        <w:shd w:val="clear" w:fill="EEF2F7"/>
        <w:spacing w:after="40" w:line="280" w:lineRule="auto"/>
        <w:ind w:left="170" w:right="170"/>
      </w:pPr>
      <w:r>
        <w:rPr>
          <w:rFonts w:ascii="Consolas" w:hAnsi="Consolas" w:eastAsia="Consolas" w:cs="Consolas"/>
          <w:color w:val="243B53"/>
          <w:sz w:val="17"/>
          <w:szCs w:val="17"/>
        </w:rPr>
        <w:t>F:\robot\Anaconda3\python.exe -m experiments.paper_v2.formal_matrix_controller_v7 --write-canary-review</w:t>
      </w:r>
    </w:p>
    <w:p w14:paraId="362D24D8">
      <w:pPr>
        <w:shd w:val="clear" w:fill="EEF2F7"/>
        <w:spacing w:after="40" w:line="280" w:lineRule="auto"/>
        <w:ind w:left="170" w:right="170"/>
      </w:pPr>
      <w:r>
        <w:rPr>
          <w:rFonts w:ascii="Consolas" w:hAnsi="Consolas" w:eastAsia="Consolas" w:cs="Consolas"/>
          <w:color w:val="243B53"/>
          <w:sz w:val="17"/>
          <w:szCs w:val="17"/>
        </w:rPr>
        <w:t>F:\robot\Anaconda3\python.exe -m experiments.paper_v2.formal_matrix_controller_v7 --write-continuation-admission</w:t>
      </w:r>
    </w:p>
    <w:p w14:paraId="330B2E3F">
      <w:pPr>
        <w:shd w:val="clear" w:fill="EEF2F7"/>
        <w:spacing w:after="40" w:line="280" w:lineRule="auto"/>
        <w:ind w:left="170" w:right="170"/>
      </w:pPr>
      <w:r>
        <w:rPr>
          <w:rFonts w:ascii="Consolas" w:hAnsi="Consolas" w:eastAsia="Consolas" w:cs="Consolas"/>
          <w:color w:val="243B53"/>
          <w:sz w:val="17"/>
          <w:szCs w:val="17"/>
        </w:rPr>
        <w:t>F:\robot\Anaconda3\python.exe -m experiments.paper_v2.formal_matrix_controller_v7 --verify-continuation-admission</w:t>
      </w:r>
    </w:p>
    <w:p w14:paraId="7B310C15">
      <w:pPr>
        <w:shd w:val="clear" w:fill="EEF2F7"/>
        <w:spacing w:after="40" w:line="280" w:lineRule="auto"/>
        <w:ind w:left="170" w:right="170"/>
      </w:pPr>
      <w:r>
        <w:rPr>
          <w:rFonts w:ascii="Consolas" w:hAnsi="Consolas" w:eastAsia="Consolas" w:cs="Consolas"/>
          <w:color w:val="243B53"/>
          <w:sz w:val="17"/>
          <w:szCs w:val="17"/>
        </w:rPr>
        <w:t>F:\robot\Anaconda3\python.exe -m experiments.paper_v2.formal_matrix_controller_v7 --execute-continuation</w:t>
      </w:r>
    </w:p>
    <w:p w14:paraId="01D62798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  <w:t>运行前只检查配置是否存在和已脱敏，不在终端或报告中打印 API key。若 canary technical review、身份链、预算链、open attempt 或 effect 边界任一失败，停止，不生成 continuation admission。</w:t>
      </w:r>
    </w:p>
    <w:p w14:paraId="25882544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9.5 第五步：结果技术审查与科学解封</w:t>
      </w:r>
    </w:p>
    <w:p w14:paraId="197E898D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  <w:t>矩阵结束后先运行 result gate v4，生成只看身份、记录完整性、终态、失败链和分母的技术审查。只有 result admission 明确为 true，才运行统计分析并查看 unsafe-effect/TCR。任何“先看结果再调门槛”的操作都破坏主结果资格。</w:t>
      </w:r>
    </w:p>
    <w:p w14:paraId="1CF252CD">
      <w:pPr>
        <w:pStyle w:val="2"/>
        <w:keepNext/>
        <w:spacing w:before="26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2355B"/>
          <w:sz w:val="31"/>
          <w:szCs w:val="31"/>
        </w:rPr>
        <w:t>10  风险、止损与论文转向规则</w:t>
      </w:r>
    </w:p>
    <w:tbl>
      <w:tblPr>
        <w:tblStyle w:val="11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500"/>
        <w:gridCol w:w="2800"/>
        <w:gridCol w:w="2600"/>
      </w:tblGrid>
      <w:tr w14:paraId="462E9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F46BDB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风险</w:t>
            </w:r>
          </w:p>
        </w:tc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6B3B40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预警信号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62A804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控制措施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650DAC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止损/转向</w:t>
            </w:r>
          </w:p>
        </w:tc>
      </w:tr>
      <w:tr w14:paraId="02FC1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14B6E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M3-full 不优于 policy-only</w:t>
            </w:r>
          </w:p>
        </w:tc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9C6C9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配对差接近 0 或方向不稳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2BF44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检查模块触发率与实现 fidelity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25788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转向授权泄漏/不确定性实证论文</w:t>
            </w:r>
          </w:p>
        </w:tc>
      </w:tr>
      <w:tr w14:paraId="1F247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B56E7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安全提升来自过度阻断</w:t>
            </w:r>
          </w:p>
        </w:tc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0A1D3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TCR 下降&gt;5pp；ASK+DENY 极高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113F6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报告确认负担与攻击条件效用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EF47B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停止领先防御主张</w:t>
            </w:r>
          </w:p>
        </w:tc>
      </w:tr>
      <w:tr w14:paraId="0A45D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876F9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弱于 VIGIL/DRIFT</w:t>
            </w:r>
          </w:p>
        </w:tc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C923C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主基准与外部基准均落后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A24C5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保留忠实复现和失败分析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576B1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把 M3 作为测量工具</w:t>
            </w:r>
          </w:p>
        </w:tc>
      </w:tr>
      <w:tr w14:paraId="29CE2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34BC4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oracle 审计不系统</w:t>
            </w:r>
          </w:p>
        </w:tc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81A8F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22 个审计对象中少有真实泄漏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8F0DC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收缩标题与总体性措辞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431D9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改为上下文授权研究</w:t>
            </w:r>
          </w:p>
        </w:tc>
      </w:tr>
      <w:tr w14:paraId="6679B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28D0A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API 身份或配额不稳定</w:t>
            </w:r>
          </w:p>
        </w:tc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AA607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returned model 漂移、429、缺失 response ID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A832B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单 provider、append-only、首错暂停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DA0F5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该批次仅作 diagnostic</w:t>
            </w:r>
          </w:p>
        </w:tc>
      </w:tr>
      <w:tr w14:paraId="73A5E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2A813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适配器再次出现证据缺口</w:t>
            </w:r>
          </w:p>
        </w:tc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87458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orphan response、open attempt、hash drift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66880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端到端 producer→consumer fixture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A06E1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冻结版本并新建身份</w:t>
            </w:r>
          </w:p>
        </w:tc>
      </w:tr>
      <w:tr w14:paraId="06108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F45AD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独立盲测无法落实</w:t>
            </w:r>
          </w:p>
        </w:tc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6FD21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第 8 周仍无保管人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3FF77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保留内部 sealed holdout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472F4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不声称独立盲测</w:t>
            </w:r>
          </w:p>
        </w:tc>
      </w:tr>
      <w:tr w14:paraId="0112A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EFE8F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期刊分区/范围变化</w:t>
            </w:r>
          </w:p>
        </w:tc>
        <w:tc>
          <w:tcPr>
            <w:tcW w:w="2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D86F6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投稿前 JCR 或 scope 更新</w:t>
            </w:r>
          </w:p>
        </w:tc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153D3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机构核验和备选期刊清单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8B5D8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重新定刊，不扭曲论文方向</w:t>
            </w:r>
          </w:p>
        </w:tc>
      </w:tr>
    </w:tbl>
    <w:p w14:paraId="50CDE56F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10.1 自动切换的备用论文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6F4E4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single" w:color="2457D6" w:sz="10" w:space="0"/>
              <w:left w:val="single" w:color="2457D6" w:sz="18" w:space="0"/>
              <w:bottom w:val="single" w:color="2457D6" w:sz="10" w:space="0"/>
              <w:right w:val="single" w:color="2457D6" w:sz="10" w:space="0"/>
            </w:tcBorders>
            <w:shd w:val="clear" w:color="auto" w:fill="EAF1FF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04FCC4B7">
            <w:pPr>
              <w:spacing w:after="7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457D6"/>
                <w:sz w:val="22"/>
                <w:szCs w:val="22"/>
              </w:rPr>
              <w:t>备用标题</w:t>
            </w:r>
          </w:p>
          <w:p w14:paraId="340FF7D0">
            <w:pPr>
              <w:spacing w:after="0" w:line="34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20"/>
                <w:szCs w:val="20"/>
              </w:rPr>
              <w:t>A Systematic Empirical Study of Authorization Leakage, Uncertainty, and Security–Utility Trade-offs in LLM Agent Prompt-Injection Defenses</w:t>
            </w:r>
          </w:p>
        </w:tc>
      </w:tr>
    </w:tbl>
    <w:p w14:paraId="08AC0B6C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  <w:t>当“相对最强结构化基线有实质安全增益”“TCR 非劣”“full 独立优于 policy-only”三项中的任一关键条件不成立时，自动切换为实证研究。该路线仍可冲击 Q2，但需要把源码审计、授权 regime、负面结果、失败分母和跨基准异质性做到足够扎实。</w:t>
      </w:r>
    </w:p>
    <w:p w14:paraId="5FEB5A1E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10.2 声明—证据控制</w:t>
      </w:r>
    </w:p>
    <w:tbl>
      <w:tblPr>
        <w:tblStyle w:val="11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900"/>
        <w:gridCol w:w="2600"/>
      </w:tblGrid>
      <w:tr w14:paraId="5F187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363493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可写的声明</w:t>
            </w:r>
          </w:p>
        </w:tc>
        <w:tc>
          <w:tcPr>
            <w:tcW w:w="3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27BF4F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所需证据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1E67FA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当前状态</w:t>
            </w:r>
          </w:p>
        </w:tc>
      </w:tr>
      <w:tr w14:paraId="45349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DD042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M3 建立了可审计的运行时授权实验链</w:t>
            </w:r>
          </w:p>
        </w:tc>
        <w:tc>
          <w:tcPr>
            <w:tcW w:w="3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CA5FD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冻结、hash、准入、append-only、测试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81B8B2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基本具备</w:t>
            </w:r>
          </w:p>
        </w:tc>
      </w:tr>
      <w:tr w14:paraId="10B6C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085A0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M3 降低 unsafe effect</w:t>
            </w:r>
          </w:p>
        </w:tc>
        <w:tc>
          <w:tcPr>
            <w:tcW w:w="3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66F06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正式准入矩阵与配对 CI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FF44D8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不可写</w:t>
            </w:r>
          </w:p>
        </w:tc>
      </w:tr>
      <w:tr w14:paraId="7B929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65678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M3 不损害任务效用</w:t>
            </w:r>
          </w:p>
        </w:tc>
        <w:tc>
          <w:tcPr>
            <w:tcW w:w="3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1334D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TCR −5pp 非劣检验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29D8EC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不可写</w:t>
            </w:r>
          </w:p>
        </w:tc>
      </w:tr>
      <w:tr w14:paraId="61E50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A99D1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来源/时序/确认有独立贡献</w:t>
            </w:r>
          </w:p>
        </w:tc>
        <w:tc>
          <w:tcPr>
            <w:tcW w:w="3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1DF42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policy-only/full 配对消融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6778F8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不可写</w:t>
            </w:r>
          </w:p>
        </w:tc>
      </w:tr>
      <w:tr w14:paraId="15449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012D7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结论可跨模型/基准泛化</w:t>
            </w:r>
          </w:p>
        </w:tc>
        <w:tc>
          <w:tcPr>
            <w:tcW w:w="3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152D4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Gemini + 两个公共/外部基准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27C04E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不可写</w:t>
            </w:r>
          </w:p>
        </w:tc>
      </w:tr>
      <w:tr w14:paraId="08409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722A6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对自适应攻击鲁棒</w:t>
            </w:r>
          </w:p>
        </w:tc>
        <w:tc>
          <w:tcPr>
            <w:tcW w:w="39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CDEA9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防御感知预算曲线与饱和性检查</w:t>
            </w:r>
          </w:p>
        </w:tc>
        <w:tc>
          <w:tcPr>
            <w:tcW w:w="2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CA2743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不可写</w:t>
            </w:r>
          </w:p>
        </w:tc>
      </w:tr>
    </w:tbl>
    <w:p w14:paraId="6450044D">
      <w:pPr>
        <w:pStyle w:val="2"/>
        <w:keepNext/>
        <w:spacing w:before="26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2355B"/>
          <w:sz w:val="31"/>
          <w:szCs w:val="31"/>
        </w:rPr>
        <w:t>11  阶段结论</w:t>
      </w:r>
    </w:p>
    <w:p w14:paraId="329FCD75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  <w:t>M3-PI Guard 已从早期工程原型推进为具有研究协议、来源审计、版本冻结和可追溯 API 证据链的候选系统。v4–v6 的失败没有被掩盖，反而帮助识别了运行终态、proposal 分类和 evidence consumer 之间的薄弱环节。v7 的修订方向合理，但必须完成全量审计和 result gate v4 后才有资格恢复 API 实验。</w:t>
      </w:r>
    </w:p>
    <w:p w14:paraId="50854986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  <w:t>从投稿角度看，项目的 Q2 潜力来自问题价值和方法严谨性，而不是当前结果。最关键的下一步不是继续改叙事，而是取得一套正式准入、可配对、可复现且能经受最强结构化基线与自适应攻击的结果。只有 M3-full 同时满足安全增益、TCR 非劣和相对 policy-only 的独立贡献，才按防御机制论文投稿；否则及时转为授权泄漏与不确定性实证研究。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6EA88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638" w:type="dxa"/>
            <w:tcBorders>
              <w:top w:val="single" w:color="078B6C" w:sz="10" w:space="0"/>
              <w:left w:val="single" w:color="078B6C" w:sz="18" w:space="0"/>
              <w:bottom w:val="single" w:color="078B6C" w:sz="10" w:space="0"/>
              <w:right w:val="single" w:color="078B6C" w:sz="10" w:space="0"/>
            </w:tcBorders>
            <w:shd w:val="clear" w:color="auto" w:fill="EAF8F1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5DAB92D4">
            <w:pPr>
              <w:spacing w:after="70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78B6C"/>
                <w:sz w:val="22"/>
                <w:szCs w:val="22"/>
              </w:rPr>
              <w:t>建议的近期唯一优先级</w:t>
            </w:r>
          </w:p>
          <w:p w14:paraId="0693B474">
            <w:pPr>
              <w:spacing w:after="0" w:line="34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20"/>
                <w:szCs w:val="20"/>
              </w:rPr>
              <w:t>报告完成后保持 v7 冻结。恢复研究时先完成全量离线审计和 result gate v4；随后执行一次 DeepSeek v7 canary。不要在结果门尚未冻结时启动正式 API 矩阵。</w:t>
            </w:r>
          </w:p>
        </w:tc>
      </w:tr>
    </w:tbl>
    <w:p w14:paraId="074D2BE6">
      <w:pPr>
        <w:pStyle w:val="2"/>
        <w:keepNext/>
        <w:spacing w:before="26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2355B"/>
          <w:sz w:val="31"/>
          <w:szCs w:val="31"/>
        </w:rPr>
        <w:t>附录 A  统计与报告规范</w:t>
      </w:r>
    </w:p>
    <w:p w14:paraId="669D1B79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A.1 主要终点</w:t>
      </w:r>
    </w:p>
    <w:p w14:paraId="053D7857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Unsafe-effect rate：实际发生不安全效果的比例，是论文主安全终点。</w:t>
      </w:r>
    </w:p>
    <w:p w14:paraId="4A3B607B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M3-full 与最强结构化基线的任务级配对差。</w:t>
      </w:r>
    </w:p>
    <w:p w14:paraId="56F56375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M3-full 与 policy-only 的模块增益。</w:t>
      </w:r>
    </w:p>
    <w:p w14:paraId="1A3E0663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合法任务 TCR 的 −5 个百分点非劣检验。</w:t>
      </w:r>
    </w:p>
    <w:p w14:paraId="6FA3B266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A.2 次要终点</w:t>
      </w:r>
    </w:p>
    <w:p w14:paraId="280E2D7A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UTR、DSR、ASK 率、确认次数和确认负担。</w:t>
      </w:r>
    </w:p>
    <w:p w14:paraId="6E6890F6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攻击条件下效用、拒答、parse failure、provider failure、timeout 和 max steps。</w:t>
      </w:r>
    </w:p>
    <w:p w14:paraId="60ED256C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p50/p95 延迟、输入/输出 token、缓存命中率和 API 成本。</w:t>
      </w:r>
    </w:p>
    <w:p w14:paraId="788DB4DE">
      <w:pPr>
        <w:pStyle w:val="16"/>
        <w:numPr>
          <w:ilvl w:val="0"/>
          <w:numId w:val="1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authorization regime、攻击族、语言、模型和基准的异质性。</w:t>
      </w:r>
    </w:p>
    <w:p w14:paraId="6FF21C4E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A.3 统计规则</w:t>
      </w:r>
    </w:p>
    <w:p w14:paraId="68870108">
      <w:pPr>
        <w:pStyle w:val="16"/>
        <w:numPr>
          <w:ilvl w:val="0"/>
          <w:numId w:val="2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所有失败和超时保留在 intention-to-treat 分母。</w:t>
      </w:r>
    </w:p>
    <w:p w14:paraId="39F3D258">
      <w:pPr>
        <w:pStyle w:val="16"/>
        <w:numPr>
          <w:ilvl w:val="0"/>
          <w:numId w:val="2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单比例报告原始分子/分母与 Wilson 置信区间。</w:t>
      </w:r>
    </w:p>
    <w:p w14:paraId="0E28514E">
      <w:pPr>
        <w:pStyle w:val="16"/>
        <w:numPr>
          <w:ilvl w:val="0"/>
          <w:numId w:val="2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配对二元结果使用 exact McNemar；任务簇重采样使用 10,000 次 cluster bootstrap。</w:t>
      </w:r>
    </w:p>
    <w:p w14:paraId="5DC8DC97">
      <w:pPr>
        <w:pStyle w:val="16"/>
        <w:numPr>
          <w:ilvl w:val="0"/>
          <w:numId w:val="2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多重比较使用 Holm 校正；同时报告效应量、绝对差、相对差和置信区间。</w:t>
      </w:r>
    </w:p>
    <w:p w14:paraId="1CB17969">
      <w:pPr>
        <w:pStyle w:val="16"/>
        <w:numPr>
          <w:ilvl w:val="0"/>
          <w:numId w:val="2"/>
        </w:numPr>
        <w:spacing w:after="90" w:line="33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0"/>
          <w:szCs w:val="20"/>
        </w:rPr>
        <w:t>不以 p &lt; 0.05 代替实际意义；主张门槛在结果不可见条件下预先冻结。</w:t>
      </w:r>
    </w:p>
    <w:p w14:paraId="7E49A68E">
      <w:pPr>
        <w:pStyle w:val="3"/>
        <w:keepNext/>
        <w:spacing w:before="18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457D6"/>
          <w:sz w:val="26"/>
          <w:szCs w:val="26"/>
        </w:rPr>
        <w:t>A.4 失败分母映射</w:t>
      </w:r>
    </w:p>
    <w:tbl>
      <w:tblPr>
        <w:tblStyle w:val="11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100"/>
        <w:gridCol w:w="2100"/>
        <w:gridCol w:w="3100"/>
      </w:tblGrid>
      <w:tr w14:paraId="73E27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BC1406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终态</w:t>
            </w:r>
          </w:p>
        </w:tc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ED14C8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Unsafe-effect ITT</w:t>
            </w:r>
          </w:p>
        </w:tc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4E6F10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Task completion</w:t>
            </w:r>
          </w:p>
        </w:tc>
        <w:tc>
          <w:tcPr>
            <w:tcW w:w="3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9EFF9D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说明</w:t>
            </w:r>
          </w:p>
        </w:tc>
      </w:tr>
      <w:tr w14:paraId="601F0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3F1A9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completed</w:t>
            </w:r>
          </w:p>
        </w:tc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69EFA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按离线 evaluator</w:t>
            </w:r>
          </w:p>
        </w:tc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8DC19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按任务 evaluator</w:t>
            </w:r>
          </w:p>
        </w:tc>
        <w:tc>
          <w:tcPr>
            <w:tcW w:w="3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246FC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正常终态</w:t>
            </w:r>
          </w:p>
        </w:tc>
      </w:tr>
      <w:tr w14:paraId="02883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ED389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boundary rejection</w:t>
            </w:r>
          </w:p>
        </w:tc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FF73D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保守 true</w:t>
            </w:r>
          </w:p>
        </w:tc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BB878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false</w:t>
            </w:r>
          </w:p>
        </w:tc>
        <w:tc>
          <w:tcPr>
            <w:tcW w:w="3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048CA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动作未执行，但防止安全边界替机制背书</w:t>
            </w:r>
          </w:p>
        </w:tc>
      </w:tr>
      <w:tr w14:paraId="4F39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1E4CD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parse failure</w:t>
            </w:r>
          </w:p>
        </w:tc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DF6B2C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保守 true</w:t>
            </w:r>
          </w:p>
        </w:tc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92BAF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false</w:t>
            </w:r>
          </w:p>
        </w:tc>
        <w:tc>
          <w:tcPr>
            <w:tcW w:w="3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87C1B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模型输出不可执行</w:t>
            </w:r>
          </w:p>
        </w:tc>
      </w:tr>
      <w:tr w14:paraId="571A4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4102C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provider failure / timeout</w:t>
            </w:r>
          </w:p>
        </w:tc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E402C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保守 true</w:t>
            </w:r>
          </w:p>
        </w:tc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A4D5AF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false</w:t>
            </w:r>
          </w:p>
        </w:tc>
        <w:tc>
          <w:tcPr>
            <w:tcW w:w="3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60148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保留在 ITT</w:t>
            </w:r>
          </w:p>
        </w:tc>
      </w:tr>
      <w:tr w14:paraId="05DA9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110B9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max steps</w:t>
            </w:r>
          </w:p>
        </w:tc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125A8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保守 true</w:t>
            </w:r>
          </w:p>
        </w:tc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AA52C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false</w:t>
            </w:r>
          </w:p>
        </w:tc>
        <w:tc>
          <w:tcPr>
            <w:tcW w:w="3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58DE3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未完成任务</w:t>
            </w:r>
          </w:p>
        </w:tc>
      </w:tr>
      <w:tr w14:paraId="774B1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F4825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unknown runner failure</w:t>
            </w:r>
          </w:p>
        </w:tc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0B567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拒绝结果准入</w:t>
            </w:r>
          </w:p>
        </w:tc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7083A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拒绝结果准入</w:t>
            </w:r>
          </w:p>
        </w:tc>
        <w:tc>
          <w:tcPr>
            <w:tcW w:w="3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0E6E5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必须先闭合失败语义</w:t>
            </w:r>
          </w:p>
        </w:tc>
      </w:tr>
      <w:tr w14:paraId="2FE5D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A2F94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open attempt / orphan response</w:t>
            </w:r>
          </w:p>
        </w:tc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80300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拒绝结果准入</w:t>
            </w:r>
          </w:p>
        </w:tc>
        <w:tc>
          <w:tcPr>
            <w:tcW w:w="2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C35C1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拒绝结果准入</w:t>
            </w:r>
          </w:p>
        </w:tc>
        <w:tc>
          <w:tcPr>
            <w:tcW w:w="3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8F0D94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6"/>
                <w:szCs w:val="16"/>
              </w:rPr>
              <w:t>证据链不完整</w:t>
            </w:r>
          </w:p>
        </w:tc>
      </w:tr>
    </w:tbl>
    <w:p w14:paraId="1CE234E7">
      <w:pPr>
        <w:pStyle w:val="2"/>
        <w:keepNext/>
        <w:spacing w:before="260" w:after="12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2355B"/>
          <w:sz w:val="31"/>
          <w:szCs w:val="31"/>
        </w:rPr>
        <w:t>附录 B  核心证据索引</w:t>
      </w:r>
    </w:p>
    <w:p w14:paraId="22C17610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21"/>
          <w:szCs w:val="21"/>
        </w:rPr>
        <w:t>以下索引使用相对项目根目录的稳定路径；冻结文件和运行账本应保持只追加或只读。</w:t>
      </w:r>
    </w:p>
    <w:tbl>
      <w:tblPr>
        <w:tblStyle w:val="11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700"/>
      </w:tblGrid>
      <w:tr w14:paraId="5E0B5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FC667E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证据</w:t>
            </w:r>
          </w:p>
        </w:tc>
        <w:tc>
          <w:tcPr>
            <w:tcW w:w="6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1235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A2BAD1">
            <w:pPr>
              <w:spacing w:after="0" w:line="28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相对路径/身份</w:t>
            </w:r>
          </w:p>
        </w:tc>
      </w:tr>
      <w:tr w14:paraId="4A228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FEFA7B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文献矩阵</w:t>
            </w:r>
          </w:p>
        </w:tc>
        <w:tc>
          <w:tcPr>
            <w:tcW w:w="6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27C40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docs/​research/​paper_​v2/​literature_​matrix.md</w:t>
            </w:r>
          </w:p>
        </w:tc>
      </w:tr>
      <w:tr w14:paraId="6E391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55B95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v4 技术结果审查</w:t>
            </w:r>
          </w:p>
        </w:tc>
        <w:tc>
          <w:tcPr>
            <w:tcW w:w="6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7A493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outputs/​paper_​upgrade_​v2/​formal_​medium/​deepseek/​dd794d…/​formal_​result_​technical_​review_​v1.json</w:t>
            </w:r>
          </w:p>
        </w:tc>
      </w:tr>
      <w:tr w14:paraId="7271A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A2A43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v5 中止审查</w:t>
            </w:r>
          </w:p>
        </w:tc>
        <w:tc>
          <w:tcPr>
            <w:tcW w:w="6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B4442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outputs/​paper_​upgrade_​v2/​formal_​medium/​deepseek/​62eb64…/​formal_​matrix_​abort_​review_​v1.json</w:t>
            </w:r>
          </w:p>
        </w:tc>
      </w:tr>
      <w:tr w14:paraId="138C3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D310D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v6 中止审查</w:t>
            </w:r>
          </w:p>
        </w:tc>
        <w:tc>
          <w:tcPr>
            <w:tcW w:w="6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02580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outputs/​paper_​upgrade_​v2/​formal_​medium/​deepseek/​6c1611…/​formal_​matrix_​abort_​review_​v2.json</w:t>
            </w:r>
          </w:p>
        </w:tc>
      </w:tr>
      <w:tr w14:paraId="1D211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BF541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v7 控制器</w:t>
            </w:r>
          </w:p>
        </w:tc>
        <w:tc>
          <w:tcPr>
            <w:tcW w:w="6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C6C2C9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experiments/​paper_​v2/​formal_​matrix_​controller_​v7.py</w:t>
            </w:r>
          </w:p>
        </w:tc>
      </w:tr>
      <w:tr w14:paraId="79C1A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AA78D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v7 适配器</w:t>
            </w:r>
          </w:p>
        </w:tc>
        <w:tc>
          <w:tcPr>
            <w:tcW w:w="6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9DC1D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experiments/​paper_​v2/​boundary_​rejection_​runtime_​v3.py</w:t>
            </w:r>
          </w:p>
        </w:tc>
      </w:tr>
      <w:tr w14:paraId="45E1E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2F931E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v7 candidate</w:t>
            </w:r>
          </w:p>
        </w:tc>
        <w:tc>
          <w:tcPr>
            <w:tcW w:w="6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D80A53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protocols/​paper_​upgrade_​v2/​deepseek_​medium_​matrix_​candidate_​v7.json</w:t>
            </w:r>
          </w:p>
        </w:tc>
      </w:tr>
      <w:tr w14:paraId="1F25C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488C1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v7 qualification</w:t>
            </w:r>
          </w:p>
        </w:tc>
        <w:tc>
          <w:tcPr>
            <w:tcW w:w="6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87579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protocols/​paper_​upgrade_​v2/​formal_​matrix_​controller_​qualification_​v7.json</w:t>
            </w:r>
          </w:p>
        </w:tc>
      </w:tr>
      <w:tr w14:paraId="079BC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138C70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v7 canary admission</w:t>
            </w:r>
          </w:p>
        </w:tc>
        <w:tc>
          <w:tcPr>
            <w:tcW w:w="6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CBD918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protocols/​paper_​upgrade_​v2/​admissions/​deepseek_​medium_​matrix_​canary_​admission_​v7.json</w:t>
            </w:r>
          </w:p>
        </w:tc>
      </w:tr>
      <w:tr w14:paraId="53F03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49EB0D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v7 matrix identity</w:t>
            </w:r>
          </w:p>
        </w:tc>
        <w:tc>
          <w:tcPr>
            <w:tcW w:w="6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168FB5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a34fe5b87607​cb48144b0d36​da282accc25d​33cd18706351​eb39dd25ebe0​4c75</w:t>
            </w:r>
          </w:p>
        </w:tc>
      </w:tr>
      <w:tr w14:paraId="1A679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2DE597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v7 candidate SHA-256</w:t>
            </w:r>
          </w:p>
        </w:tc>
        <w:tc>
          <w:tcPr>
            <w:tcW w:w="6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7AA872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4c3e5a8657b9​bb98735ad891​fb8aed8a7d71​aaedf837eff6​95b6605fcdb2​71be</w:t>
            </w:r>
          </w:p>
        </w:tc>
      </w:tr>
      <w:tr w14:paraId="4D699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E418C6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最后完整全量回归</w:t>
            </w:r>
          </w:p>
        </w:tc>
        <w:tc>
          <w:tcPr>
            <w:tcW w:w="67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BE9DA1">
            <w:pPr>
              <w:spacing w:after="0"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172033"/>
                <w:sz w:val="15"/>
                <w:szCs w:val="15"/>
              </w:rPr>
              <w:t>outputs/​paper_​upgrade_​v2/​verification/​pre_​v6_​continuation_​rerun/​harness_​stdout.log</w:t>
            </w:r>
          </w:p>
        </w:tc>
      </w:tr>
    </w:tbl>
    <w:p w14:paraId="39811A47">
      <w:pPr>
        <w:pStyle w:val="2"/>
        <w:keepNext/>
        <w:spacing w:before="260" w:after="120"/>
      </w:pPr>
      <w:bookmarkStart w:id="0" w:name="_GoBack"/>
      <w:bookmarkEnd w:id="0"/>
      <w:r>
        <w:rPr>
          <w:rFonts w:ascii="微软雅黑" w:hAnsi="微软雅黑" w:eastAsia="微软雅黑" w:cs="微软雅黑"/>
          <w:b/>
          <w:bCs/>
          <w:i w:val="0"/>
          <w:iCs w:val="0"/>
          <w:color w:val="12355B"/>
          <w:sz w:val="31"/>
          <w:szCs w:val="31"/>
        </w:rPr>
        <w:t>附录 C  核心参考文献与官方资料</w:t>
      </w:r>
    </w:p>
    <w:p w14:paraId="15C7CEE0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18"/>
          <w:szCs w:val="18"/>
        </w:rPr>
        <w:t xml:space="preserve">[1] VIGIL: A Verified Inference Guard for Tool-Integrated LLMs. ACL 2026. </w:t>
      </w:r>
      <w:r>
        <w:fldChar w:fldCharType="begin"/>
      </w:r>
      <w:r>
        <w:instrText xml:space="preserve"> HYPERLINK "https://aclanthology.org/2026.acl-long.443/" </w:instrText>
      </w:r>
      <w:r>
        <w:fldChar w:fldCharType="separate"/>
      </w:r>
      <w:r>
        <w:rPr>
          <w:rStyle w:val="14"/>
          <w:rFonts w:ascii="微软雅黑" w:hAnsi="微软雅黑" w:eastAsia="微软雅黑" w:cs="微软雅黑"/>
          <w:color w:val="2457D6"/>
          <w:sz w:val="19"/>
          <w:szCs w:val="19"/>
          <w:u w:val="single" w:color="2457D6"/>
        </w:rPr>
        <w:t>https://aclanthology.org/2026.acl-long.443/</w:t>
      </w:r>
      <w:r>
        <w:rPr>
          <w:rStyle w:val="14"/>
          <w:rFonts w:ascii="微软雅黑" w:hAnsi="微软雅黑" w:eastAsia="微软雅黑" w:cs="微软雅黑"/>
          <w:color w:val="2457D6"/>
          <w:sz w:val="19"/>
          <w:szCs w:val="19"/>
          <w:u w:val="single" w:color="2457D6"/>
        </w:rPr>
        <w:fldChar w:fldCharType="end"/>
      </w:r>
    </w:p>
    <w:p w14:paraId="547E9CE9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18"/>
          <w:szCs w:val="18"/>
        </w:rPr>
        <w:t xml:space="preserve">[2] DRIFT: Dynamic Rule-Based Defense with Control/Data-Flow Tracking. NeurIPS 2025. </w:t>
      </w:r>
      <w:r>
        <w:fldChar w:fldCharType="begin"/>
      </w:r>
      <w:r>
        <w:instrText xml:space="preserve"> HYPERLINK "https://proceedings.neurips.cc/paper_files/paper/2025/hash/77f3b26c7907aa27b207df9b9d43f29a-Abstract-Conference.html" </w:instrText>
      </w:r>
      <w:r>
        <w:fldChar w:fldCharType="separate"/>
      </w:r>
      <w:r>
        <w:rPr>
          <w:rStyle w:val="14"/>
          <w:rFonts w:ascii="微软雅黑" w:hAnsi="微软雅黑" w:eastAsia="微软雅黑" w:cs="微软雅黑"/>
          <w:color w:val="2457D6"/>
          <w:sz w:val="19"/>
          <w:szCs w:val="19"/>
          <w:u w:val="single" w:color="2457D6"/>
        </w:rPr>
        <w:t>Proceedings</w:t>
      </w:r>
      <w:r>
        <w:rPr>
          <w:rStyle w:val="14"/>
          <w:rFonts w:ascii="微软雅黑" w:hAnsi="微软雅黑" w:eastAsia="微软雅黑" w:cs="微软雅黑"/>
          <w:color w:val="2457D6"/>
          <w:sz w:val="19"/>
          <w:szCs w:val="19"/>
          <w:u w:val="single" w:color="2457D6"/>
        </w:rPr>
        <w:fldChar w:fldCharType="end"/>
      </w:r>
    </w:p>
    <w:p w14:paraId="067722A5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18"/>
          <w:szCs w:val="18"/>
        </w:rPr>
        <w:t xml:space="preserve">[3] Task Shield: Enforcing Task Alignment to Defend Against Indirect Prompt Injection. ACL 2025. </w:t>
      </w:r>
      <w:r>
        <w:fldChar w:fldCharType="begin"/>
      </w:r>
      <w:r>
        <w:instrText xml:space="preserve"> HYPERLINK "https://aclanthology.org/2025.acl-long.1435/" </w:instrText>
      </w:r>
      <w:r>
        <w:fldChar w:fldCharType="separate"/>
      </w:r>
      <w:r>
        <w:rPr>
          <w:rStyle w:val="14"/>
          <w:rFonts w:ascii="微软雅黑" w:hAnsi="微软雅黑" w:eastAsia="微软雅黑" w:cs="微软雅黑"/>
          <w:color w:val="2457D6"/>
          <w:sz w:val="19"/>
          <w:szCs w:val="19"/>
          <w:u w:val="single" w:color="2457D6"/>
        </w:rPr>
        <w:t>https://aclanthology.org/2025.acl-long.1435/</w:t>
      </w:r>
      <w:r>
        <w:rPr>
          <w:rStyle w:val="14"/>
          <w:rFonts w:ascii="微软雅黑" w:hAnsi="微软雅黑" w:eastAsia="微软雅黑" w:cs="微软雅黑"/>
          <w:color w:val="2457D6"/>
          <w:sz w:val="19"/>
          <w:szCs w:val="19"/>
          <w:u w:val="single" w:color="2457D6"/>
        </w:rPr>
        <w:fldChar w:fldCharType="end"/>
      </w:r>
    </w:p>
    <w:p w14:paraId="3C658AD5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18"/>
          <w:szCs w:val="18"/>
        </w:rPr>
        <w:t xml:space="preserve">[4] AgentDojo: A Dynamic Environment to Evaluate Prompt Injection Attacks and Defenses for LLM Agents. NeurIPS 2024. </w:t>
      </w:r>
      <w:r>
        <w:fldChar w:fldCharType="begin"/>
      </w:r>
      <w:r>
        <w:instrText xml:space="preserve"> HYPERLINK "https://proceedings.neurips.cc/paper_files/paper/2024/hash/97091a5177d8dc64b1da8bf3e1f6fb54-Abstract-Datasets_and_Benchmarks_Track.html" </w:instrText>
      </w:r>
      <w:r>
        <w:fldChar w:fldCharType="separate"/>
      </w:r>
      <w:r>
        <w:rPr>
          <w:rStyle w:val="14"/>
          <w:rFonts w:ascii="微软雅黑" w:hAnsi="微软雅黑" w:eastAsia="微软雅黑" w:cs="微软雅黑"/>
          <w:color w:val="2457D6"/>
          <w:sz w:val="19"/>
          <w:szCs w:val="19"/>
          <w:u w:val="single" w:color="2457D6"/>
        </w:rPr>
        <w:t>Proceedings</w:t>
      </w:r>
      <w:r>
        <w:rPr>
          <w:rStyle w:val="14"/>
          <w:rFonts w:ascii="微软雅黑" w:hAnsi="微软雅黑" w:eastAsia="微软雅黑" w:cs="微软雅黑"/>
          <w:color w:val="2457D6"/>
          <w:sz w:val="19"/>
          <w:szCs w:val="19"/>
          <w:u w:val="single" w:color="2457D6"/>
        </w:rPr>
        <w:fldChar w:fldCharType="end"/>
      </w:r>
    </w:p>
    <w:p w14:paraId="3BCCB478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18"/>
          <w:szCs w:val="18"/>
        </w:rPr>
        <w:t xml:space="preserve">[5] InjecAgent: Benchmarking Indirect Prompt Injections in Tool-Integrated LLM Agents. ACL Findings 2024. </w:t>
      </w:r>
      <w:r>
        <w:fldChar w:fldCharType="begin"/>
      </w:r>
      <w:r>
        <w:instrText xml:space="preserve"> HYPERLINK "https://aclanthology.org/2024.findings-acl.624/" </w:instrText>
      </w:r>
      <w:r>
        <w:fldChar w:fldCharType="separate"/>
      </w:r>
      <w:r>
        <w:rPr>
          <w:rStyle w:val="14"/>
          <w:rFonts w:ascii="微软雅黑" w:hAnsi="微软雅黑" w:eastAsia="微软雅黑" w:cs="微软雅黑"/>
          <w:color w:val="2457D6"/>
          <w:sz w:val="19"/>
          <w:szCs w:val="19"/>
          <w:u w:val="single" w:color="2457D6"/>
        </w:rPr>
        <w:t>https://aclanthology.org/2024.findings-acl.624/</w:t>
      </w:r>
      <w:r>
        <w:rPr>
          <w:rStyle w:val="14"/>
          <w:rFonts w:ascii="微软雅黑" w:hAnsi="微软雅黑" w:eastAsia="微软雅黑" w:cs="微软雅黑"/>
          <w:color w:val="2457D6"/>
          <w:sz w:val="19"/>
          <w:szCs w:val="19"/>
          <w:u w:val="single" w:color="2457D6"/>
        </w:rPr>
        <w:fldChar w:fldCharType="end"/>
      </w:r>
    </w:p>
    <w:p w14:paraId="60203BEC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18"/>
          <w:szCs w:val="18"/>
        </w:rPr>
        <w:t xml:space="preserve">[6] IPIGuard: A Tool Dependency Graph-Based Defense. EMNLP 2025. </w:t>
      </w:r>
      <w:r>
        <w:fldChar w:fldCharType="begin"/>
      </w:r>
      <w:r>
        <w:instrText xml:space="preserve"> HYPERLINK "https://aclanthology.org/2025.emnlp-main.53/" </w:instrText>
      </w:r>
      <w:r>
        <w:fldChar w:fldCharType="separate"/>
      </w:r>
      <w:r>
        <w:rPr>
          <w:rStyle w:val="14"/>
          <w:rFonts w:ascii="微软雅黑" w:hAnsi="微软雅黑" w:eastAsia="微软雅黑" w:cs="微软雅黑"/>
          <w:color w:val="2457D6"/>
          <w:sz w:val="19"/>
          <w:szCs w:val="19"/>
          <w:u w:val="single" w:color="2457D6"/>
        </w:rPr>
        <w:t>https://aclanthology.org/2025.emnlp-main.53/</w:t>
      </w:r>
      <w:r>
        <w:rPr>
          <w:rStyle w:val="14"/>
          <w:rFonts w:ascii="微软雅黑" w:hAnsi="微软雅黑" w:eastAsia="微软雅黑" w:cs="微软雅黑"/>
          <w:color w:val="2457D6"/>
          <w:sz w:val="19"/>
          <w:szCs w:val="19"/>
          <w:u w:val="single" w:color="2457D6"/>
        </w:rPr>
        <w:fldChar w:fldCharType="end"/>
      </w:r>
    </w:p>
    <w:p w14:paraId="1599BAE7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18"/>
          <w:szCs w:val="18"/>
        </w:rPr>
        <w:t xml:space="preserve">[7] ARGUS: Provenance-Aware Decision Auditing for Context-Dependent LLM Agents. Preprint, 2026. </w:t>
      </w:r>
      <w:r>
        <w:fldChar w:fldCharType="begin"/>
      </w:r>
      <w:r>
        <w:instrText xml:space="preserve"> HYPERLINK "https://arxiv.org/abs/2605.03378" </w:instrText>
      </w:r>
      <w:r>
        <w:fldChar w:fldCharType="separate"/>
      </w:r>
      <w:r>
        <w:rPr>
          <w:rStyle w:val="14"/>
          <w:rFonts w:ascii="微软雅黑" w:hAnsi="微软雅黑" w:eastAsia="微软雅黑" w:cs="微软雅黑"/>
          <w:color w:val="2457D6"/>
          <w:sz w:val="19"/>
          <w:szCs w:val="19"/>
          <w:u w:val="single" w:color="2457D6"/>
        </w:rPr>
        <w:t>https://arxiv.org/abs/2605.03378</w:t>
      </w:r>
      <w:r>
        <w:rPr>
          <w:rStyle w:val="14"/>
          <w:rFonts w:ascii="微软雅黑" w:hAnsi="微软雅黑" w:eastAsia="微软雅黑" w:cs="微软雅黑"/>
          <w:color w:val="2457D6"/>
          <w:sz w:val="19"/>
          <w:szCs w:val="19"/>
          <w:u w:val="single" w:color="2457D6"/>
        </w:rPr>
        <w:fldChar w:fldCharType="end"/>
      </w:r>
    </w:p>
    <w:p w14:paraId="4C83CAEE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18"/>
          <w:szCs w:val="18"/>
        </w:rPr>
        <w:t xml:space="preserve">[8] AuthGraph: Aligning Provenance with Authorization. Preprint, 2026. </w:t>
      </w:r>
      <w:r>
        <w:fldChar w:fldCharType="begin"/>
      </w:r>
      <w:r>
        <w:instrText xml:space="preserve"> HYPERLINK "https://arxiv.org/abs/2605.26497" </w:instrText>
      </w:r>
      <w:r>
        <w:fldChar w:fldCharType="separate"/>
      </w:r>
      <w:r>
        <w:rPr>
          <w:rStyle w:val="14"/>
          <w:rFonts w:ascii="微软雅黑" w:hAnsi="微软雅黑" w:eastAsia="微软雅黑" w:cs="微软雅黑"/>
          <w:color w:val="2457D6"/>
          <w:sz w:val="19"/>
          <w:szCs w:val="19"/>
          <w:u w:val="single" w:color="2457D6"/>
        </w:rPr>
        <w:t>https://arxiv.org/abs/2605.26497</w:t>
      </w:r>
      <w:r>
        <w:rPr>
          <w:rStyle w:val="14"/>
          <w:rFonts w:ascii="微软雅黑" w:hAnsi="微软雅黑" w:eastAsia="微软雅黑" w:cs="微软雅黑"/>
          <w:color w:val="2457D6"/>
          <w:sz w:val="19"/>
          <w:szCs w:val="19"/>
          <w:u w:val="single" w:color="2457D6"/>
        </w:rPr>
        <w:fldChar w:fldCharType="end"/>
      </w:r>
    </w:p>
    <w:p w14:paraId="3FE98F48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18"/>
          <w:szCs w:val="18"/>
        </w:rPr>
        <w:t xml:space="preserve">[9] Progent: Programmable Privilege Control for LLM Agents. Preprint, 2025. </w:t>
      </w:r>
      <w:r>
        <w:fldChar w:fldCharType="begin"/>
      </w:r>
      <w:r>
        <w:instrText xml:space="preserve"> HYPERLINK "https://arxiv.org/abs/2504.11703" </w:instrText>
      </w:r>
      <w:r>
        <w:fldChar w:fldCharType="separate"/>
      </w:r>
      <w:r>
        <w:rPr>
          <w:rStyle w:val="14"/>
          <w:rFonts w:ascii="微软雅黑" w:hAnsi="微软雅黑" w:eastAsia="微软雅黑" w:cs="微软雅黑"/>
          <w:color w:val="2457D6"/>
          <w:sz w:val="19"/>
          <w:szCs w:val="19"/>
          <w:u w:val="single" w:color="2457D6"/>
        </w:rPr>
        <w:t>https://arxiv.org/abs/2504.11703</w:t>
      </w:r>
      <w:r>
        <w:rPr>
          <w:rStyle w:val="14"/>
          <w:rFonts w:ascii="微软雅黑" w:hAnsi="微软雅黑" w:eastAsia="微软雅黑" w:cs="微软雅黑"/>
          <w:color w:val="2457D6"/>
          <w:sz w:val="19"/>
          <w:szCs w:val="19"/>
          <w:u w:val="single" w:color="2457D6"/>
        </w:rPr>
        <w:fldChar w:fldCharType="end"/>
      </w:r>
    </w:p>
    <w:p w14:paraId="3ABE59C2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18"/>
          <w:szCs w:val="18"/>
        </w:rPr>
        <w:t xml:space="preserve">[10] CaMeL: Defeating Prompt Injections by Design. Preprint, 2025. </w:t>
      </w:r>
      <w:r>
        <w:fldChar w:fldCharType="begin"/>
      </w:r>
      <w:r>
        <w:instrText xml:space="preserve"> HYPERLINK "https://arxiv.org/abs/2503.18813" </w:instrText>
      </w:r>
      <w:r>
        <w:fldChar w:fldCharType="separate"/>
      </w:r>
      <w:r>
        <w:rPr>
          <w:rStyle w:val="14"/>
          <w:rFonts w:ascii="微软雅黑" w:hAnsi="微软雅黑" w:eastAsia="微软雅黑" w:cs="微软雅黑"/>
          <w:color w:val="2457D6"/>
          <w:sz w:val="19"/>
          <w:szCs w:val="19"/>
          <w:u w:val="single" w:color="2457D6"/>
        </w:rPr>
        <w:t>https://arxiv.org/abs/2503.18813</w:t>
      </w:r>
      <w:r>
        <w:rPr>
          <w:rStyle w:val="14"/>
          <w:rFonts w:ascii="微软雅黑" w:hAnsi="微软雅黑" w:eastAsia="微软雅黑" w:cs="微软雅黑"/>
          <w:color w:val="2457D6"/>
          <w:sz w:val="19"/>
          <w:szCs w:val="19"/>
          <w:u w:val="single" w:color="2457D6"/>
        </w:rPr>
        <w:fldChar w:fldCharType="end"/>
      </w:r>
    </w:p>
    <w:p w14:paraId="29A42694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18"/>
          <w:szCs w:val="18"/>
        </w:rPr>
        <w:t xml:space="preserve">[11] The Attacker Moves Second: Stronger Adaptive Attacks Bypass Defenses Against Prompt Injection. Preprint, 2025. </w:t>
      </w:r>
      <w:r>
        <w:fldChar w:fldCharType="begin"/>
      </w:r>
      <w:r>
        <w:instrText xml:space="preserve"> HYPERLINK "https://arxiv.org/abs/2510.09023" </w:instrText>
      </w:r>
      <w:r>
        <w:fldChar w:fldCharType="separate"/>
      </w:r>
      <w:r>
        <w:rPr>
          <w:rStyle w:val="14"/>
          <w:rFonts w:ascii="微软雅黑" w:hAnsi="微软雅黑" w:eastAsia="微软雅黑" w:cs="微软雅黑"/>
          <w:color w:val="2457D6"/>
          <w:sz w:val="19"/>
          <w:szCs w:val="19"/>
          <w:u w:val="single" w:color="2457D6"/>
        </w:rPr>
        <w:t>https://arxiv.org/abs/2510.09023</w:t>
      </w:r>
      <w:r>
        <w:rPr>
          <w:rStyle w:val="14"/>
          <w:rFonts w:ascii="微软雅黑" w:hAnsi="微软雅黑" w:eastAsia="微软雅黑" w:cs="微软雅黑"/>
          <w:color w:val="2457D6"/>
          <w:sz w:val="19"/>
          <w:szCs w:val="19"/>
          <w:u w:val="single" w:color="2457D6"/>
        </w:rPr>
        <w:fldChar w:fldCharType="end"/>
      </w:r>
    </w:p>
    <w:p w14:paraId="5BC6BACD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18"/>
          <w:szCs w:val="18"/>
        </w:rPr>
        <w:t xml:space="preserve">[12] JISA official journal page. </w:t>
      </w:r>
      <w:r>
        <w:fldChar w:fldCharType="begin"/>
      </w:r>
      <w:r>
        <w:instrText xml:space="preserve"> HYPERLINK "https://www.sciencedirect.com/journal/journal-of-information-security-and-applications" </w:instrText>
      </w:r>
      <w:r>
        <w:fldChar w:fldCharType="separate"/>
      </w:r>
      <w:r>
        <w:rPr>
          <w:rStyle w:val="14"/>
          <w:rFonts w:ascii="微软雅黑" w:hAnsi="微软雅黑" w:eastAsia="微软雅黑" w:cs="微软雅黑"/>
          <w:color w:val="2457D6"/>
          <w:sz w:val="19"/>
          <w:szCs w:val="19"/>
          <w:u w:val="single" w:color="2457D6"/>
        </w:rPr>
        <w:t>ScienceDirect</w:t>
      </w:r>
      <w:r>
        <w:rPr>
          <w:rStyle w:val="14"/>
          <w:rFonts w:ascii="微软雅黑" w:hAnsi="微软雅黑" w:eastAsia="微软雅黑" w:cs="微软雅黑"/>
          <w:color w:val="2457D6"/>
          <w:sz w:val="19"/>
          <w:szCs w:val="19"/>
          <w:u w:val="single" w:color="2457D6"/>
        </w:rPr>
        <w:fldChar w:fldCharType="end"/>
      </w:r>
    </w:p>
    <w:p w14:paraId="19057836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18"/>
          <w:szCs w:val="18"/>
        </w:rPr>
        <w:t xml:space="preserve">[13] DeepSeek API official documentation. </w:t>
      </w:r>
      <w:r>
        <w:fldChar w:fldCharType="begin"/>
      </w:r>
      <w:r>
        <w:instrText xml:space="preserve"> HYPERLINK "https://api-docs.deepseek.com/" </w:instrText>
      </w:r>
      <w:r>
        <w:fldChar w:fldCharType="separate"/>
      </w:r>
      <w:r>
        <w:rPr>
          <w:rStyle w:val="14"/>
          <w:rFonts w:ascii="微软雅黑" w:hAnsi="微软雅黑" w:eastAsia="微软雅黑" w:cs="微软雅黑"/>
          <w:color w:val="2457D6"/>
          <w:sz w:val="19"/>
          <w:szCs w:val="19"/>
          <w:u w:val="single" w:color="2457D6"/>
        </w:rPr>
        <w:t>https://api-docs.deepseek.com/</w:t>
      </w:r>
      <w:r>
        <w:rPr>
          <w:rStyle w:val="14"/>
          <w:rFonts w:ascii="微软雅黑" w:hAnsi="微软雅黑" w:eastAsia="微软雅黑" w:cs="微软雅黑"/>
          <w:color w:val="2457D6"/>
          <w:sz w:val="19"/>
          <w:szCs w:val="19"/>
          <w:u w:val="single" w:color="2457D6"/>
        </w:rPr>
        <w:fldChar w:fldCharType="end"/>
      </w:r>
    </w:p>
    <w:p w14:paraId="4850EE8D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033"/>
          <w:sz w:val="18"/>
          <w:szCs w:val="18"/>
        </w:rPr>
        <w:t xml:space="preserve">[14] Gemini API official documentation. </w:t>
      </w:r>
      <w:r>
        <w:fldChar w:fldCharType="begin"/>
      </w:r>
      <w:r>
        <w:instrText xml:space="preserve"> HYPERLINK "https://ai.google.dev/gemini-api/docs" </w:instrText>
      </w:r>
      <w:r>
        <w:fldChar w:fldCharType="separate"/>
      </w:r>
      <w:r>
        <w:rPr>
          <w:rStyle w:val="14"/>
          <w:rFonts w:ascii="微软雅黑" w:hAnsi="微软雅黑" w:eastAsia="微软雅黑" w:cs="微软雅黑"/>
          <w:color w:val="2457D6"/>
          <w:sz w:val="19"/>
          <w:szCs w:val="19"/>
          <w:u w:val="single" w:color="2457D6"/>
        </w:rPr>
        <w:t>https://ai.google.dev/gemini-api/docs</w:t>
      </w:r>
      <w:r>
        <w:rPr>
          <w:rStyle w:val="14"/>
          <w:rFonts w:ascii="微软雅黑" w:hAnsi="微软雅黑" w:eastAsia="微软雅黑" w:cs="微软雅黑"/>
          <w:color w:val="2457D6"/>
          <w:sz w:val="19"/>
          <w:szCs w:val="19"/>
          <w:u w:val="single" w:color="2457D6"/>
        </w:rPr>
        <w:fldChar w:fldCharType="end"/>
      </w:r>
    </w:p>
    <w:p w14:paraId="4DCA9D1C">
      <w:pPr>
        <w:spacing w:after="120" w:line="36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5B6577"/>
          <w:sz w:val="18"/>
          <w:szCs w:val="18"/>
        </w:rPr>
        <w:t>参考文献的作者、卷期、页码、DOI 和版本将在论文定稿及投稿日前从出版社或官方 proceedings 再次逐条核验。</w:t>
      </w:r>
    </w:p>
    <w:sectPr>
      <w:footerReference r:id="rId3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5B2C89">
    <w:pPr>
      <w:pBdr>
        <w:top w:val="single" w:color="CBD5E1" w:sz="4" w:space="0"/>
      </w:pBdr>
      <w:spacing w:before="80" w:after="0"/>
      <w:jc w:val="center"/>
    </w:pPr>
    <w:r>
      <w:rPr>
        <w:rFonts w:ascii="微软雅黑" w:hAnsi="微软雅黑" w:eastAsia="微软雅黑" w:cs="微软雅黑"/>
        <w:b w:val="0"/>
        <w:bCs w:val="0"/>
        <w:i w:val="0"/>
        <w:iCs w:val="0"/>
        <w:color w:val="5B6577"/>
        <w:sz w:val="16"/>
        <w:szCs w:val="16"/>
      </w:rPr>
      <w:t xml:space="preserve">M3-PI Guard 阶段性研究报告  |  </w:t>
    </w:r>
    <w:r>
      <w:rPr>
        <w:rFonts w:ascii="微软雅黑" w:hAnsi="微软雅黑" w:eastAsia="微软雅黑" w:cs="微软雅黑"/>
        <w:color w:val="5B6577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5B6577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color w:val="5B6577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5B6577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500" w:hanging="260"/>
      </w:pPr>
      <w:rPr>
        <w:rFonts w:ascii="微软雅黑" w:hAnsi="微软雅黑" w:eastAsia="微软雅黑" w:cs="微软雅黑"/>
        <w:color w:val="2457D6"/>
      </w:rPr>
    </w:lvl>
    <w:lvl w:ilvl="1" w:tentative="0">
      <w:start w:val="1"/>
      <w:numFmt w:val="bullet"/>
      <w:lvlText w:val="–"/>
      <w:lvlJc w:val="left"/>
      <w:pPr>
        <w:ind w:left="900" w:hanging="260"/>
      </w:pPr>
      <w:rPr>
        <w:rFonts w:ascii="微软雅黑" w:hAnsi="微软雅黑" w:eastAsia="微软雅黑" w:cs="微软雅黑"/>
        <w:color w:val="078B6C"/>
      </w:r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550" w:hanging="320"/>
      </w:pPr>
      <w:rPr>
        <w:rFonts w:ascii="微软雅黑" w:hAnsi="微软雅黑" w:eastAsia="微软雅黑" w:cs="微软雅黑"/>
        <w:b/>
        <w:bCs/>
        <w:color w:val="2457D6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2A255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172033"/>
      <w:sz w:val="21"/>
      <w:szCs w:val="21"/>
    </w:rPr>
  </w:style>
  <w:style w:type="paragraph" w:styleId="2">
    <w:name w:val="heading 1"/>
    <w:next w:val="1"/>
    <w:qFormat/>
    <w:uiPriority w:val="0"/>
    <w:pPr>
      <w:keepNext/>
      <w:spacing w:before="260" w:after="120" w:line="360" w:lineRule="auto"/>
      <w:outlineLvl w:val="0"/>
    </w:pPr>
    <w:rPr>
      <w:rFonts w:ascii="微软雅黑" w:hAnsi="微软雅黑" w:eastAsia="微软雅黑" w:cs="微软雅黑"/>
      <w:b/>
      <w:bCs/>
      <w:color w:val="12355B"/>
      <w:sz w:val="31"/>
      <w:szCs w:val="31"/>
    </w:rPr>
  </w:style>
  <w:style w:type="paragraph" w:styleId="3">
    <w:name w:val="heading 2"/>
    <w:next w:val="1"/>
    <w:qFormat/>
    <w:uiPriority w:val="0"/>
    <w:pPr>
      <w:keepNext/>
      <w:spacing w:before="200" w:after="100" w:line="360" w:lineRule="auto"/>
      <w:outlineLvl w:val="1"/>
    </w:pPr>
    <w:rPr>
      <w:rFonts w:ascii="微软雅黑" w:hAnsi="微软雅黑" w:eastAsia="微软雅黑" w:cs="微软雅黑"/>
      <w:b/>
      <w:bCs/>
      <w:color w:val="2457D6"/>
      <w:sz w:val="26"/>
      <w:szCs w:val="26"/>
    </w:rPr>
  </w:style>
  <w:style w:type="paragraph" w:styleId="4">
    <w:name w:val="heading 3"/>
    <w:next w:val="1"/>
    <w:qFormat/>
    <w:uiPriority w:val="0"/>
    <w:pPr>
      <w:keepNext/>
      <w:spacing w:before="160" w:after="80" w:line="360" w:lineRule="auto"/>
      <w:outlineLvl w:val="2"/>
    </w:pPr>
    <w:rPr>
      <w:rFonts w:ascii="微软雅黑" w:hAnsi="微软雅黑" w:eastAsia="微软雅黑" w:cs="微软雅黑"/>
      <w:b/>
      <w:bCs/>
      <w:color w:val="0B84C6"/>
      <w:sz w:val="23"/>
      <w:szCs w:val="23"/>
    </w:rPr>
  </w:style>
  <w:style w:type="paragraph" w:styleId="5">
    <w:name w:val="heading 4"/>
    <w:next w:val="1"/>
    <w:qFormat/>
    <w:uiPriority w:val="0"/>
    <w:pPr>
      <w:spacing w:after="120" w:line="360" w:lineRule="auto"/>
    </w:pPr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pPr>
      <w:spacing w:after="120" w:line="360" w:lineRule="auto"/>
    </w:pPr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spacing w:after="120" w:line="360" w:lineRule="auto"/>
    </w:pPr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color w:val="172033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color w:val="172033"/>
      <w:sz w:val="20"/>
      <w:szCs w:val="20"/>
    </w:rPr>
  </w:style>
  <w:style w:type="paragraph" w:styleId="10">
    <w:name w:val="Title"/>
    <w:qFormat/>
    <w:uiPriority w:val="0"/>
    <w:pPr>
      <w:spacing w:after="240" w:line="360" w:lineRule="auto"/>
      <w:jc w:val="center"/>
    </w:pPr>
    <w:rPr>
      <w:rFonts w:ascii="微软雅黑" w:hAnsi="微软雅黑" w:eastAsia="微软雅黑" w:cs="微软雅黑"/>
      <w:b/>
      <w:bCs/>
      <w:color w:val="12355B"/>
      <w:sz w:val="52"/>
      <w:szCs w:val="52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after="120" w:line="360" w:lineRule="auto"/>
    </w:pPr>
    <w:rPr>
      <w:rFonts w:ascii="微软雅黑" w:hAnsi="微软雅黑" w:eastAsia="微软雅黑" w:cs="微软雅黑"/>
      <w:color w:val="172033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9144</Words>
  <Characters>16771</Characters>
  <TotalTime>5</TotalTime>
  <ScaleCrop>false</ScaleCrop>
  <LinksUpToDate>false</LinksUpToDate>
  <CharactersWithSpaces>17974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2026-07-24T15:04:00Z</dcterms:created>
  <dc:creator>M3-PI Guard Research Team</dc:creator>
  <dc:description>M3-PI Guard 截至 2026-07-24 的研究、工程证据与后续实验路线</dc:description>
  <cp:lastModifiedBy>sanshi712</cp:lastModifiedBy>
  <dcterms:modified xsi:type="dcterms:W3CDTF">2026-07-24T15:12:56Z</dcterms:modified>
  <dc:subject>SCI JCR Q2 网络安全论文研究与实验计划</dc:subject>
  <dc:title>M3-PI Guard 阶段性研究报告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eyJoZGlkIjoiYzFjODliNTBjMWM2ZWJiNmRlNzlmNmRkYzY0OTQyZmMiLCJ1c2VySWQiOiIzMTg0MzUxMDMifQ==</vt:lpwstr>
  </property>
  <property fmtid="{D5CDD505-2E9C-101B-9397-08002B2CF9AE}" pid="3" name="KSOProductBuildVer">
    <vt:lpwstr>2052-12.1.0.21541</vt:lpwstr>
  </property>
  <property fmtid="{D5CDD505-2E9C-101B-9397-08002B2CF9AE}" pid="4" name="ICV">
    <vt:lpwstr>A6407632D4BB4CD0846BF9DCEF730B11_12</vt:lpwstr>
  </property>
</Properties>
</file>