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7A5A00"/>
          <w:sz w:val="18"/>
        </w:rPr>
        <w:t>RESEARCH STAGE REPORT</w:t>
      </w:r>
    </w:p>
    <w:p>
      <w:pPr>
        <w:keepNext/>
        <w:spacing w:before="0" w:after="100"/>
      </w:pPr>
      <w:r>
        <w:rPr>
          <w:rFonts w:ascii="Calibri" w:hAnsi="Calibri" w:eastAsia="Microsoft YaHei"/>
          <w:b/>
          <w:color w:val="0B2545"/>
          <w:sz w:val="48"/>
        </w:rPr>
        <w:t>M3-PI Guard 阶段性研究报告</w:t>
      </w:r>
    </w:p>
    <w:p>
      <w:pPr>
        <w:spacing w:before="0" w:after="360"/>
      </w:pPr>
      <w:r>
        <w:rPr>
          <w:rFonts w:ascii="Calibri" w:hAnsi="Calibri" w:eastAsia="Microsoft YaHei"/>
          <w:color w:val="596579"/>
          <w:sz w:val="26"/>
        </w:rPr>
        <w:t>从 v7 fail-closed 审计到 v8 六条件金丝雀通过：面向 SCI 二区网络安全论文的证据、风险与后续实验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报告日期：</w:t>
      </w:r>
      <w:r>
        <w:rPr>
          <w:rFonts w:ascii="Calibri" w:hAnsi="Calibri" w:eastAsia="Microsoft YaHei"/>
          <w:color w:val="111827"/>
          <w:sz w:val="21"/>
        </w:rPr>
        <w:t>2026-07-26（Asia/Shanghai）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研究定位：</w:t>
      </w:r>
      <w:r>
        <w:rPr>
          <w:rFonts w:ascii="Calibri" w:hAnsi="Calibri" w:eastAsia="Microsoft YaHei"/>
          <w:color w:val="111827"/>
          <w:sz w:val="21"/>
        </w:rPr>
        <w:t>评估方法 + provenance-aware runtime authorization 防御机制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目标期刊：</w:t>
      </w:r>
      <w:r>
        <w:rPr>
          <w:rFonts w:ascii="Calibri" w:hAnsi="Calibri" w:eastAsia="Microsoft YaHei"/>
          <w:color w:val="111827"/>
          <w:sz w:val="21"/>
        </w:rPr>
        <w:t>Journal of Information Security and Applications（投稿前复核 JCR Q2）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当前模型：</w:t>
      </w:r>
      <w:r>
        <w:rPr>
          <w:rFonts w:ascii="Calibri" w:hAnsi="Calibri" w:eastAsia="Microsoft YaHei"/>
          <w:color w:val="111827"/>
          <w:sz w:val="21"/>
        </w:rPr>
        <w:t>DeepSeek 官方 API / deepseek-v4-pro；Gemini 保留为独立泛化矩阵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证据边界：</w:t>
      </w:r>
      <w:r>
        <w:rPr>
          <w:rFonts w:ascii="Calibri" w:hAnsi="Calibri" w:eastAsia="Microsoft YaHei"/>
          <w:color w:val="111827"/>
          <w:sz w:val="21"/>
        </w:rPr>
        <w:t>本报告只读取技术/运行元数据；未开启 6 条金丝雀的科学 outcome 分析</w:t>
      </w:r>
    </w:p>
    <w:p>
      <w:pPr>
        <w:keepLines/>
        <w:spacing w:before="100" w:after="160"/>
        <w:ind w:left="202" w:right="173"/>
        <w:shd w:fill="E8EEF5" w:val="clear"/>
        <w:pBdr>
          <w:left w:val="single" w:sz="24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阶段结论  </w:t>
      </w:r>
      <w:r>
        <w:rPr>
          <w:rFonts w:ascii="Calibri" w:hAnsi="Calibri" w:eastAsia="Microsoft YaHei"/>
          <w:color w:val="111827"/>
          <w:sz w:val="21"/>
        </w:rPr>
        <w:t>SCI 二区方向仍然有条件可行。工程主线已从 v7 的 fail-closed 故障收敛到 v8 六条件金丝雀 6/6 技术通过；但正式科学证据仍只有 6/480 条，尚不能声称安全效果、非劣性或 SOTA。</w:t>
      </w:r>
    </w:p>
    <w:p>
      <w:pPr>
        <w:keepLines/>
        <w:spacing w:before="100" w:after="160"/>
        <w:ind w:left="202" w:right="173"/>
        <w:shd w:fill="FFF8E8" w:val="clear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证据边界  </w:t>
      </w:r>
      <w:r>
        <w:rPr>
          <w:rFonts w:ascii="Calibri" w:hAnsi="Calibri" w:eastAsia="Microsoft YaHei"/>
          <w:color w:val="111827"/>
          <w:sz w:val="21"/>
        </w:rPr>
        <w:t>本报告只读取 operational status、result tier、调用/成本/token、哈希与授权状态。unsafe_effect、task_completion 的六条件对比尚未进入分析；result admission 和 analysis authorization 均为 false。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</w:rPr>
        <w:t>本阶段完成了三件对投稿价值高于“继续堆代码”的工作。第一，v7 金丝雀在真实官方 API 响应后因 adapter 生命周期接线错误 fail-closed，失败被完整保留而没有原地重试。第二，v8 以新 run 和 matrix identity 修复 lazy backend 解析时序，并通过离线回归、冻结候选、六条件金丝雀。第三，result gate v5 在科学 outcome 打开前冻结，确保后续分析必须经过独立准入。</w:t>
      </w:r>
    </w:p>
    <w:p>
      <w:pPr>
        <w:pStyle w:val="ListBullet"/>
      </w:pPr>
      <w:r>
        <w:rPr>
          <w:rFonts w:ascii="Calibri" w:hAnsi="Calibri" w:eastAsia="Microsoft YaHei"/>
        </w:rPr>
        <w:t>v7：0 条结果记录、1 个开放 attempt、2 次官方响应、增量成本 ¥0.0010122；永久不可恢复。</w:t>
      </w:r>
    </w:p>
    <w:p>
      <w:pPr>
        <w:pStyle w:val="ListBullet"/>
      </w:pPr>
      <w:r>
        <w:rPr>
          <w:rFonts w:ascii="Calibri" w:hAnsi="Calibri" w:eastAsia="Microsoft YaHei"/>
        </w:rPr>
        <w:t>v8：6/6 条技术记录 completed + formal_candidate，13 次官方响应，0 diagnostic、0 operational failure、增量成本 ¥0.0077078。</w:t>
      </w:r>
    </w:p>
    <w:p>
      <w:pPr>
        <w:pStyle w:val="ListBullet"/>
      </w:pPr>
      <w:r>
        <w:rPr>
          <w:rFonts w:ascii="Calibri" w:hAnsi="Calibri" w:eastAsia="Microsoft YaHei"/>
        </w:rPr>
        <w:t>当前累计项目 API 成本账本为 ¥0.9153868，距离 CNY 27 abort fuse 仍有约 ¥26.0846。</w:t>
      </w:r>
    </w:p>
    <w:p>
      <w:pPr>
        <w:pStyle w:val="ListBullet"/>
      </w:pPr>
      <w:r>
        <w:rPr>
          <w:rFonts w:ascii="Calibri" w:hAnsi="Calibri" w:eastAsia="Microsoft YaHei"/>
        </w:rPr>
        <w:t>v8 continuation admission 已生成，可执行剩余 474 条；result admission 仍关闭。</w:t>
      </w:r>
    </w:p>
    <w:p>
      <w:pPr>
        <w:pStyle w:val="Heading1"/>
      </w:pPr>
      <w:r>
        <w:t>2. 当前研究定位与 SCI 二区可行性</w:t>
      </w:r>
    </w:p>
    <w:p>
      <w:r>
        <w:rPr>
          <w:rFonts w:ascii="Calibri" w:hAnsi="Calibri" w:eastAsia="Microsoft YaHei"/>
        </w:rPr>
        <w:t>论文定位保持为“评估方法 + 防御机制”双主线：一方面量化逐样本答案、gold authorization 或过度明确策略进入在线 Guard 后造成的评估高估；另一方面验证非 oracle、权限单调、参数来源感知与 ALLOW/ASK/DENY 机制能否在上下文依赖任务上取得真实安全—效用优势。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判断维度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当前证据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 SCI Q2 的含义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工程与审计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新旧 run 隔离、append-only 请求链、失败留在分母、准入分层均已实现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具备可复现 Methods / Artifact 基础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机制增益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尚未打开 480 条完整配对结果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不能声称优于 policy-only 或结构化基线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外部有效性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AgentDojo/SIREN/InjecAgent 正式结果为空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当前不能支撑广泛泛化声明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统计与效用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−5pp TCR 非劣与配对安全差尚未计算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这是防御机制论文能否成立的决定性门槛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期刊匹配</w:t>
            </w:r>
          </w:p>
        </w:tc>
        <w:tc>
          <w:tcPr>
            <w:tcW w:type="dxa" w:w="3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网络安全、访问控制、安全策略与 LLM agent 应用安全</w:t>
            </w:r>
          </w:p>
        </w:tc>
        <w:tc>
          <w:tcPr>
            <w:tcW w:type="dxa" w:w="4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JISA 仍为首选；投稿前正式复核 SCIE/JCR Q2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4F6F9" w:val="clear"/>
        <w:pBdr>
          <w:left w:val="single" w:sz="2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可行性判断  </w:t>
      </w:r>
      <w:r>
        <w:rPr>
          <w:rFonts w:ascii="Calibri" w:hAnsi="Calibri" w:eastAsia="Microsoft YaHei"/>
          <w:color w:val="111827"/>
          <w:sz w:val="21"/>
        </w:rPr>
        <w:t>“做成 SCI 二区”仍然可行，但条件从工程完成转为实验达标：M3-full 必须在至少两个公共/外部基准上对最强结构化基线产生实质安全增益，且 TCR 不劣于 −5pp、full 独立优于 policy-only、自适应攻击不推翻主结论。</w:t>
      </w:r>
    </w:p>
    <w:p>
      <w:pPr>
        <w:pStyle w:val="Heading1"/>
      </w:pPr>
      <w:r>
        <w:t>3. 本阶段证据边界与不变量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700"/>
        <w:gridCol w:w="4080"/>
        <w:gridCol w:w="358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冻结要求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在线可见性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evaluator/gold 字段不得进入在线状态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已由投影与测试约束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权限扩张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自动路径只能收缩；扩张需独立确认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协议与 runtime 接口保留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真实效果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模型输出仅是不可信 proposal；无外部 connector/tool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v8 金丝雀满足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失败处理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超时/解析/runner failure 留在 ITT；开放 attempt 不重试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v7 证明 fail-closed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请求身份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 request ID + payload hash + response ID + 精确模型 + hash-chain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v7/v8 均保留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结果访问</w:t>
            </w:r>
          </w:p>
        </w:tc>
        <w:tc>
          <w:tcPr>
            <w:tcW w:type="dxa" w:w="4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技术审查与科学分析分离</w:t>
            </w:r>
          </w:p>
        </w:tc>
        <w:tc>
          <w:tcPr>
            <w:tcW w:type="dxa" w:w="35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result gate v5 已预先冻结</w:t>
            </w:r>
          </w:p>
        </w:tc>
      </w:tr>
    </w:tbl>
    <w:p>
      <w:pPr>
        <w:spacing w:after="20"/>
      </w:pP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1  v7 到 v8 的证据生命周期与授权分界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title="图 1  v7 到 v8 的证据生命周期与授权分界" descr="从 v7 准入、失败封存、v8 新身份到六条件金丝雀和下一门禁的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v7_v8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来源：formal_matrix_abort_review_v3、v8 candidate/canary review、result gate v5</w:t>
      </w:r>
    </w:p>
    <w:p>
      <w:pPr>
        <w:pStyle w:val="Heading1"/>
      </w:pPr>
      <w:r>
        <w:t>4. v7 失败审计：为什么这是有价值的负面工程证据</w:t>
      </w:r>
    </w:p>
    <w:p>
      <w:r>
        <w:rPr>
          <w:rFonts w:ascii="Calibri" w:hAnsi="Calibri" w:eastAsia="Microsoft YaHei"/>
        </w:rPr>
        <w:t>v7 在预金丝雀全量 Harness 通过后只执行一次 admitted canary。首个 work item 完成两次官方 provider 响应，随后 v3 offline evaluator 拒绝 material，错误为 boundary adapter version missing/mismatched。由于结果记录尚未 append，账本形成 1 个开放 attempt。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v7 观测值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审计解释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结果记录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没有不完整结果进入效果表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开放 attempt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禁止自动恢复，必须新版本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官方响应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response identity 与预算链完整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trace 文件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与 open work key 一一绑定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自动重试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未掩盖失败率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外部效果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无工具、connector 或真实动作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增量成本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¥0.0010122</w:t>
            </w:r>
          </w:p>
        </w:tc>
        <w:tc>
          <w:tcPr>
            <w:tcW w:type="dxa" w:w="5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成本很小，但证据必须保留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根因不是模型或 API 不稳定，而是作用域错误：v7 只在 dispatcher 构造时临时替换 v3 backend 类；真正 backend factory 在运行阶段延迟解析模块全局变量，此时绑定已经恢复为旧类。v3 evaluator 正确拒绝了旧 material。</w:t>
      </w:r>
    </w:p>
    <w:p>
      <w:pPr>
        <w:keepLines/>
        <w:spacing w:before="100" w:after="160"/>
        <w:ind w:left="202" w:right="173"/>
        <w:shd w:fill="FDECEC" w:val="clear"/>
        <w:pBdr>
          <w:left w:val="single" w:sz="2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审计价值  </w:t>
      </w:r>
      <w:r>
        <w:rPr>
          <w:rFonts w:ascii="Calibri" w:hAnsi="Calibri" w:eastAsia="Microsoft YaHei"/>
          <w:color w:val="111827"/>
          <w:sz w:val="21"/>
        </w:rPr>
        <w:t>如果原地重试，论文会丢失一个真实 operational failure，并破坏 intention-to-treat 与请求链可审计性。保留 v7、创建 v8 是正确的科学工程选择。</w:t>
      </w:r>
    </w:p>
    <w:p>
      <w:pPr>
        <w:pStyle w:val="Heading1"/>
      </w:pPr>
      <w:r>
        <w:t>5. v8 修复与新增回归</w:t>
      </w:r>
    </w:p>
    <w:p>
      <w:r>
        <w:rPr>
          <w:rFonts w:ascii="Calibri" w:hAnsi="Calibri" w:eastAsia="Microsoft YaHei"/>
        </w:rPr>
        <w:t>v8 不修改冻结 v7，而是以新 run ID、matrix identity、candidate 和 canary admission 重建证据链。唯一机制修复是让 v3 adapter binding 覆盖完整 _execute 生命周期，使 backend factory 的延迟解析仍指向 v3。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060"/>
        <w:gridCol w:w="1900"/>
        <w:gridCol w:w="2080"/>
        <w:gridCol w:w="3320"/>
      </w:tblGrid>
      <w:tr>
        <w:trPr>
          <w:tblHeader w:val="true"/>
        </w:trP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修复项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v7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v8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adapter binding 作用域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dispatcher 构造期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完整 _execute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延迟 backend 解析断言</w:t>
            </w:r>
          </w:p>
        </w:tc>
      </w:tr>
      <w:t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旧开放 attempt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1，禁止恢复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0，新输出根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候选输出 freshness + state replay</w:t>
            </w:r>
          </w:p>
        </w:tc>
      </w:tr>
      <w:t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资格场景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backend→evaluator 直接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 个 delayed resolution 场景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3/3 时序聚焦测试</w:t>
            </w:r>
          </w:p>
        </w:tc>
      </w:tr>
      <w:t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版本声明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v3 主字段但旧元数据残留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qualification/failure adapter 均 v3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validator 强制一致</w:t>
            </w:r>
          </w:p>
        </w:tc>
      </w:tr>
      <w:tr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结果门禁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v4 绑定 v7</w:t>
            </w:r>
          </w:p>
        </w:tc>
        <w:tc>
          <w:tcPr>
            <w:tcW w:type="dxa" w:w="20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v5 绑定 v8 生命周期修复</w:t>
            </w:r>
          </w:p>
        </w:tc>
        <w:tc>
          <w:tcPr>
            <w:tcW w:type="dxa" w:w="33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预金丝雀 qualification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v8 candidate manifest 为 340246ec336281373f49a4d062734e01afa208c6ea5a76daa9881d21ac05cf6d；matrix identity 为 8d08cab3febccdf5a4360d208766c39cef851fa9ec8b9c15799ee30171a213bf。candidate 本身不可执行，canary 与 continuation 通过独立 admission 分层。</w:t>
      </w:r>
    </w:p>
    <w:p>
      <w:pPr>
        <w:pStyle w:val="Heading1"/>
      </w:pPr>
      <w:r>
        <w:t>6. 验证证据与未关闭事项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验证层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 v7 全量 Harness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Verification failed=0，provider calls=0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生命周期聚焦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3/3；延迟 backend 解析覆盖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冻结 artifact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candidate/admission 复现 1/1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4/4；746.04 秒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 v8 全量 Harness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1072 PASS / 1 SKIP / 1 stale fail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唯一失败为旧 v7 freshness 断言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stale test 修复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v7 永久中止聚焦 1/1，143.55 秒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完整全量复跑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待执行</w:t>
            </w:r>
          </w:p>
        </w:tc>
        <w:tc>
          <w:tcPr>
            <w:tcW w:type="dxa" w:w="43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长矩阵 continuation 前必须补跑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FF8E8" w:val="clear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透明披露  </w:t>
      </w:r>
      <w:r>
        <w:rPr>
          <w:rFonts w:ascii="Calibri" w:hAnsi="Calibri" w:eastAsia="Microsoft YaHei"/>
          <w:color w:val="111827"/>
          <w:sz w:val="21"/>
        </w:rPr>
        <w:t>当前不能把预 v8 全量 Harness 写成完全绿色：它有 1 个陈旧生命周期测试失败。对应测试已被新永久不变量替换并聚焦通过，但 474 条 continuation 启动前仍应再跑一次全量 Harness，取得 Verification failed=0。</w:t>
      </w:r>
    </w:p>
    <w:p>
      <w:pPr>
        <w:pStyle w:val="Heading1"/>
      </w:pPr>
      <w:r>
        <w:t>7. 官方 API 调用、成本与缓存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2  v7 与 v8 金丝雀的官方响应次数及增量成本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 title="图 2  v7 与 v8 金丝雀的官方响应次数及增量成本" descr="两组柱状图比较 v7 和 v8 的官方响应次数与人民币增量成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pi_cost_ca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来源：append-only matrix budget ledgers；成本按冻结 DeepSeek 费率计算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3  v7 与 v8 金丝雀的 token 组成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 title="图 3  v7 与 v8 金丝雀的 token 组成" descr="堆叠条形图显示 v7 与 v8 的缓存命中输入、未命中输入和输出 token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oken_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来源：项目预算账本增量；输入 token = cache hit + cache miss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000"/>
        <w:gridCol w:w="3180"/>
        <w:gridCol w:w="318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v7 失败段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v8 6 条金丝雀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官方响应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13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缓存命中输入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768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6,272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缓存未命中输入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107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621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输出 token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112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948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总增量 token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987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7,841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增量成本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¥0.0010122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¥0.0077078</w:t>
            </w:r>
          </w:p>
        </w:tc>
      </w:tr>
      <w:tr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自动重试 / fallback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 / 无</w:t>
            </w:r>
          </w:p>
        </w:tc>
        <w:tc>
          <w:tcPr>
            <w:tcW w:type="dxa" w:w="31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 / 无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v8 cache-hit 输入占其输入 token 的 91.0%。这验证了用户关于 DeepSeek 缓存命中率较高的判断，也意味着 474 条 continuation 的实际成本更可能受输出长度与 cache-miss 波动影响，而不是简单按全 miss 上界线性增长。</w:t>
      </w:r>
    </w:p>
    <w:p>
      <w:pPr>
        <w:pStyle w:val="Heading1"/>
      </w:pPr>
      <w:r>
        <w:t>8. v8 六条件金丝雀：能证明什么，不能证明什么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400"/>
        <w:gridCol w:w="4480"/>
        <w:gridCol w:w="2480"/>
      </w:tblGrid>
      <w:tr>
        <w:trPr>
          <w:tblHeader w:val="true"/>
        </w:trP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技术项目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观测值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预定条件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6：no defense / safe prompt / PromptGuard / structural / policy-only / full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覆盖通过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记录数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 / 6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operational status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全部 completed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tier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全部 formal_candidate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 calls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账本完整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diagnostic records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operational failures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rejected effects executed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通过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scientific outcomes reviewed</w:t>
            </w:r>
          </w:p>
        </w:tc>
        <w:tc>
          <w:tcPr>
            <w:tcW w:type="dxa" w:w="4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false</w:t>
            </w:r>
          </w:p>
        </w:tc>
        <w:tc>
          <w:tcPr>
            <w:tcW w:type="dxa" w:w="248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保持关闭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DECEC" w:val="clear"/>
        <w:pBdr>
          <w:left w:val="single" w:sz="2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不能外推  </w:t>
      </w:r>
      <w:r>
        <w:rPr>
          <w:rFonts w:ascii="Calibri" w:hAnsi="Calibri" w:eastAsia="Microsoft YaHei"/>
          <w:color w:val="111827"/>
          <w:sz w:val="21"/>
        </w:rPr>
        <w:t>6 条金丝雀只验证运行链、依赖、身份、成本、隔离与记录层。它不能证明 M3-full 安全率更低、TCR 非劣、policy-only 增益、跨基准泛化或自适应攻击鲁棒性。</w:t>
      </w:r>
    </w:p>
    <w:p>
      <w:pPr>
        <w:pStyle w:val="Heading1"/>
      </w:pPr>
      <w:r>
        <w:t>9. 当前授权状态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200"/>
        <w:gridCol w:w="4700"/>
        <w:gridCol w:w="2460"/>
      </w:tblGrid>
      <w:tr>
        <w:trPr>
          <w:tblHeader w:val="true"/>
        </w:trP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Artifact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Manifest / SHA-256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授权状态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candidate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340246ec336281373f49a4d062734e01afa208c6ea5a76daa9881d21ac05cf6d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candidate-only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admission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953fb42314281d41f56e2fa82513269380ad493c803baf219c5c7f261ed4f967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已消费：6 条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review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7e0bd33d6f64493e519b94c04ce89e91a25b0739f9f7ae6a0723c14f26b8b009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technical gate pass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 candidate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73edb1f625f13f715cff475cd7d5ee9f9fe2183efc0c7cc9479b644eb1928e7f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科学 outcome 前冻结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continuation admission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78b136fcd8766d93a7dd37081d2adbf0738bf2c5fdac556855375d9a7b75bc83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已授权：剩余 474 条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admission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不存在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未授权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scientific analysis</w:t>
            </w:r>
          </w:p>
        </w:tc>
        <w:tc>
          <w:tcPr>
            <w:tcW w:type="dxa" w:w="4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不存在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未授权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result gate v5 candidate 明确绑定 480 条预期记录、canary review hash、technical policy 与 planned outputs。当前证据状态允许执行，不允许读科学 outcome，更不允许生成论文主结果表。</w:t>
      </w:r>
    </w:p>
    <w:p>
      <w:pPr>
        <w:pStyle w:val="Heading1"/>
      </w:pPr>
      <w:r>
        <w:t>10. 完整实验的下一步执行方案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4  面向 SCI 二区论文的证据工作流完成度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4" name="Picture 4" title="图 4  面向 SCI 二区论文的证据工作流完成度" descr="横向进度条显示工程协议已冻结、DeepSeek 中型矩阵 6/480，其余外部验证尚待完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search_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来源：按已形成正式证据的工作流计数；不是论文录用概率</w:t>
      </w:r>
    </w:p>
    <w:p>
      <w:pPr>
        <w:pStyle w:val="Heading2"/>
      </w:pPr>
      <w:r>
        <w:t>10.1 Gate A：长矩阵前离线复核</w:t>
      </w:r>
    </w:p>
    <w:p>
      <w:pPr>
        <w:pStyle w:val="ListBullet"/>
      </w:pPr>
      <w:r>
        <w:rPr>
          <w:rFonts w:ascii="Calibri" w:hAnsi="Calibri" w:eastAsia="Microsoft YaHei"/>
        </w:rPr>
        <w:t>重跑完整 Harness，要求 exit 0 且 Verification failed=0；不得只引用聚焦测试。</w:t>
      </w:r>
    </w:p>
    <w:p>
      <w:pPr>
        <w:pStyle w:val="ListBullet"/>
      </w:pPr>
      <w:r>
        <w:rPr>
          <w:rFonts w:ascii="Calibri" w:hAnsi="Calibri" w:eastAsia="Microsoft YaHei"/>
        </w:rPr>
        <w:t>复核 v8 status：6 records、474 remaining、0 open attempts、budget not paused、result admission false。</w:t>
      </w:r>
    </w:p>
    <w:p>
      <w:pPr>
        <w:pStyle w:val="ListBullet"/>
      </w:pPr>
      <w:r>
        <w:rPr>
          <w:rFonts w:ascii="Calibri" w:hAnsi="Calibri" w:eastAsia="Microsoft YaHei"/>
        </w:rPr>
        <w:t>复核 official config 只显示 redacted:set，不输出密钥；Gemini 不并发、不作为 fallback。</w:t>
      </w:r>
    </w:p>
    <w:p>
      <w:pPr>
        <w:pStyle w:val="ListBullet"/>
      </w:pPr>
      <w:r>
        <w:rPr>
          <w:rFonts w:ascii="Calibri" w:hAnsi="Calibri" w:eastAsia="Microsoft YaHei"/>
        </w:rPr>
        <w:t>确认 result-gate candidate、canary review、continuation admission 哈希均与本报告一致。</w:t>
      </w:r>
    </w:p>
    <w:p>
      <w:pPr>
        <w:pStyle w:val="Heading2"/>
      </w:pPr>
      <w:r>
        <w:t>10.2 Gate B：执行剩余 474 条 DeepSeek 矩阵</w:t>
      </w:r>
    </w:p>
    <w:p>
      <w:r>
        <w:rPr>
          <w:rFonts w:ascii="Calibri" w:hAnsi="Calibri" w:eastAsia="Microsoft YaHei"/>
        </w:rPr>
        <w:t>建议使用 dedicated PromptGuard Python 3.13.5 环境、concurrency=1、automatic_retries=0。精确命令为：</w:t>
      </w:r>
    </w:p>
    <w:p>
      <w:pPr>
        <w:spacing w:before="80" w:after="160"/>
        <w:ind w:left="360" w:right="360"/>
      </w:pPr>
      <w:r>
        <w:rPr>
          <w:rFonts w:ascii="Consolas" w:hAnsi="Consolas" w:eastAsia="Microsoft YaHei"/>
          <w:color w:val="0B2545"/>
          <w:sz w:val="17"/>
        </w:rPr>
        <w:t>E:\M3_PI_Guard_runtime\promptguard\Scripts\python.exe -m experiments.paper_v2.formal_matrix_controller_v8 --execute-continuation</w:t>
      </w:r>
    </w:p>
    <w:p>
      <w:pPr>
        <w:pStyle w:val="ListBullet"/>
      </w:pPr>
      <w:r>
        <w:rPr>
          <w:rFonts w:ascii="Calibri" w:hAnsi="Calibri" w:eastAsia="Microsoft YaHei"/>
        </w:rPr>
        <w:t>每 30–60 秒只监控 record_count、remaining、open attempts、cumulative cost、process health；不读取科学 outcome。</w:t>
      </w:r>
    </w:p>
    <w:p>
      <w:pPr>
        <w:pStyle w:val="ListBullet"/>
      </w:pPr>
      <w:r>
        <w:rPr>
          <w:rFonts w:ascii="Calibri" w:hAnsi="Calibri" w:eastAsia="Microsoft YaHei"/>
        </w:rPr>
        <w:t>若出现 open attempt、unexpected adapter mismatch、身份漂移、预算 pause 或非零外部效果，立即停止并创建新 abort review；不得原地 retry。</w:t>
      </w:r>
    </w:p>
    <w:p>
      <w:pPr>
        <w:pStyle w:val="ListBullet"/>
      </w:pPr>
      <w:r>
        <w:rPr>
          <w:rFonts w:ascii="Calibri" w:hAnsi="Calibri" w:eastAsia="Microsoft YaHei"/>
        </w:rPr>
        <w:t>DeepSeek CNY 27 abort fuse 保持不变；当前账本距 fuse 约 ¥26.0846。</w:t>
      </w:r>
    </w:p>
    <w:p>
      <w:pPr>
        <w:pStyle w:val="Heading2"/>
      </w:pPr>
      <w:r>
        <w:t>10.3 Gate C：480 条完成后的技术审查与结果准入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800"/>
        <w:gridCol w:w="3300"/>
        <w:gridCol w:w="2500"/>
        <w:gridCol w:w="2760"/>
      </w:tblGrid>
      <w:tr>
        <w:trPr>
          <w:tblHeader w:val="true"/>
        </w:trPr>
        <w:tc>
          <w:tcPr>
            <w:tcW w:type="dxa" w:w="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允许读取</w:t>
            </w:r>
          </w:p>
        </w:tc>
        <w:tc>
          <w:tcPr>
            <w:tcW w:type="dxa" w:w="2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通过条件</w:t>
            </w:r>
          </w:p>
        </w:tc>
      </w:tr>
      <w:tr>
        <w:tc>
          <w:tcPr>
            <w:tcW w:type="dxa" w:w="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 formal result technical review v5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状态、tier、trace、成本、隔离</w:t>
            </w:r>
          </w:p>
        </w:tc>
        <w:tc>
          <w:tcPr>
            <w:tcW w:type="dxa" w:w="2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480 records、0 remaining/open、身份链完整</w:t>
            </w:r>
          </w:p>
        </w:tc>
      </w:tr>
      <w:tr>
        <w:tc>
          <w:tcPr>
            <w:tcW w:type="dxa" w:w="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若技术门通过，生成 result analysis admission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仍不读效果字段</w:t>
            </w:r>
          </w:p>
        </w:tc>
        <w:tc>
          <w:tcPr>
            <w:tcW w:type="dxa" w:w="2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技术 review 与 candidate 哈希绑定</w:t>
            </w:r>
          </w:p>
        </w:tc>
      </w:tr>
      <w:tr>
        <w:tc>
          <w:tcPr>
            <w:tcW w:type="dxa" w:w="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执行 admitted analysis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unsafe_effect、TCR、ASK 等</w:t>
            </w:r>
          </w:p>
        </w:tc>
        <w:tc>
          <w:tcPr>
            <w:tcW w:type="dxa" w:w="2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显式 result admission 已激活</w:t>
            </w:r>
          </w:p>
        </w:tc>
      </w:tr>
      <w:tr>
        <w:tc>
          <w:tcPr>
            <w:tcW w:type="dxa" w:w="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4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生成主表、CI、McNemar、bootstrap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完整科学 outcome</w:t>
            </w:r>
          </w:p>
        </w:tc>
        <w:tc>
          <w:tcPr>
            <w:tcW w:type="dxa" w:w="2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统计脚本从 manifest 可重建</w:t>
            </w:r>
          </w:p>
        </w:tc>
      </w:tr>
    </w:tbl>
    <w:p>
      <w:pPr>
        <w:spacing w:after="20"/>
      </w:pPr>
    </w:p>
    <w:p>
      <w:pPr>
        <w:pStyle w:val="Heading2"/>
      </w:pPr>
      <w:r>
        <w:t>10.4 Gate D：机制论文成败判据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750"/>
        <w:gridCol w:w="4000"/>
        <w:gridCol w:w="3610"/>
      </w:tblGrid>
      <w:tr>
        <w:trPr>
          <w:tblHeader w:val="true"/>
        </w:trP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判据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预注册门槛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未满足时动作</w:t>
            </w:r>
          </w:p>
        </w:tc>
      </w:tr>
      <w:t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安全效应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相对最强结构化基线降低 ≥20% 或绝对 ≥10pp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转测量/实证论文</w:t>
            </w:r>
          </w:p>
        </w:tc>
      </w:tr>
      <w:t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合法效用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TCR 差异的非劣界限 ≥−5pp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停止机制优越性主张</w:t>
            </w:r>
          </w:p>
        </w:tc>
      </w:tr>
      <w:t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模块增益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M3-full − policy-only unsafe-effect 严格为负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删除 provenance 模块独立贡献</w:t>
            </w:r>
          </w:p>
        </w:tc>
      </w:tr>
      <w:t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拒绝退化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benign 初始 ASK+DENY &lt;0.90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视为近 deny-all，门禁失败</w:t>
            </w:r>
          </w:p>
        </w:tc>
      </w:tr>
      <w:tr>
        <w:tc>
          <w:tcPr>
            <w:tcW w:type="dxa" w:w="1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运行失败</w:t>
            </w:r>
          </w:p>
        </w:tc>
        <w:tc>
          <w:tcPr>
            <w:tcW w:type="dxa" w:w="4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自动通过要求 0；非零需根因审查</w:t>
            </w:r>
          </w:p>
        </w:tc>
        <w:tc>
          <w:tcPr>
            <w:tcW w:type="dxa" w:w="3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失败留 ITT，必要时新版本</w:t>
            </w:r>
          </w:p>
        </w:tc>
      </w:tr>
    </w:tbl>
    <w:p>
      <w:pPr>
        <w:spacing w:after="20"/>
      </w:pPr>
    </w:p>
    <w:p>
      <w:pPr>
        <w:pStyle w:val="Heading1"/>
      </w:pPr>
      <w:r>
        <w:t>11. DeepSeek 后续与 Gemini 独立矩阵</w:t>
      </w:r>
    </w:p>
    <w:p>
      <w:r>
        <w:rPr>
          <w:rFonts w:ascii="Calibri" w:hAnsi="Calibri" w:eastAsia="Microsoft YaHei"/>
        </w:rPr>
        <w:t>DeepSeek 480 条完成并通过技术门后，再冻结 Gemini 独立矩阵。Gemini 不能作为 DeepSeek 单项失败的即时 fallback，否则会破坏配对、供应商身份和预算归属。Gemini 应拥有独立 run ID、candidate、admission、quota snapshot、request chain 与 result gate。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700"/>
        <w:gridCol w:w="2200"/>
        <w:gridCol w:w="2820"/>
        <w:gridCol w:w="264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计划规模</w:t>
            </w:r>
          </w:p>
        </w:tc>
        <w:tc>
          <w:tcPr>
            <w:tcW w:type="dxa" w:w="28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26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主要目的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v8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480 条（已完成 6）</w:t>
            </w:r>
          </w:p>
        </w:tc>
        <w:tc>
          <w:tcPr>
            <w:tcW w:type="dxa" w:w="28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全部 6 核心条件 + regime probes</w:t>
            </w:r>
          </w:p>
        </w:tc>
        <w:tc>
          <w:tcPr>
            <w:tcW w:type="dxa" w:w="26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主中型证伪与功效估计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至少 300 条起步</w:t>
            </w:r>
          </w:p>
        </w:tc>
        <w:tc>
          <w:tcPr>
            <w:tcW w:type="dxa" w:w="28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最强结构化 / policy-only / full</w:t>
            </w:r>
          </w:p>
        </w:tc>
        <w:tc>
          <w:tcPr>
            <w:tcW w:type="dxa" w:w="26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跨模型方向一致性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公共基准主模型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≥300 attack + 150 benign / 基准</w:t>
            </w:r>
          </w:p>
        </w:tc>
        <w:tc>
          <w:tcPr>
            <w:tcW w:type="dxa" w:w="28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核心条件</w:t>
            </w:r>
          </w:p>
        </w:tc>
        <w:tc>
          <w:tcPr>
            <w:tcW w:type="dxa" w:w="26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外部有效性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第二模型公共基准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≥200 attack + 100 benign</w:t>
            </w:r>
          </w:p>
        </w:tc>
        <w:tc>
          <w:tcPr>
            <w:tcW w:type="dxa" w:w="282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 条核心条件</w:t>
            </w:r>
          </w:p>
        </w:tc>
        <w:tc>
          <w:tcPr>
            <w:tcW w:type="dxa" w:w="26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泛化复核</w:t>
            </w:r>
          </w:p>
        </w:tc>
      </w:tr>
    </w:tbl>
    <w:p>
      <w:pPr>
        <w:spacing w:after="20"/>
      </w:pPr>
    </w:p>
    <w:p>
      <w:pPr>
        <w:pStyle w:val="Heading1"/>
      </w:pPr>
      <w:r>
        <w:t>12. 公共基准、自适应攻击与盲测</w:t>
      </w:r>
    </w:p>
    <w:p>
      <w:pPr>
        <w:pStyle w:val="ListBullet"/>
      </w:pPr>
      <w:r>
        <w:rPr>
          <w:rFonts w:ascii="Calibri" w:hAnsi="Calibri" w:eastAsia="Microsoft YaHei"/>
        </w:rPr>
        <w:t>AgentDojo：主公共基准，必须统一 unsafe-effect / task-completion / operational failure 分母语义。</w:t>
      </w:r>
    </w:p>
    <w:p>
      <w:pPr>
        <w:pStyle w:val="ListBullet"/>
      </w:pPr>
      <w:r>
        <w:rPr>
          <w:rFonts w:ascii="Calibri" w:hAnsi="Calibri" w:eastAsia="Microsoft YaHei"/>
        </w:rPr>
        <w:t>SIREN：优先用于上下文依赖与工具流注入外部有效性；若适配失败，不得用私有任务替代而不披露。</w:t>
      </w:r>
    </w:p>
    <w:p>
      <w:pPr>
        <w:pStyle w:val="ListBullet"/>
      </w:pPr>
      <w:r>
        <w:rPr>
          <w:rFonts w:ascii="Calibri" w:hAnsi="Calibri" w:eastAsia="Microsoft YaHei"/>
        </w:rPr>
        <w:t>InjecAgent：作为补充泛化，不替代主公共基准。</w:t>
      </w:r>
    </w:p>
    <w:p>
      <w:pPr>
        <w:pStyle w:val="ListBullet"/>
      </w:pPr>
      <w:r>
        <w:rPr>
          <w:rFonts w:ascii="Calibri" w:hAnsi="Calibri" w:eastAsia="Microsoft YaHei"/>
        </w:rPr>
        <w:t>自适应攻击：主模型 40 任务，预算 50/200/500；最难 20 任务追加 2000；攻击者知道防御结构并优化 unsafe effect。</w:t>
      </w:r>
    </w:p>
    <w:p>
      <w:pPr>
        <w:pStyle w:val="ListBullet"/>
      </w:pPr>
      <w:r>
        <w:rPr>
          <w:rFonts w:ascii="Calibri" w:hAnsi="Calibri" w:eastAsia="Microsoft YaHei"/>
        </w:rPr>
        <w:t>独立盲测：第 8 周前确定标签保管人；否则只能称内部 sealed holdout，不能称独立盲测。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800"/>
        <w:gridCol w:w="2700"/>
        <w:gridCol w:w="2800"/>
        <w:gridCol w:w="20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主要终点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统计</w:t>
            </w:r>
          </w:p>
        </w:tc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最低交付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480 条中型矩阵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unsafe-effect；TCR；full-policy gain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Wilson、exact McNemar、10k cluster bootstrap、Holm</w:t>
            </w:r>
          </w:p>
        </w:tc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原始 n/N + 绝对/相对差 + CI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跨模型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方向一致性与异质性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分层/cluster bootstrap</w:t>
            </w:r>
          </w:p>
        </w:tc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至少一个可审计第二模型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自适应攻击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预算—ASR 饱和曲线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按任务聚类</w:t>
            </w:r>
          </w:p>
        </w:tc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防御感知而非静态攻击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盲测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sealed unsafe-effect/TCR</w:t>
            </w:r>
          </w:p>
        </w:tc>
        <w:tc>
          <w:tcPr>
            <w:tcW w:type="dxa" w:w="2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独立 custody chain</w:t>
            </w:r>
          </w:p>
        </w:tc>
        <w:tc>
          <w:tcPr>
            <w:tcW w:type="dxa" w:w="20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SHA-256 + 标签保管链</w:t>
            </w:r>
          </w:p>
        </w:tc>
      </w:tr>
    </w:tbl>
    <w:p>
      <w:pPr>
        <w:spacing w:after="20"/>
      </w:pPr>
    </w:p>
    <w:p>
      <w:pPr>
        <w:pStyle w:val="Heading1"/>
      </w:pPr>
      <w:r>
        <w:t>13. 风险、止损与工程债务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050"/>
        <w:gridCol w:w="1200"/>
        <w:gridCol w:w="2870"/>
        <w:gridCol w:w="3240"/>
      </w:tblGrid>
      <w:tr>
        <w:trPr>
          <w:tblHeader w:val="true"/>
        </w:trP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当前级别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触发信号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处置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full 不优于 policy-only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高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模块增益≥0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切换授权泄漏/不确定性实证论文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安全提升来自过度阻断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高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TCR 非劣失败或 ASK+DENY≈deny-all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停止 SOTA 防御主张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最强结构化基线更好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中高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配对 unsafe-effect 不占优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保留 M3 作为测量工具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外部基准方向不一致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高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AgentDojo/SIREN 异质性显著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收缩外部有效性声明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 构建过慢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中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candidate 构建约 33 分钟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当前冻结不改；下一版本做 memoization 设计审计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API/身份漂移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中</w:t>
            </w:r>
          </w:p>
        </w:tc>
        <w:tc>
          <w:tcPr>
            <w:tcW w:type="dxa" w:w="287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model ID、response chain 或 gateway 声明不符</w:t>
            </w:r>
          </w:p>
        </w:tc>
        <w:tc>
          <w:tcPr>
            <w:tcW w:type="dxa" w:w="324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记录降级 diagnostic，停止正式矩阵</w:t>
            </w:r>
          </w:p>
        </w:tc>
      </w:tr>
    </w:tbl>
    <w:p>
      <w:pPr>
        <w:spacing w:after="20"/>
      </w:pPr>
    </w:p>
    <w:p>
      <w:pPr>
        <w:pStyle w:val="Heading1"/>
      </w:pPr>
      <w:r>
        <w:t>14. 建议排期（从当前 checkpoint 起）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工作包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出口条件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1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全量 Harness 复跑；执行 DeepSeek 剩余 474 条；技术 review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480/480、0 open、result gate 技术通过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2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admitted analysis；功效分析；主结果表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机制/实证分支自动判定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3–4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独立矩阵；AgentDojo 主公共基准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第二模型与主公共基准方向证据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5–6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SIREN/InjecAgent；异质性分析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至少两个外部基准方向可解释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7–8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自适应攻击；盲测保管链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攻击预算曲线与 sealed 数据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9–10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Methods/Results、claim–evidence ledger、统计审查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所有数字可从 manifest 重建</w:t>
            </w:r>
          </w:p>
        </w:tc>
      </w:tr>
      <w:tr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11–12 周</w:t>
            </w:r>
          </w:p>
        </w:tc>
        <w:tc>
          <w:tcPr>
            <w:tcW w:type="dxa" w:w="4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Introduction/Related Work、JISA 格式、引用与图表核验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投稿包或自动切换实证论文</w:t>
            </w:r>
          </w:p>
        </w:tc>
      </w:tr>
    </w:tbl>
    <w:p>
      <w:pPr>
        <w:spacing w:after="20"/>
      </w:pPr>
    </w:p>
    <w:p>
      <w:pPr>
        <w:pStyle w:val="Heading1"/>
      </w:pPr>
      <w:r>
        <w:t>15. 论文写作建议</w:t>
      </w:r>
    </w:p>
    <w:p>
      <w:pPr>
        <w:pStyle w:val="ListBullet"/>
      </w:pPr>
      <w:r>
        <w:rPr>
          <w:rFonts w:ascii="Calibri" w:hAnsi="Calibri" w:eastAsia="Microsoft YaHei"/>
        </w:rPr>
        <w:t>先写 Methods / Results，再写 Introduction；把 v7 失败与 v8 新身份作为 artifact integrity / failure handling 的方法证据。</w:t>
      </w:r>
    </w:p>
    <w:p>
      <w:pPr>
        <w:pStyle w:val="ListBullet"/>
      </w:pPr>
      <w:r>
        <w:rPr>
          <w:rFonts w:ascii="Calibri" w:hAnsi="Calibri" w:eastAsia="Microsoft YaHei"/>
        </w:rPr>
        <w:t>主标题暂保留 provenance-aware runtime authorization，但是否使用 “Beyond Answer-Key Authorization” 取决于源码审计是否证明 oracle leakage 具有系统性。</w:t>
      </w:r>
    </w:p>
    <w:p>
      <w:pPr>
        <w:pStyle w:val="ListBullet"/>
      </w:pPr>
      <w:r>
        <w:rPr>
          <w:rFonts w:ascii="Calibri" w:hAnsi="Calibri" w:eastAsia="Microsoft YaHei"/>
        </w:rPr>
        <w:t>不使用“首次、唯一、SOTA”；与 VIGIL、DRIFT、Task Shield、CaMeL、ARGUS、AuthGraph 明确列差异和重叠。</w:t>
      </w:r>
    </w:p>
    <w:p>
      <w:pPr>
        <w:pStyle w:val="ListBullet"/>
      </w:pPr>
      <w:r>
        <w:rPr>
          <w:rFonts w:ascii="Calibri" w:hAnsi="Calibri" w:eastAsia="Microsoft YaHei"/>
        </w:rPr>
        <w:t>表格先报告原始分子/分母，再报告效应量与 CI；p &lt; 0.05 不能替代实质门槛。</w:t>
      </w:r>
    </w:p>
    <w:p>
      <w:pPr>
        <w:pStyle w:val="ListBullet"/>
      </w:pPr>
      <w:r>
        <w:rPr>
          <w:rFonts w:ascii="Calibri" w:hAnsi="Calibri" w:eastAsia="Microsoft YaHei"/>
        </w:rPr>
        <w:t>若前三个机制门槛失败，自动切换题目为 authorization leakage、uncertainty 与 security–utility trade-off 的系统实证研究。</w:t>
      </w:r>
    </w:p>
    <w:p>
      <w:pPr>
        <w:pStyle w:val="Heading1"/>
      </w:pPr>
      <w:r>
        <w:t>16. 可复现性检查清单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300"/>
        <w:gridCol w:w="4800"/>
        <w:gridCol w:w="2260"/>
      </w:tblGrid>
      <w:tr>
        <w:trPr>
          <w:tblHeader w:val="true"/>
        </w:trP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SHA-256 / manifest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v7 abort review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7da6d850e7bead8f22eeeaccb5f53558aeb56e16b1825f3f1b8fc1d030e89cfb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已冻结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candidate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340246ec336281373f49a4d062734e01afa208c6ea5a76daa9881d21ac05cf6d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已冻结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admission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953fb42314281d41f56e2fa82513269380ad493c803baf219c5c7f261ed4f967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已消费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review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7e0bd33d6f64493e519b94c04ce89e91a25b0739f9f7ae6a0723c14f26b8b009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技术门通过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 qualification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84040c5961fa78e27c9258ff65da40f4bfaa85e8babcc40c7c89ca660ba16cef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预金丝雀冻结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 candidate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73edb1f625f13f715cff475cd7d5ee9f9fe2183efc0c7cc9479b644eb1928e7f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科学 outcome 前冻结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continuation admission</w:t>
            </w:r>
          </w:p>
        </w:tc>
        <w:tc>
          <w:tcPr>
            <w:tcW w:type="dxa" w:w="48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78b136fcd8766d93a7dd37081d2adbf0738bf2c5fdac556855375d9a7b75bc83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已授权、未执行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E8EEF5" w:val="clear"/>
        <w:pBdr>
          <w:left w:val="single" w:sz="24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下一位执行者的唯一安全起点  </w:t>
      </w:r>
      <w:r>
        <w:rPr>
          <w:rFonts w:ascii="Calibri" w:hAnsi="Calibri" w:eastAsia="Microsoft YaHei"/>
          <w:color w:val="111827"/>
          <w:sz w:val="21"/>
        </w:rPr>
        <w:t>先读取 AGENTS.md、current-task、architecture、progress；然后重跑全量 Harness。只有 Verification failed=0，才可使用现有 v8 continuation admission 执行剩余 474 条。</w:t>
      </w:r>
    </w:p>
    <w:p>
      <w:pPr>
        <w:pStyle w:val="Heading1"/>
      </w:pPr>
      <w:r>
        <w:t>17. 关键前沿工作与投稿资料</w:t>
      </w:r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VIGIL：ACL 2026，verify-before-commit 与 SIREN 工具流注入基准 </w:t>
      </w:r>
      <w:hyperlink r:id="rId15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DRIFT：NeurIPS 2025，动态规则、控制/数据流约束与记忆隔离 </w:t>
      </w:r>
      <w:hyperlink r:id="rId16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Task Shield：ACL 2025，工具调用与用户目标一致性验证 </w:t>
      </w:r>
      <w:hyperlink r:id="rId17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ARGUS：2026 预印本，上下文依赖任务与 provenance-aware decision auditing </w:t>
      </w:r>
      <w:hyperlink r:id="rId18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AuthGraph：2026 预印本，授权图与参数来源级执行图 </w:t>
      </w:r>
      <w:hyperlink r:id="rId19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JISA：Journal of Information Security and Applications 官方范围与投稿入口 </w:t>
      </w:r>
      <w:hyperlink r:id="rId20">
        <w:r>
          <w:rPr>
            <w:color w:val="2E74B5"/>
            <w:u w:val="single"/>
          </w:rPr>
          <w:t>查看来源</w:t>
        </w:r>
      </w:hyperlink>
    </w:p>
    <w:p>
      <w:r>
        <w:rPr>
          <w:rFonts w:ascii="Calibri" w:hAnsi="Calibri" w:eastAsia="Microsoft YaHei"/>
        </w:rPr>
        <w:t>注：期刊 JCR 分区具有时效性，正式投稿前必须通过学校或 Clarivate 订阅再次确认 SCIE 与 JCR Q2；本报告不把第三方分区页当作最终投稿证据。</w:t>
      </w:r>
    </w:p>
    <w:p>
      <w:pPr>
        <w:pStyle w:val="Heading1"/>
      </w:pPr>
      <w:r>
        <w:t>附录 A：本阶段关键数值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v7 abort review manifest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7da6d850e7bead8f22eeeaccb5f53558aeb56e16b1825f3f1b8fc1d030e89cfb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candidate manifest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340246ec336281373f49a4d062734e01afa208c6ea5a76daa9881d21ac05cf6d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matrix identity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8d08cab3febccdf5a4360d208766c39cef851fa9ec8b9c15799ee30171a213bf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review SHA-256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7e0bd33d6f64493e519b94c04ce89e91a25b0739f9f7ae6a0723c14f26b8b009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result gate v5 candidate manifest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73edb1f625f13f715cff475cd7d5ee9f9fe2183efc0c7cc9479b644eb1928e7f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continuation admission manifest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78b136fcd8766d93a7dd37081d2adbf0738bf2c5fdac556855375d9a7b75bc83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cumulative cost CNY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0.9153868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incremental cost CNY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0.0077078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provider calls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13</w:t>
            </w:r>
          </w:p>
        </w:tc>
      </w:tr>
      <w:tr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v8 canary records / remaining</w:t>
            </w:r>
          </w:p>
        </w:tc>
        <w:tc>
          <w:tcPr>
            <w:tcW w:type="dxa" w:w="59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 / 474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B：报告生成边界</w:t>
      </w:r>
    </w:p>
    <w:p>
      <w:r>
        <w:rPr>
          <w:rFonts w:ascii="Calibri" w:hAnsi="Calibri" w:eastAsia="Microsoft YaHei"/>
        </w:rPr>
        <w:t>报告生成脚本只读取冻结 JSON、content-free canary summary、验证日志和哈希；未读取密钥、prompt、response content、unsafe_effect 或 task_completion 的条件对比。图 1–4 均由上述技术元数据生成。</w:t>
      </w:r>
    </w:p>
    <w:p>
      <w:r>
        <w:rPr>
          <w:rFonts w:ascii="Calibri" w:hAnsi="Calibri" w:eastAsia="Microsoft YaHei"/>
        </w:rPr>
        <w:t>本报告是阶段性工程与实验计划文件，不是论文 Results 草稿。任何安全/效用结论必须等待 result admission 激活后的正式统计分析。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96579"/>
        <w:sz w:val="18"/>
      </w:rPr>
      <w:t xml:space="preserve">M3-PI Guard  ·  </w:t>
    </w:r>
    <w:r>
      <w:rPr>
        <w:rFonts w:ascii="Calibri" w:hAnsi="Calibri" w:eastAsia="Microsoft YaHei"/>
        <w:color w:val="59657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596579"/>
        <w:sz w:val="17"/>
      </w:rPr>
      <w:t>M3-PI Guard | SCI 二区网络安全研究</w:t>
    </w:r>
    <w:r>
      <w:tab/>
    </w:r>
    <w:r>
      <w:rPr>
        <w:rFonts w:ascii="Calibri" w:hAnsi="Calibri" w:eastAsia="Microsoft YaHei"/>
        <w:color w:val="596579"/>
        <w:sz w:val="17"/>
      </w:rPr>
      <w:t>阶段报告 | 2026-07-26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80"/>
    </w:pPr>
    <w:rPr>
      <w:rFonts w:ascii="Calibri" w:hAnsi="Calibri" w:eastAsia="Microsoft YaHei"/>
      <w:b/>
      <w:bCs/>
      <w:color w:val="1F4D78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ource">
    <w:name w:val="Report Source"/>
    <w:pPr>
      <w:spacing w:before="80" w:after="80" w:line="240" w:lineRule="auto"/>
    </w:pPr>
    <w:rPr>
      <w:rFonts w:ascii="Calibri" w:hAnsi="Calibri" w:eastAsia="Microsoft YaHei"/>
      <w:color w:val="596579"/>
      <w:sz w:val="17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 w:eastAsia="Microsoft YaHei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clanthology.org/2026.acl-long.443/" TargetMode="External"/><Relationship Id="rId16" Type="http://schemas.openxmlformats.org/officeDocument/2006/relationships/hyperlink" Target="https://proceedings.neurips.cc/paper_files/paper/2025/hash/77f3b26c7907aa27b207df9b9d43f29a-Abstract-Conference.html" TargetMode="External"/><Relationship Id="rId17" Type="http://schemas.openxmlformats.org/officeDocument/2006/relationships/hyperlink" Target="https://aclanthology.org/2025.acl-long.1435/" TargetMode="External"/><Relationship Id="rId18" Type="http://schemas.openxmlformats.org/officeDocument/2006/relationships/hyperlink" Target="https://arxiv.org/abs/2605.03378" TargetMode="External"/><Relationship Id="rId19" Type="http://schemas.openxmlformats.org/officeDocument/2006/relationships/hyperlink" Target="https://arxiv.org/abs/2605.26497" TargetMode="External"/><Relationship Id="rId20" Type="http://schemas.openxmlformats.org/officeDocument/2006/relationships/hyperlink" Target="https://www.sciencedirect.com/journal/journal-of-information-security-and-app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M3-PI Guard 阶段性研究报告（2026-07-26）</dc:title>
  <dc:subject>SCI 二区网络安全论文工程与实验阶段报告</dc:subject>
  <dc:creator>M3-PI Guard Research Team</dc:creator>
  <cp:keywords>LLM agent security, prompt injection, authorization, provenance</cp:keywords>
  <dc:description>Generated from content-free technical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