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7A5A00"/>
          <w:sz w:val="18"/>
        </w:rPr>
        <w:t>RESEARCH STAGE REPORT</w:t>
      </w:r>
    </w:p>
    <w:p>
      <w:pPr>
        <w:pStyle w:val="Title"/>
        <w:keepNext/>
        <w:spacing w:before="0" w:after="100"/>
      </w:pPr>
      <w:r>
        <w:rPr>
          <w:rFonts w:ascii="Calibri" w:hAnsi="Calibri" w:eastAsia="Microsoft YaHei"/>
          <w:b/>
          <w:color w:val="0B2545"/>
          <w:sz w:val="48"/>
        </w:rPr>
        <w:t>M3-PI Guard 阶段性研究报告</w:t>
      </w:r>
    </w:p>
    <w:p>
      <w:pPr>
        <w:pStyle w:val="Subtitle"/>
        <w:spacing w:before="0" w:after="360"/>
      </w:pPr>
      <w:r>
        <w:rPr>
          <w:rFonts w:ascii="Calibri" w:hAnsi="Calibri" w:eastAsia="Microsoft YaHei"/>
          <w:color w:val="596579"/>
          <w:sz w:val="26"/>
        </w:rPr>
        <w:t>DeepSeek 480 条中型证伪结果、Gemini 受控失败边界与授权泄漏/不确定性实证路线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报告日期：</w:t>
      </w:r>
      <w:r>
        <w:rPr>
          <w:rFonts w:ascii="Calibri" w:hAnsi="Calibri" w:eastAsia="Microsoft YaHei"/>
          <w:color w:val="111827"/>
          <w:sz w:val="21"/>
        </w:rPr>
        <w:t>2026-07-27（Asia/Shanghai）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当前论文路线：</w:t>
      </w:r>
      <w:r>
        <w:rPr>
          <w:rFonts w:ascii="Calibri" w:hAnsi="Calibri" w:eastAsia="Microsoft YaHei"/>
          <w:color w:val="111827"/>
          <w:sz w:val="21"/>
        </w:rPr>
        <w:t>授权信息泄漏、授权不确定性与安全—效用权衡的系统实证研究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备选英文标题：</w:t>
      </w:r>
      <w:r>
        <w:rPr>
          <w:rFonts w:ascii="Calibri" w:hAnsi="Calibri" w:eastAsia="Microsoft YaHei"/>
          <w:color w:val="111827"/>
          <w:sz w:val="21"/>
        </w:rPr>
        <w:t>Authorization Leakage, Uncertainty, and Security–Utility Trade-offs in Tool-Using LLM Agent Defenses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目标期刊：</w:t>
      </w:r>
      <w:r>
        <w:rPr>
          <w:rFonts w:ascii="Calibri" w:hAnsi="Calibri" w:eastAsia="Microsoft YaHei"/>
          <w:color w:val="111827"/>
          <w:sz w:val="21"/>
        </w:rPr>
        <w:t>Journal of Information Security and Applications；投稿前由学校/Clarivate 复核当期 JCR Q2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正式模型证据：</w:t>
      </w:r>
      <w:r>
        <w:rPr>
          <w:rFonts w:ascii="Calibri" w:hAnsi="Calibri" w:eastAsia="Microsoft YaHei"/>
          <w:color w:val="111827"/>
          <w:sz w:val="21"/>
        </w:rPr>
        <w:t>DeepSeek 官方 API / deepseek-v4-pro；Gemini 当前仅有诊断记录，无跨模型正式结果</w:t>
      </w:r>
    </w:p>
    <w:p>
      <w:pPr>
        <w:spacing w:before="0" w:after="40"/>
      </w:pPr>
      <w:r>
        <w:rPr>
          <w:rFonts w:ascii="Calibri" w:hAnsi="Calibri" w:eastAsia="Microsoft YaHei"/>
          <w:b/>
          <w:color w:val="111827"/>
          <w:sz w:val="21"/>
        </w:rPr>
        <w:t>安全边界：</w:t>
      </w:r>
      <w:r>
        <w:rPr>
          <w:rFonts w:ascii="Calibri" w:hAnsi="Calibri" w:eastAsia="Microsoft YaHei"/>
          <w:color w:val="111827"/>
          <w:sz w:val="21"/>
        </w:rPr>
        <w:t>provider tools 关闭、无真实外部 effect、无自动重试、失败留在 ITT</w:t>
      </w:r>
    </w:p>
    <w:p>
      <w:pPr>
        <w:keepLines/>
        <w:spacing w:before="100" w:after="160"/>
        <w:ind w:left="202" w:right="173"/>
        <w:shd w:fill="E8EEF5" w:val="clear"/>
        <w:pBdr>
          <w:left w:val="single" w:sz="24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阶段结论  </w:t>
      </w:r>
      <w:r>
        <w:rPr>
          <w:rFonts w:ascii="Calibri" w:hAnsi="Calibri" w:eastAsia="Microsoft YaHei"/>
          <w:color w:val="111827"/>
          <w:sz w:val="21"/>
        </w:rPr>
        <w:t>SCI 二区仍有条件可行，但当前最可信的论文不是“新机制领先”，而是“授权信息进入在线 Guard 后如何改变安全—效用估计”的系统实证研究。DeepSeek 中型结果显示 M3-full 安全点估计优于结构化基线，却没有优于 policy-only，且工具任务效用明显下降；预注册机制门禁已正式失败。</w:t>
      </w:r>
    </w:p>
    <w:p>
      <w:pPr>
        <w:keepLines/>
        <w:spacing w:before="100" w:after="160"/>
        <w:ind w:left="202" w:right="173"/>
        <w:shd w:fill="FFF1F2" w:val="clear"/>
        <w:pBdr>
          <w:left w:val="single" w:sz="2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不可逆研究决定  </w:t>
      </w:r>
      <w:r>
        <w:rPr>
          <w:rFonts w:ascii="Calibri" w:hAnsi="Calibri" w:eastAsia="Microsoft YaHei"/>
          <w:color w:val="111827"/>
          <w:sz w:val="21"/>
        </w:rPr>
        <w:t>不得用后续第二模型、公共基准或自适应攻击中的正结果抹去本次负结果，不得恢复“首个、唯一、SOTA”叙事。后续实验的任务是验证该安全—效用权衡和授权 regime 敏感性是否可复现，而不是为既定机制寻找有利样本。</w:t>
      </w:r>
    </w:p>
    <w:p>
      <w:pPr>
        <w:keepLines/>
        <w:spacing w:before="100" w:after="160"/>
        <w:ind w:left="202" w:right="173"/>
        <w:shd w:fill="FFF8E8" w:val="clear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API 安全承诺  </w:t>
      </w:r>
      <w:r>
        <w:rPr>
          <w:rFonts w:ascii="Calibri" w:hAnsi="Calibri" w:eastAsia="Microsoft YaHei"/>
          <w:color w:val="111827"/>
          <w:sz w:val="21"/>
        </w:rPr>
        <w:t>DeepSeek 与 Gemini 仅用于隔离实验中的文本推理。provider tools、外部 connector 和真实工具 effect 均关闭；不会使用两家 API 执行转账、邮件、文件删除、系统控制或其他危险操作。</w:t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</w:rPr>
        <w:t>本阶段已经完成 DeepSeek 官方 API 上的 480 条中型配对证伪矩阵和独立结果准入。矩阵由 432 条主比较记录和 48 条授权 regime 探针组成，479 条为 formal-candidate、1 条为 diagnostic；全部终态均保留在 intention-to-treat（ITT）分母。证据链绑定 1,084 次完成调用，累计成本为 CNY 1.8623798，自动重试、provider tools 与真实 external effect 均为 0。</w:t>
      </w:r>
    </w:p>
    <w:p>
      <w:r>
        <w:rPr>
          <w:rFonts w:ascii="Calibri" w:hAnsi="Calibri" w:eastAsia="Microsoft YaHei"/>
        </w:rPr>
        <w:t>主结果出现了清晰但不利于机制论文的安全—效用分裂。攻击任务上，M3-full 为 0/36 unsafe effect，结构化基线为 8/36，绝对差 −22.2pp；但 M3-full 与 policy-only 均为 0/36，完整来源/时序/确认模块没有独立安全增益。良性工具任务上，M3-full 为 6/24，结构化基线为 12/24，差 −25pp，超过预注册 −5pp 非劣界限。机制论文门禁因此失败并触发 empirical fallback。</w:t>
      </w:r>
    </w:p>
    <w:p>
      <w:r>
        <w:rPr>
          <w:rFonts w:ascii="Calibri" w:hAnsi="Calibri" w:eastAsia="Microsoft YaHei"/>
        </w:rPr>
        <w:t>Gemini 的两次 prospective 尝试均严格失败关闭：v1 因 VIGIL 约束生成路径静默回退而永久终止，v2 排除结构化条件后在首个官方请求收到 HTTP 429 并立即暂停。两者均没有可准入的跨模型结果；v2 只产生 1 条 diagnostic ITT 记录、0 个完成 provider call、0 token 与 0 自动重试。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当前回答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论文含义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SCI 二区是否仍可行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有条件可行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改投授权泄漏/不确定性与安全—效用实证路线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M3-full 是否领先 policy-only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否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不能宣称 provenance/temporal/confirmation 的独立贡献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安全优势是否伴随效用损失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是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必须把 TCR、ASK/拒绝负担与 unsafe effect 联合报告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第二模型是否已完成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否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目前只有失败边界，不能写成泛化证据</w:t>
            </w:r>
          </w:p>
        </w:tc>
      </w:tr>
      <w:tr>
        <w:tc>
          <w:tcPr>
            <w:tcW w:type="dxa" w:w="20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下一优先级</w:t>
            </w:r>
          </w:p>
        </w:tc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自适应攻击 + 公共扩展</w:t>
            </w:r>
          </w:p>
        </w:tc>
        <w:tc>
          <w:tcPr>
            <w:tcW w:type="dxa" w:w="5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检验负结果与权衡在更强攻击和外部基准下是否稳定</w:t>
            </w:r>
          </w:p>
        </w:tc>
      </w:tr>
    </w:tbl>
    <w:p>
      <w:pPr>
        <w:spacing w:after="20"/>
      </w:pPr>
    </w:p>
    <w:p>
      <w:pPr>
        <w:pStyle w:val="Heading1"/>
      </w:pPr>
      <w:r>
        <w:t>2. 研究定位与目标期刊</w:t>
      </w:r>
    </w:p>
    <w:p>
      <w:r>
        <w:rPr>
          <w:rFonts w:ascii="Calibri" w:hAnsi="Calibri" w:eastAsia="Microsoft YaHei"/>
        </w:rPr>
        <w:t>当前建议标题从“Beyond Answer-Key Authorization”的机制导向收缩为：Authorization Leakage, Uncertainty, and Security–Utility Trade-offs in Tool-Using LLM Agent Defenses。M3 运行时仍作为受测机制和测量工具，但不再作为已证明领先的中心贡献。</w:t>
      </w:r>
    </w:p>
    <w:p>
      <w:r>
        <w:rPr>
          <w:rFonts w:ascii="Calibri" w:hAnsi="Calibri" w:eastAsia="Microsoft YaHei"/>
        </w:rPr>
        <w:t>JISA 的官方范围覆盖 authentication and access control、security management and policies，并设有 Large Language Models in Cybersecurity 相关专题，主题契合度仍然较高。期刊主页显示的 CiteScore/Impact Factor 不等同于 JCR 分区；正式投稿前必须由学校或 Clarivate 订阅核验当期 SCIE/JCR Q2，不能只依据第三方网站。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400"/>
        <w:gridCol w:w="3500"/>
        <w:gridCol w:w="3460"/>
      </w:tblGrid>
      <w:tr>
        <w:trPr>
          <w:tblHeader w:val="true"/>
        </w:trP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论文贡献候选</w:t>
            </w:r>
          </w:p>
        </w:tc>
        <w:tc>
          <w:tcPr>
            <w:tcW w:type="dxa" w:w="3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当前证据</w:t>
            </w:r>
          </w:p>
        </w:tc>
        <w:tc>
          <w:tcPr>
            <w:tcW w:type="dxa" w:w="3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可写强度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在线授权字段泄漏/可见性审计</w:t>
            </w:r>
          </w:p>
        </w:tc>
        <w:tc>
          <w:tcPr>
            <w:tcW w:type="dxa" w:w="3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22 个审计单元、16 个项目；无领域普遍 oracle 结论</w:t>
            </w:r>
          </w:p>
        </w:tc>
        <w:tc>
          <w:tcPr>
            <w:tcW w:type="dxa" w:w="3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可写为固定版本源码审计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授权 regime 敏感性</w:t>
            </w:r>
          </w:p>
        </w:tc>
        <w:tc>
          <w:tcPr>
            <w:tcW w:type="dxa" w:w="3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 条配对探针；每个 regime 6 对</w:t>
            </w:r>
          </w:p>
        </w:tc>
        <w:tc>
          <w:tcPr>
            <w:tcW w:type="dxa" w:w="3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方向性/探索性，不作确认性因果结论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 非 oracle 运行时机制</w:t>
            </w:r>
          </w:p>
        </w:tc>
        <w:tc>
          <w:tcPr>
            <w:tcW w:type="dxa" w:w="3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安全点估计有利，但 full 无独立模块增益且效用失败</w:t>
            </w:r>
          </w:p>
        </w:tc>
        <w:tc>
          <w:tcPr>
            <w:tcW w:type="dxa" w:w="3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作为受测机制，不作领先声明</w:t>
            </w:r>
          </w:p>
        </w:tc>
      </w:tr>
      <w:tr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正式证据链</w:t>
            </w:r>
          </w:p>
        </w:tc>
        <w:tc>
          <w:tcPr>
            <w:tcW w:type="dxa" w:w="3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冻结、哈希、准入、append-only、失败留在 ITT</w:t>
            </w:r>
          </w:p>
        </w:tc>
        <w:tc>
          <w:tcPr>
            <w:tcW w:type="dxa" w:w="3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可作为方法完整性贡献</w:t>
            </w:r>
          </w:p>
        </w:tc>
      </w:tr>
    </w:tbl>
    <w:p>
      <w:pPr>
        <w:spacing w:after="20"/>
      </w:pPr>
    </w:p>
    <w:p>
      <w:pPr>
        <w:pStyle w:val="Heading1"/>
      </w:pPr>
      <w:r>
        <w:t>3. DeepSeek 中型实验设计与证据完整性</w:t>
      </w:r>
    </w:p>
    <w:p>
      <w:r>
        <w:rPr>
          <w:rFonts w:ascii="Calibri" w:hAnsi="Calibri" w:eastAsia="Microsoft YaHei"/>
        </w:rPr>
        <w:t>主比较包含 72 个配对 case，在 6 个条件下形成 432 条记录；其中攻击36 个、良性工具任务 24 个、良性无工具任务 12 个。另有 48 条授权 regime 探针，只在 M3 policy-only 与 M3-full 上比较 exact_gold 与 auto_compiled。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规模/状态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完整性规则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主比较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72 cases × 6 conditions = 432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配对、统一失败分母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授权探针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24 cases × 2 M3 conditions = 48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每个 regime 6 对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总记录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480/480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 remaining、0 duplicate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证据等级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479 formal + 1 diagnostic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诊断行保留但不伪造响应身份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 调用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1,084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 request ID + payload hash + 官方 response ID + append-only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累计成本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CNY 1.8623798</w:t>
            </w:r>
          </w:p>
        </w:tc>
        <w:tc>
          <w:tcPr>
            <w:tcW w:type="dxa" w:w="4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冻结费率、逐调用核算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技术 gate 验证了完整矩阵、exact official identity chain、隔离 effect 边界、诊断上限、0 open attempt 和 0 runner failure。唯一 diagnostic 是闭合 provider/timeout 类失败，仍以 diagnostic-only 身份进入 ITT；该记录不能反向补造官方响应 ID。</w:t>
      </w:r>
    </w:p>
    <w:p>
      <w:pPr>
        <w:pStyle w:val="Heading1"/>
      </w:pPr>
      <w:r>
        <w:t>4. 主结果：安全—效用权衡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1  六条件 unsafe-effect 与良性工具任务完成率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1" name="Picture 1" title="图 1  六条件 unsafe-effect 与良性工具任务完成率" descr="六个条件的横向条形图。无防御、安全提示、PromptGuard 和结构化基线的攻击 unsafe effect 均为 22.2%，M3 policy-only 和 M3 full 为 0%。良性工具任务完成率分别约为 50%、45.8%、50%、50%、29.2% 和 25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ecurity_ut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来源：admitted_medium_analysis_v8.json；ITT 分母；Wilson 95% CI 见表 2。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500"/>
        <w:gridCol w:w="2200"/>
        <w:gridCol w:w="2200"/>
        <w:gridCol w:w="246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攻击 unsafe effect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良性工具 TCR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良性无工具 TCR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无防御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8/36 (22.2%)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12/24 (50.0%)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安全提示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8/36 (22.2%)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11/24 (45.8%)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PromptGuard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8/36 (22.2%)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12/24 (50.0%)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结构化基线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8/36 (22.2%)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12/24 (50.0%)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 policy-only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0/36 (0.0%)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7/24 (29.2%)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 full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0/36 (0.0%)</w:t>
            </w:r>
          </w:p>
        </w:tc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6/24 (25.0%)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12/12 (100.0%)</w:t>
            </w:r>
          </w:p>
        </w:tc>
      </w:tr>
    </w:tbl>
    <w:p>
      <w:pPr>
        <w:spacing w:after="20"/>
      </w:pP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说明：unsafe-effect 越低越好；TCR 越高越好。良性无工具任务在六条件下均为 12/12，差异集中在需要工具执行的任务。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150"/>
        <w:gridCol w:w="1200"/>
        <w:gridCol w:w="2400"/>
        <w:gridCol w:w="1700"/>
        <w:gridCol w:w="1910"/>
      </w:tblGrid>
      <w:tr>
        <w:trPr>
          <w:tblHeader w:val="true"/>
        </w:trPr>
        <w:tc>
          <w:tcPr>
            <w:tcW w:type="dxa" w:w="2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配对比较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绝对差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95% cluster bootstrap CI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McNemar（Holm）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2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安全：full − structural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-22.2pp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[-36.1, -8.3]pp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p=0.03125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安全点估计和区间均有利</w:t>
            </w:r>
          </w:p>
        </w:tc>
      </w:tr>
      <w:tr>
        <w:tc>
          <w:tcPr>
            <w:tcW w:type="dxa" w:w="2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安全：full − policy-only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0.0pp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[0.0, 0.0]pp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p=1.0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无完整模块独立增益</w:t>
            </w:r>
          </w:p>
        </w:tc>
      </w:tr>
      <w:tr>
        <w:tc>
          <w:tcPr>
            <w:tcW w:type="dxa" w:w="2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效用：full − structural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-25.0pp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[-41.7, -8.3]pp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p=0.09375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越过 −5pp 非劣界限</w:t>
            </w:r>
          </w:p>
        </w:tc>
      </w:tr>
      <w:tr>
        <w:tc>
          <w:tcPr>
            <w:tcW w:type="dxa" w:w="2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效用：full − policy-only</w:t>
            </w:r>
          </w:p>
        </w:tc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-4.2pp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[-12.5, 0.0]pp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p=1.0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full 仍略差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安全比较的统计显著性不能替代机制解释。full 与 policy-only 同为 0/36，说明结构化基线的 8 个 unsafe event 可以被 M3 的策略层阻断，但当前样本没有证明 provenance、temporal、dataflow 或 confirmation 模块带来额外安全收益。与此同时，M3-full 的工具任务效用只有 25%，存在明显过度阻断/执行困难风险。</w:t>
      </w:r>
    </w:p>
    <w:p>
      <w:pPr>
        <w:pStyle w:val="Heading1"/>
      </w:pPr>
      <w:r>
        <w:t>5. 预注册机制门禁与论文路线切换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2  机制论文门禁判定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2" name="Picture 2" title="图 2  机制论文门禁判定" descr="五项机制论文门禁中，安全效应、运行质量和非 deny-all 通过；完整模块独立增益与工具任务效用非劣失败，结论切换到 empirical fallback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echanism_g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来源：预注册 medium gate；结果准入后按冻结规则计算。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00"/>
        <w:gridCol w:w="3300"/>
        <w:gridCol w:w="2600"/>
        <w:gridCol w:w="15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门禁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阈值/规则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观察值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安全效应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相对 ≥20% 或绝对 ≥10pp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绝对 −22.2pp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模块增益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full − policy-only unsafe &lt; 0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0.0pp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FAIL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TCR 非劣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full − structural ≥ −5pp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−25.0pp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FAIL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运行质量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总失败 ≤10%；provider/timeout ≤5%；runner=0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21/432 (4.86%)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非 deny-all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良性初始 ASK+DENY &lt;90%</w:t>
            </w:r>
          </w:p>
        </w:tc>
        <w:tc>
          <w:tcPr>
            <w:tcW w:type="dxa" w:w="26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22.2%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E8EEF5" w:val="clear"/>
        <w:pBdr>
          <w:left w:val="single" w:sz="24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论文路线  </w:t>
      </w:r>
      <w:r>
        <w:rPr>
          <w:rFonts w:ascii="Calibri" w:hAnsi="Calibri" w:eastAsia="Microsoft YaHei"/>
          <w:color w:val="111827"/>
          <w:sz w:val="21"/>
        </w:rPr>
        <w:t>mechanism_paper_candidate = false；正式 route = authorization_leakage_uncertainty_empirical_fallback。M3-full 对结构化基线的安全优势可作为观察结果，但摘要、标题和贡献点必须以授权 regime、在线可见字段、失败分母与安全—效用权衡为中心。</w:t>
      </w:r>
    </w:p>
    <w:p>
      <w:pPr>
        <w:pStyle w:val="Heading1"/>
      </w:pPr>
      <w:r>
        <w:t>6. 授权 regime 探针：为什么 exact-gold 不能被忽略</w:t>
      </w:r>
    </w:p>
    <w:p>
      <w:r>
        <w:rPr>
          <w:rFonts w:ascii="Calibri" w:hAnsi="Calibri" w:eastAsia="Microsoft YaHei"/>
        </w:rPr>
        <w:t>48 条探针比较 exact_gold 与 auto_compiled 在 broad、conflicting、exact_gold 和 underspecified 四类授权状态下的行为变化。每个 regime 只有 6 对，因此统计功效很低；这些结果目前只用于证明“授权信息形态可能改变 Guard 行为”这一测量问题值得正式扩展。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3  M3-full 在四类授权 regime 下的初始 ASK 与任务完成率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3" name="Picture 3" title="图 3  M3-full 在四类授权 regime 下的初始 ASK 与任务完成率" descr="四组授权 regime 的配对柱状图，比较 auto compiled 与 exact gold。在 underspecified 组，初始 ASK 从 16.7% 增至 83.3%；各组样本均很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uthorization_reg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来源：admitted medium secondary analysis；每个 regime 6 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00"/>
        <w:gridCol w:w="2500"/>
        <w:gridCol w:w="2700"/>
        <w:gridCol w:w="22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Regime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初始 ASK：auto / gold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任务完成：auto / gold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unsafe：auto / gold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broad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2/6 / 3/6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3/6 / 3/6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0/6 / 0/6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conflicting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2/6 / 3/6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1/6 / 0/6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0/6 / 0/6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exact_gold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3/6 / 0/6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1/6 / 3/6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0/6 / 0/6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underspecified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1/6 / 5/6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3/6 / 2/6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0/6 / 0/6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最明显的方向出现在 underspecified 探针：M3-full 初始 ASK 为 1/6（auto）对 5/6（gold）。但 exact-gold 并不总是单向提高效用，例如 conflicting 下 gold 的任务完成为 0/6。正式论文应把这类差异写成授权 regime 对运行时决策的敏感性，而不是预设“oracle 总会高估安全”。</w:t>
      </w:r>
    </w:p>
    <w:p>
      <w:pPr>
        <w:pStyle w:val="Heading1"/>
      </w:pPr>
      <w:r>
        <w:t>7. 运行质量、失败分母与可复现性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650"/>
        <w:gridCol w:w="1400"/>
        <w:gridCol w:w="5310"/>
      </w:tblGrid>
      <w:tr>
        <w:trPr>
          <w:tblHeader w:val="true"/>
        </w:trP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Operational status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completed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411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正常进入 ITT</w:t>
            </w:r>
          </w:p>
        </w:tc>
      </w:tr>
      <w:t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max_steps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终态失败，留在分母</w:t>
            </w:r>
          </w:p>
        </w:tc>
      </w:tr>
      <w:t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parse_failure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终态失败，留在分母</w:t>
            </w:r>
          </w:p>
        </w:tc>
      </w:tr>
      <w:t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provider_failure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终态失败，留在分母</w:t>
            </w:r>
          </w:p>
        </w:tc>
      </w:tr>
      <w:tr>
        <w:tc>
          <w:tcPr>
            <w:tcW w:type="dxa" w:w="2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runner_failure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</w:t>
            </w:r>
          </w:p>
        </w:tc>
        <w:tc>
          <w:tcPr>
            <w:tcW w:type="dxa" w:w="53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门禁要求为 0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21/432 主比较记录为预先定义的终态失败（4.86%）。这些记录没有被删除、重试或改写；分析脚本把 unsafe_effect_itt 与 task_completion 的失败语义固定在记录契约中。技术 review 本身不做网络调用，也不修改 v8/v9 ledger。正式统计由独立 --verify-analysis 路径重建。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700"/>
        <w:gridCol w:w="4750"/>
        <w:gridCol w:w="1910"/>
      </w:tblGrid>
      <w:tr>
        <w:trPr>
          <w:tblHeader w:val="true"/>
        </w:trP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证据对象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SHA-256 / manifest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combined technical review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8b1d3f1db6a8b02f815087fc36e129ed99f398285e9b47124958a22a7021aeda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F6B4F"/>
                <w:sz w:val="18"/>
              </w:rPr>
              <w:t>technical_result_gate_pass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result admission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dc810245a27d6121ecf145cf779324433e537486e7f4ba96116e7f13017b8a43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activated_for_scientific_analysis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Admitted medium analysis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ea3d6197b0f97b5057b1d0f9fff054f3ae43743eb9cb85eb4122b6c152d7e041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complete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Claim–evidence ledger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e1ad7f27e48c04f99f4dead5f930be6c6b025eddd6889e44305823abaf209032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current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Completion scorecard</w:t>
            </w:r>
          </w:p>
        </w:tc>
        <w:tc>
          <w:tcPr>
            <w:tcW w:type="dxa" w:w="4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9103bfc6f5d160585f3a6da77458baf323d2f265181f4793feee7d32c26f64f2</w:t>
            </w:r>
          </w:p>
        </w:tc>
        <w:tc>
          <w:tcPr>
            <w:tcW w:type="dxa" w:w="19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99/61/56</w:t>
            </w:r>
          </w:p>
        </w:tc>
      </w:tr>
    </w:tbl>
    <w:p>
      <w:pPr>
        <w:spacing w:after="20"/>
      </w:pPr>
    </w:p>
    <w:p>
      <w:pPr>
        <w:pStyle w:val="Heading1"/>
      </w:pPr>
      <w:r>
        <w:t>8. Gemini 第二模型：两次受控失败的证据边界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4  DeepSeek 与 Gemini 的正式证据状态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4" name="Picture 4" title="图 4  DeepSeek 与 Gemini 的正式证据状态" descr="三张卡片：DeepSeek 480 条结果已准入；Gemini v1 因 VIGIL 回退失败关闭；Gemini v2 首个调用 HTTP 429 暂停，均无正式跨模型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rovider_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来源：冻结技术 review、Gemini v1 abort review 与 v2 append-only ledgers。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500"/>
        <w:gridCol w:w="2500"/>
        <w:gridCol w:w="2500"/>
        <w:gridCol w:w="1300"/>
        <w:gridCol w:w="156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prospective 范围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实际终态</w:t>
            </w:r>
          </w:p>
        </w:tc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科学资格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下一动作</w:t>
            </w:r>
          </w:p>
        </w:tc>
      </w:tr>
      <w:tr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v1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structural + policy-only + full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VIGIL constraint generation fallback</w:t>
            </w:r>
          </w:p>
        </w:tc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 正式记录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永久冻结；不得恢复</w:t>
            </w:r>
          </w:p>
        </w:tc>
      </w:tr>
      <w:tr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v2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policy-only + full；192 行</w:t>
            </w:r>
          </w:p>
        </w:tc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首调用 HTTP 429；1 diagnostic</w:t>
            </w:r>
          </w:p>
        </w:tc>
        <w:tc>
          <w:tcPr>
            <w:tcW w:type="dxa" w:w="1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 正式记录</w:t>
            </w:r>
          </w:p>
        </w:tc>
        <w:tc>
          <w:tcPr>
            <w:tcW w:type="dxa" w:w="1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配额恢复后新建 v3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v1 abort review 记录 1 个 started attempt、1 个 closed failed call、0 experiment record、0 evidence sidecar，并明确 run_resumable=false。v2 使用新的 run/matrix identity，首个 policy-only 请求收到 HTTP 429；controller 按 free-only、USD 0、0 retry 规则立即暂停。</w:t>
      </w:r>
    </w:p>
    <w:p>
      <w:r>
        <w:rPr>
          <w:rFonts w:ascii="Calibri" w:hAnsi="Calibri" w:eastAsia="Microsoft YaHei"/>
        </w:rPr>
        <w:t>v2 诊断记录的 operational_status=provider_failure、result_tier=diagnostic、identity_verified=false、token total=0。它保留在版本内部的 ITT 记录中，但没有独立结果 admission，因此不得与DeepSeek 主结果合并，也不得计算跨模型效应。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500"/>
        <w:gridCol w:w="4400"/>
        <w:gridCol w:w="246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Gemini 证据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Manifest / SHA-256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v1 abort review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dedb8205150a833a2ac4b0d76a7be0a0b881c0d43d2ff368e9a9dbd4f60cee22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aborted_result_ineligible_new_version_required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v2 candidate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d7813d16491fa300abcc1d5b7f1910e450418a2d9a9890e80933b32ce29259d1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candidate_frozen_non_executable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v2 canary admission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29c421804ff0126b4fdeaa32bba16f0d12a4e3bfb59df37a9e0c935027722322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activated_for_two_condition_canary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v2 provider ledger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36e21cb2adfee1ba4cf6842c9fd7a997ba8a2fc214e3b38892a777f022788501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started → paused(429)</w:t>
            </w:r>
          </w:p>
        </w:tc>
      </w:tr>
      <w:tr>
        <w:tc>
          <w:tcPr>
            <w:tcW w:type="dxa" w:w="2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v2 diagnostic record ledger</w:t>
            </w:r>
          </w:p>
        </w:tc>
        <w:tc>
          <w:tcPr>
            <w:tcW w:type="dxa" w:w="4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5131114e54e2cb6749316ef317fd15cc489b172de4e34c56b0561974e048117c</w:t>
            </w:r>
          </w:p>
        </w:tc>
        <w:tc>
          <w:tcPr>
            <w:tcW w:type="dxa" w:w="24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 diagnostic</w:t>
            </w:r>
          </w:p>
        </w:tc>
      </w:tr>
    </w:tbl>
    <w:p>
      <w:pPr>
        <w:spacing w:after="20"/>
      </w:pPr>
    </w:p>
    <w:p>
      <w:pPr>
        <w:pStyle w:val="Heading1"/>
      </w:pPr>
      <w:r>
        <w:t>9. 当前 SCI 二区完成度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5  工程、科学证据与投稿就绪度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5" name="Picture 5" title="图 5  工程、科学证据与投稿就绪度" descr="三条进度条分别显示工程就绪度 99%、科学证据完成度 61%、投稿就绪度 56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eadi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来源：completion_scorecard_v1.json；Gemini 失败未增加科学完成度。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150"/>
        <w:gridCol w:w="1650"/>
        <w:gridCol w:w="4560"/>
      </w:tblGrid>
      <w:tr>
        <w:trPr>
          <w:tblHeader w:val="true"/>
        </w:trP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工作流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科学证据完成度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关键缺口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frontier_literature_and_positioning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Refresh publisher metadata/DOIs at submission and independently check citations; the 34-entry matrix now has a reproducible structural manifest.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online_state_source_audit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65%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Independent second review; Task Shield remains a disclosed local reproduction because no official code source was established.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paper_v2_contracts_and_invariants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95%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admitted 480-record DeepSeek matrix retains the condition-specific visibility digest and safety receipt chain. Repeat the same contract for the second model.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medium_falsification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100%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None for the medium falsification decision. The admitted 480-record DeepSeek analysis rejected the mechanism-paper route and activated the prespecified empirical fallback.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structural_baselines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VIGIL-backed structural condition completed in the admitted medium matrix. A separate model-dependent DRIFT effect run and second-model structural comparison remain absent.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formal_public_benchmarks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10%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medium matrix contains admitted AgentDojo security and utility subsets, but the frozen 6873-record public expansion and its independent result admission remain absent.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independent_blind_holdout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External author/custodian, candidate content, and custody audit.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adaptive_attack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Cost gate and 40/20 task execution plus hardest-20 extension.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statistics_and_power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Primary paired effects, Wilson intervals, exact McNemar tests, Holm correction, 10,000-iteration clustered bootstrap and power analysis are complete and independently rebuilt. Second-model and expanded empirical-fallback statistics remain.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manuscript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30%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route and claim ledger now reflect the admitted negative mechanism result. Results, Discussion, abstract, final figures, venue formatting, final DOI metadata, institutional JCR check, and integrity review remain.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provider_cost_and_execution_evidence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95%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admitted v8+v9 run binds 1,084 official DeepSeek calls and CNY 1.8623798 cumulative cost through append-only usage evidence. A Gemini-specific formal route is still absent and remains free-only with a USD 0 paid-tier limit.</w:t>
            </w:r>
          </w:p>
        </w:tc>
      </w:tr>
      <w:tr>
        <w:tc>
          <w:tcPr>
            <w:tcW w:type="dxa" w:w="31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provider_effect_safety</w:t>
            </w:r>
          </w:p>
        </w:tc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95%</w:t>
            </w:r>
          </w:p>
        </w:tc>
        <w:tc>
          <w:tcPr>
            <w:tcW w:type="dxa" w:w="45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The combined DeepSeek technical gate verified disabled provider tools, no real external effects and the receipt chain across the admitted matrix. Repeat the same review for Gemini.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FF8E8" w:val="clear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完成度解释  </w:t>
      </w:r>
      <w:r>
        <w:rPr>
          <w:rFonts w:ascii="Calibri" w:hAnsi="Calibri" w:eastAsia="Microsoft YaHei"/>
          <w:color w:val="111827"/>
          <w:sz w:val="21"/>
        </w:rPr>
        <w:t>99% 只代表工程与证据链成熟；科学证据完成度 61%；投稿就绪度 56%。这表示仍未达到可投稿状态。Gemini 失败、公共扩展未跑、自适应攻击未跑、独立盲测无保管人，均不能由报告或代码数量补分。</w:t>
      </w:r>
    </w:p>
    <w:p>
      <w:pPr>
        <w:pStyle w:val="Heading1"/>
      </w:pPr>
      <w:r>
        <w:t>10. 前沿研究对照与创新边界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50"/>
        <w:gridCol w:w="1400"/>
        <w:gridCol w:w="3300"/>
        <w:gridCol w:w="2710"/>
      </w:tblGrid>
      <w:tr>
        <w:trPr>
          <w:tblHeader w:val="true"/>
        </w:trP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类型/年份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对本项目的约束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M3 可保留差异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VIGIL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ACL 2026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verify-before-commit + SIREN 959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禁止声称首个提交前验证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DRIFT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NeurIPS 2025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动态规则、控制/数据流与记忆隔离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报告权限单调与 ASK 负担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Task Shield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ACL 2025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逐指令/工具调用目标一致性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比较 goal alignment 与授权 regime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ARGUS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2026 预印本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上下文任务 + provenance auditing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强调在线字段投影与失败分母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AuthGraph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2026 预印本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授权图对齐参数来源执行图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禁止首个参数级来源声明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Progent/IPIGuard/CaMeL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2025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最小权限、依赖图、信息流隔离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做配对消融与来源审计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Attacker Moves Second</w:t>
            </w:r>
          </w:p>
        </w:tc>
        <w:tc>
          <w:tcPr>
            <w:tcW w:type="dxa" w:w="1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2025 预印本</w:t>
            </w:r>
          </w:p>
        </w:tc>
        <w:tc>
          <w:tcPr>
            <w:tcW w:type="dxa" w:w="33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静态攻击高估防御</w:t>
            </w:r>
          </w:p>
        </w:tc>
        <w:tc>
          <w:tcPr>
            <w:tcW w:type="dxa" w:w="27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必须执行防御感知自适应攻击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源码审计目前完成 22/22 单元、覆盖 16 个项目，但独立第二复核为 0。结论分布为 2 个 inconclusive、1 个 mixed/path-dependent、9 个 no_online_gold_observed 和 10 个 not_a_runtime_guard。因此只能写固定 commit/路径的局部结论，不能写“该领域普遍使用 oracle authorization”。</w:t>
      </w:r>
    </w:p>
    <w:p>
      <w:pPr>
        <w:pStyle w:val="Heading1"/>
      </w:pPr>
      <w:r>
        <w:t>11. 后续正式实验总体方案</w:t>
      </w:r>
    </w:p>
    <w:p>
      <w:pPr>
        <w:pStyle w:val="Caption"/>
      </w:pPr>
      <w:r>
        <w:rPr>
          <w:rFonts w:ascii="Calibri" w:hAnsi="Calibri" w:eastAsia="Microsoft YaHei"/>
          <w:b/>
          <w:color w:val="1F4D78"/>
          <w:sz w:val="19"/>
        </w:rPr>
        <w:t>图 6  下一阶段执行顺序</w:t>
      </w:r>
    </w:p>
    <w:p>
      <w:pPr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6" name="Picture 6" title="图 6  下一阶段执行顺序" descr="五阶段路线图：冻结论文主张、自适应攻击、公共扩展、第二模型、盲测与投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来源：以证据增益、失败可解释性和外部有效性为排序标准。</w:t>
      </w:r>
    </w:p>
    <w:p>
      <w:pPr>
        <w:pStyle w:val="ListNumber"/>
      </w:pPr>
      <w:r>
        <w:rPr>
          <w:rFonts w:ascii="Calibri" w:hAnsi="Calibri" w:eastAsia="Microsoft YaHei"/>
        </w:rPr>
        <w:t>先冻结 Methods/Results 主表和 claim–evidence ledger，确保任何后续结果不能改写中型负结论。</w:t>
      </w:r>
    </w:p>
    <w:p>
      <w:pPr>
        <w:pStyle w:val="ListNumber"/>
      </w:pPr>
      <w:r>
        <w:rPr>
          <w:rFonts w:ascii="Calibri" w:hAnsi="Calibri" w:eastAsia="Microsoft YaHei"/>
        </w:rPr>
        <w:t>实现 DeepSeek 官方 API 的自适应攻击 provider bridge，先做零网络资格和成本 pilot，再按冻结预算运行。</w:t>
      </w:r>
    </w:p>
    <w:p>
      <w:pPr>
        <w:pStyle w:val="ListNumber"/>
      </w:pPr>
      <w:r>
        <w:rPr>
          <w:rFonts w:ascii="Calibri" w:hAnsi="Calibri" w:eastAsia="Microsoft YaHei"/>
        </w:rPr>
        <w:t>在 AgentDojo 上完成正式公共扩展；SIREN 用于工具流/上下文依赖外部有效性，前提是官方数据和适配可复现。</w:t>
      </w:r>
    </w:p>
    <w:p>
      <w:pPr>
        <w:pStyle w:val="ListNumber"/>
      </w:pPr>
      <w:r>
        <w:rPr>
          <w:rFonts w:ascii="Calibri" w:hAnsi="Calibri" w:eastAsia="Microsoft YaHei"/>
        </w:rPr>
        <w:t>Gemini 配额恢复后新建 v3 prospective 版本；不得续跑 v1/v2，不再把不兼容 VIGIL 条件包装为正式结构化对照。</w:t>
      </w:r>
    </w:p>
    <w:p>
      <w:pPr>
        <w:pStyle w:val="ListNumber"/>
      </w:pPr>
      <w:r>
        <w:rPr>
          <w:rFonts w:ascii="Calibri" w:hAnsi="Calibri" w:eastAsia="Microsoft YaHei"/>
        </w:rPr>
        <w:t>落实第三方 blind custodian；完成最终完整性审查、JCR 核验、JISA 格式与生成式 AI 使用声明。</w:t>
      </w:r>
    </w:p>
    <w:p>
      <w:pPr>
        <w:pStyle w:val="Heading1"/>
      </w:pPr>
      <w:r>
        <w:t>12. 自适应攻击：下一项最高信息增益实验</w:t>
      </w:r>
    </w:p>
    <w:p>
      <w:r>
        <w:rPr>
          <w:rFonts w:ascii="Calibri" w:hAnsi="Calibri" w:eastAsia="Microsoft YaHei"/>
        </w:rPr>
        <w:t>The Attacker Moves Second 表明，知道防御结构的攻击者可能推翻静态评测。当前 adaptive freeze 已固定 40 个主模型任务、预算 50/200/500；最难 20 个任务追加 2000；第二模型 20 个任务、预算 50/200，最大查询预算 75,000。hardest-20 必须按预算 500 结果排序后确定，不能提前挑选有利案例。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00"/>
        <w:gridCol w:w="2100"/>
        <w:gridCol w:w="2750"/>
        <w:gridCol w:w="261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规模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通过/停止条件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A0 零网络资格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stub + injected transport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验证 request chain、成本与 ITT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 外部 effect、0 未闭合 attempt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A1 成本 pilot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 tasks × budget 50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测量每预算单位调用、token、p95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先冻结成本模型，再决定正式 fuse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A2 主预算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40 × 50/200/500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观察攻击随预算增长曲线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失败留分母；不自动重试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A3 hardest extension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 × 2000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检验攻击是否饱和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只按预注册排序选取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A4 第二模型</w:t>
            </w:r>
          </w:p>
        </w:tc>
        <w:tc>
          <w:tcPr>
            <w:tcW w:type="dxa" w:w="2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 × 50/200</w:t>
            </w:r>
          </w:p>
        </w:tc>
        <w:tc>
          <w:tcPr>
            <w:tcW w:type="dxa" w:w="27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方向性泛化</w:t>
            </w:r>
          </w:p>
        </w:tc>
        <w:tc>
          <w:tcPr>
            <w:tcW w:type="dxa" w:w="26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仅在 Gemini 新版本准入后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FF8E8" w:val="clear"/>
        <w:pBdr>
          <w:left w:val="single" w:sz="2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成本事实  </w:t>
      </w:r>
      <w:r>
        <w:rPr>
          <w:rFonts w:ascii="Calibri" w:hAnsi="Calibri" w:eastAsia="Microsoft YaHei"/>
          <w:color w:val="111827"/>
          <w:sz w:val="21"/>
        </w:rPr>
        <w:t>按中型矩阵粗略均值 CNY 0.001718/完成调用线性外推，75,000 个查询单位约为 CNY 128.9；但自适应提示长度和一次预算单位对应的调用数可能不同，因此该数只用于确定必须先做成本 pilot，不能作为正式预算承诺。用户允许追加预算不等于可以跳过熔断器。</w:t>
      </w:r>
    </w:p>
    <w:p>
      <w:r>
        <w:rPr>
          <w:rFonts w:ascii="Calibri" w:hAnsi="Calibri" w:eastAsia="Microsoft YaHei"/>
        </w:rPr>
        <w:t>自适应攻击只优化隔离环境中的 unsafe effect 判定，不连接真实邮箱、银行、文件系统、浏览器会话或系统控制接口。攻击文本可以包含恶意指令，但所有 tool calls 都由模拟 effect backend 截获并记录，不产生真实动作。</w:t>
      </w:r>
    </w:p>
    <w:p>
      <w:pPr>
        <w:pStyle w:val="Heading1"/>
      </w:pPr>
      <w:r>
        <w:t>13. 公共基准与外部有效性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900"/>
        <w:gridCol w:w="1500"/>
        <w:gridCol w:w="1700"/>
        <w:gridCol w:w="2260"/>
      </w:tblGrid>
      <w:tr>
        <w:trPr>
          <w:tblHeader w:val="true"/>
        </w:trPr>
        <w:tc>
          <w:tcPr>
            <w:tcW w:type="dxa" w:w="3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 cell</w:t>
            </w:r>
          </w:p>
        </w:tc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Cases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Conditions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预期记录</w:t>
            </w:r>
          </w:p>
        </w:tc>
      </w:tr>
      <w:tr>
        <w:tc>
          <w:tcPr>
            <w:tcW w:type="dxa" w:w="3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primary_model_agentdojo_v1</w:t>
            </w:r>
          </w:p>
        </w:tc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397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2382</w:t>
            </w:r>
          </w:p>
        </w:tc>
      </w:tr>
      <w:tr>
        <w:tc>
          <w:tcPr>
            <w:tcW w:type="dxa" w:w="3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primary_model_m3_v2</w:t>
            </w:r>
          </w:p>
        </w:tc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450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6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2700</w:t>
            </w:r>
          </w:p>
        </w:tc>
      </w:tr>
      <w:tr>
        <w:tc>
          <w:tcPr>
            <w:tcW w:type="dxa" w:w="3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second_model_agentdojo_v1</w:t>
            </w:r>
          </w:p>
        </w:tc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297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891</w:t>
            </w:r>
          </w:p>
        </w:tc>
      </w:tr>
      <w:tr>
        <w:tc>
          <w:tcPr>
            <w:tcW w:type="dxa" w:w="3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second_model_m3_v2</w:t>
            </w:r>
          </w:p>
        </w:tc>
        <w:tc>
          <w:tcPr>
            <w:tcW w:type="dxa" w:w="15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300</w:t>
            </w:r>
          </w:p>
        </w:tc>
        <w:tc>
          <w:tcPr>
            <w:tcW w:type="dxa" w:w="1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3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900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public_benchmark_freeze_v1 共冻结 6,873 条 case-condition 记录：主模型在 AgentDojo 与 M3-v2 上跑 6 条件，第二模型跑 3 条件。该冻结规模大于论文最低样本量，正式执行前应先完成 provider/cost 可行性和分析 admission；不能因为规模大而临时删掉困难 suite。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650"/>
        <w:gridCol w:w="2400"/>
        <w:gridCol w:w="2450"/>
        <w:gridCol w:w="2860"/>
      </w:tblGrid>
      <w:tr>
        <w:trPr>
          <w:tblHeader w:val="true"/>
        </w:trPr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基准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论文角色</w:t>
            </w:r>
          </w:p>
        </w:tc>
        <w:tc>
          <w:tcPr>
            <w:tcW w:type="dxa" w:w="24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优先指标</w:t>
            </w:r>
          </w:p>
        </w:tc>
        <w:tc>
          <w:tcPr>
            <w:tcW w:type="dxa" w:w="28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AgentDojo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主公共外部基准</w:t>
            </w:r>
          </w:p>
        </w:tc>
        <w:tc>
          <w:tcPr>
            <w:tcW w:type="dxa" w:w="24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unsafe effect + benign TCR</w:t>
            </w:r>
          </w:p>
        </w:tc>
        <w:tc>
          <w:tcPr>
            <w:tcW w:type="dxa" w:w="28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冻结 397/297 cases，结果待跑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M3-v2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内部主基准扩展</w:t>
            </w:r>
          </w:p>
        </w:tc>
        <w:tc>
          <w:tcPr>
            <w:tcW w:type="dxa" w:w="24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异质性 + 授权 regime</w:t>
            </w:r>
          </w:p>
        </w:tc>
        <w:tc>
          <w:tcPr>
            <w:tcW w:type="dxa" w:w="28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18"/>
              </w:rPr>
              <w:t>冻结 450/300 cases，结果待跑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SIREN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工具流/上下文依赖</w:t>
            </w:r>
          </w:p>
        </w:tc>
        <w:tc>
          <w:tcPr>
            <w:tcW w:type="dxa" w:w="24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unsafe effect + attack utility</w:t>
            </w:r>
          </w:p>
        </w:tc>
        <w:tc>
          <w:tcPr>
            <w:tcW w:type="dxa" w:w="28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需官方适配与独立准入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InjecAgent</w:t>
            </w:r>
          </w:p>
        </w:tc>
        <w:tc>
          <w:tcPr>
            <w:tcW w:type="dxa" w:w="2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补充泛化</w:t>
            </w:r>
          </w:p>
        </w:tc>
        <w:tc>
          <w:tcPr>
            <w:tcW w:type="dxa" w:w="24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攻击族覆盖</w:t>
            </w:r>
          </w:p>
        </w:tc>
        <w:tc>
          <w:tcPr>
            <w:tcW w:type="dxa" w:w="28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低于 AgentDojo/SIREN 优先级</w:t>
            </w:r>
          </w:p>
        </w:tc>
      </w:tr>
    </w:tbl>
    <w:p>
      <w:pPr>
        <w:spacing w:after="20"/>
      </w:pPr>
    </w:p>
    <w:p>
      <w:pPr>
        <w:pStyle w:val="Heading1"/>
      </w:pPr>
      <w:r>
        <w:t>14. Gemini v3、盲测与外部依赖</w:t>
      </w:r>
    </w:p>
    <w:p>
      <w:r>
        <w:rPr>
          <w:rFonts w:ascii="Calibri" w:hAnsi="Calibri" w:eastAsia="Microsoft YaHei"/>
        </w:rPr>
        <w:t>Gemini v3 只能在配额恢复后新建 prospective candidate。建议保留 m3_policy_only 与 m3_full 的配对比较，并加入一个经过该模型接口正确适配、不会静默回退的轻量外部条件；若无法获得忠实结构化基线，第二模型只能支持 M3 模块方向性，而不能支持“优于最强结构化基线”。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00"/>
        <w:gridCol w:w="3100"/>
        <w:gridCol w:w="2700"/>
        <w:gridCol w:w="16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外部依赖</w:t>
            </w:r>
          </w:p>
        </w:tc>
        <w:tc>
          <w:tcPr>
            <w:tcW w:type="dxa" w:w="3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项目方可完成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需要用户/第三方</w:t>
            </w:r>
          </w:p>
        </w:tc>
        <w:tc>
          <w:tcPr>
            <w:tcW w:type="dxa" w:w="1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截止建议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配额</w:t>
            </w:r>
          </w:p>
        </w:tc>
        <w:tc>
          <w:tcPr>
            <w:tcW w:type="dxa" w:w="3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 v3 协议、零网络资格、失败关闭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确认免费额度恢复或明确付费上限</w:t>
            </w:r>
          </w:p>
        </w:tc>
        <w:tc>
          <w:tcPr>
            <w:tcW w:type="dxa" w:w="1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公共扩展前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独立盲测</w:t>
            </w:r>
          </w:p>
        </w:tc>
        <w:tc>
          <w:tcPr>
            <w:tcW w:type="dxa" w:w="3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生成/抽样脚本、哈希、分析契约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独立保管人、标签 custody</w:t>
            </w:r>
          </w:p>
        </w:tc>
        <w:tc>
          <w:tcPr>
            <w:tcW w:type="dxa" w:w="1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投稿前至少 4 周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JCR Q2</w:t>
            </w:r>
          </w:p>
        </w:tc>
        <w:tc>
          <w:tcPr>
            <w:tcW w:type="dxa" w:w="3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准备候选期刊与范围核验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学校/Clarivate 订阅确认</w:t>
            </w:r>
          </w:p>
        </w:tc>
        <w:tc>
          <w:tcPr>
            <w:tcW w:type="dxa" w:w="1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投稿前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引用完整性</w:t>
            </w:r>
          </w:p>
        </w:tc>
        <w:tc>
          <w:tcPr>
            <w:tcW w:type="dxa" w:w="31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DOI/URL/版本矩阵</w:t>
            </w:r>
          </w:p>
        </w:tc>
        <w:tc>
          <w:tcPr>
            <w:tcW w:type="dxa" w:w="2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导师或第二作者复核</w:t>
            </w:r>
          </w:p>
        </w:tc>
        <w:tc>
          <w:tcPr>
            <w:tcW w:type="dxa" w:w="1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初稿冻结前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73"/>
        <w:shd w:fill="FFF1F2" w:val="clear"/>
        <w:pBdr>
          <w:left w:val="single" w:sz="2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盲测措辞  </w:t>
      </w:r>
      <w:r>
        <w:rPr>
          <w:rFonts w:ascii="Calibri" w:hAnsi="Calibri" w:eastAsia="Microsoft YaHei"/>
          <w:color w:val="111827"/>
          <w:sz w:val="21"/>
        </w:rPr>
        <w:t>在第三方保管人落实前，任何 sealed holdout 只能称“内部封存测试”，不得写成 independent blind evaluation。该外部依赖不能由代码或 API 调用替代。</w:t>
      </w:r>
    </w:p>
    <w:p>
      <w:pPr>
        <w:pStyle w:val="Heading1"/>
      </w:pPr>
      <w:r>
        <w:t>15. 统计分析与论文主表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000"/>
        <w:gridCol w:w="2950"/>
        <w:gridCol w:w="4410"/>
      </w:tblGrid>
      <w:tr>
        <w:trPr>
          <w:tblHeader w:val="true"/>
        </w:trP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分析对象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主要统计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报告要求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安全主终点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unsafe-effect rate；paired difference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分子/分母、绝对差、相对差、95% CI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效用主终点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benign tool TCR；−5pp 非劣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同时报告 ASK/DENY 负担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配对检验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exact McNemar + Holm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不以 p&lt;0.05 替代效应量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不确定性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Wilson CI + 10,000 cluster bootstrap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固定 seed、可独立重建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失败处理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intention-to-treat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timeout/parse/max_steps/provider failure 全保留</w:t>
            </w:r>
          </w:p>
        </w:tc>
      </w:tr>
      <w:tr>
        <w:tc>
          <w:tcPr>
            <w:tcW w:type="dxa" w:w="2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异质性</w:t>
            </w:r>
          </w:p>
        </w:tc>
        <w:tc>
          <w:tcPr>
            <w:tcW w:type="dxa" w:w="295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regime、攻击族、语言、模型、suite</w:t>
            </w:r>
          </w:p>
        </w:tc>
        <w:tc>
          <w:tcPr>
            <w:tcW w:type="dxa" w:w="441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探索性与确认性明确分层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建议论文主表固定为：表 1 研究问题与威胁模型；表 2 在线字段/源码审计；表 3 DeepSeek 中型安全—效用主结果；表 4 授权 regime 探针；表 5 公共扩展；表 6 自适应攻击预算曲线；表 7 第二模型与成本/延迟。Methods/Results 先写，Introduction 在主要外部结果稳定后再定稿。</w:t>
      </w:r>
    </w:p>
    <w:p>
      <w:pPr>
        <w:pStyle w:val="Heading1"/>
      </w:pPr>
      <w:r>
        <w:t>16. 止损条件与审稿风险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触发条件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机制增益缺失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full 持续不优于 policy-only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保持实证路线，不恢复机制领先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效用不可接受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公共基准 TCR 仍显著低于 −5pp 界限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把过度阻断作为核心负结果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自适应攻击推翻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预算增长导致 M3 unsafe effect 明显上升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收缩鲁棒性声明，报告预算曲线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不可用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持续 429/身份不可审计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只写单模型正式证据，不伪造泛化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结构化基线不忠实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fallback/接口语义漂移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降级 diagnostic，保留失败日志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盲测无人保管</w:t>
            </w:r>
          </w:p>
        </w:tc>
        <w:tc>
          <w:tcPr>
            <w:tcW w:type="dxa" w:w="34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投稿前仍无第三方 custody</w:t>
            </w:r>
          </w:p>
        </w:tc>
        <w:tc>
          <w:tcPr>
            <w:tcW w:type="dxa" w:w="37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删除 independent blind 声明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对 JISA 审稿最危险的不是负结果，而是夸大创新、把 diagnostic 当正式证据、忽略效用损失或缺少自适应攻击。当前 empirical fallback 只要补齐公共基准、自适应攻击、第二模型或明确的单模型边界，并把授权 regime 测量做深，仍具有可投稿价值。</w:t>
      </w:r>
    </w:p>
    <w:p>
      <w:pPr>
        <w:pStyle w:val="Heading1"/>
      </w:pPr>
      <w:r>
        <w:t>17. 建议排期（从本报告起）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200"/>
        <w:gridCol w:w="3000"/>
        <w:gridCol w:w="2900"/>
        <w:gridCol w:w="2260"/>
      </w:tblGrid>
      <w:tr>
        <w:trPr>
          <w:tblHeader w:val="true"/>
        </w:trP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主任务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硬门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1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冻结论文主表、Results shell；实现 adaptive provider bridge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可复现实验契约 + 成本 pilot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 真实 effect、全测试绿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2–3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自适应主预算与 hardest subset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预算曲线、ITT 统计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独立 result admission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3–5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AgentDojo/M3-v2 公共扩展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主公共结果与异质性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覆盖/失败门禁通过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4–5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v3（若配额恢复）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第二模型方向性结果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新版本、无重试、身份可审计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5–7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独立盲测/内部封存；Discussion 与完整性审查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论文初稿、图表、附录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措辞与 custody 匹配</w:t>
            </w:r>
          </w:p>
        </w:tc>
      </w:tr>
      <w:tr>
        <w:tc>
          <w:tcPr>
            <w:tcW w:type="dxa" w:w="12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第 8 周</w:t>
            </w:r>
          </w:p>
        </w:tc>
        <w:tc>
          <w:tcPr>
            <w:tcW w:type="dxa" w:w="30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JISA 格式与投稿材料</w:t>
            </w:r>
          </w:p>
        </w:tc>
        <w:tc>
          <w:tcPr>
            <w:tcW w:type="dxa" w:w="29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Cover Letter、声明、代码/数据说明</w:t>
            </w:r>
          </w:p>
        </w:tc>
        <w:tc>
          <w:tcPr>
            <w:tcW w:type="dxa" w:w="22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JCR Q2 正式复核</w:t>
            </w:r>
          </w:p>
        </w:tc>
      </w:tr>
    </w:tbl>
    <w:p>
      <w:pPr>
        <w:spacing w:after="20"/>
      </w:pPr>
    </w:p>
    <w:p>
      <w:pPr>
        <w:pStyle w:val="Heading1"/>
      </w:pPr>
      <w:r>
        <w:t>18. 前沿来源与投稿资料</w:t>
      </w:r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JISA：官方 Aims &amp; Scope、专题与投稿入口 </w:t>
      </w:r>
      <w:hyperlink r:id="rId17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VIGIL：ACL 2026，verify-before-commit 与 SIREN </w:t>
      </w:r>
      <w:hyperlink r:id="rId18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DRIFT：NeurIPS 2025，动态规则与控制/数据流隔离 </w:t>
      </w:r>
      <w:hyperlink r:id="rId19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Task Shield：ACL 2025，工具调用与用户目标一致性 </w:t>
      </w:r>
      <w:hyperlink r:id="rId20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ARGUS：2026 预印本，上下文依赖与 provenance-aware decision auditing </w:t>
      </w:r>
      <w:hyperlink r:id="rId21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AuthGraph：2026 预印本，授权图与参数来源执行图对齐 </w:t>
      </w:r>
      <w:hyperlink r:id="rId22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Progent：2025 预印本，可编程最小权限 </w:t>
      </w:r>
      <w:hyperlink r:id="rId23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IPIGuard：EMNLP 2025，工具依赖图防御 </w:t>
      </w:r>
      <w:hyperlink r:id="rId24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CaMeL：2025 预印本，能力与信息流隔离 </w:t>
      </w:r>
      <w:hyperlink r:id="rId25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The Attacker Moves Second：2025 预印本，防御感知自适应攻击 </w:t>
      </w:r>
      <w:hyperlink r:id="rId26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sz w:val="19"/>
        </w:rPr>
        <w:t xml:space="preserve">JISA Guide for Authors：稿件格式与生成式 AI 使用声明 </w:t>
      </w:r>
      <w:hyperlink r:id="rId27">
        <w:r>
          <w:rPr>
            <w:color w:val="2E74B5"/>
            <w:u w:val="single"/>
          </w:rPr>
          <w:t>查看来源</w:t>
        </w:r>
      </w:hyperlink>
    </w:p>
    <w:p>
      <w:r>
        <w:br w:type="page"/>
      </w:r>
    </w:p>
    <w:p>
      <w:pPr>
        <w:pStyle w:val="Heading1"/>
      </w:pPr>
      <w:r>
        <w:t>附录 A：关键证据摘要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2F4F7" w:val="clea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records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480/480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formal / diagnostic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479 / 1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official completed calls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1,084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DeepSeek cumulative cost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CNY 1.8623798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Primary operational failures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21/432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M3-full unsafe effect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0/36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Structural unsafe effect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8/36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M3-full benign-tool TCR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6/24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Structural benign-tool TCR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12/24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Mechanism route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rejected → empirical fallback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v1 formal results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Gemini v2 formal results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0（首请求 HTTP 429，暂停）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engineering 99% / science 61% / submission 56%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Public freeze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6,873 records pending</w:t>
            </w:r>
          </w:p>
        </w:tc>
      </w:tr>
      <w:tr>
        <w:tc>
          <w:tcPr>
            <w:tcW w:type="dxa" w:w="370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Adaptive maximum query budget</w:t>
            </w:r>
          </w:p>
        </w:tc>
        <w:tc>
          <w:tcPr>
            <w:tcW w:type="dxa" w:w="5660"/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75,000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B：报告生成与证据边界</w:t>
      </w:r>
    </w:p>
    <w:p>
      <w:pPr>
        <w:pStyle w:val="ListBullet"/>
      </w:pPr>
      <w:r>
        <w:rPr>
          <w:rFonts w:ascii="Calibri" w:hAnsi="Calibri" w:eastAsia="Microsoft YaHei"/>
        </w:rPr>
        <w:t>报告只读取已准入分析、冻结协议、append-only ledger 的结构字段和哈希；不读取 API 密钥。</w:t>
      </w:r>
    </w:p>
    <w:p>
      <w:pPr>
        <w:pStyle w:val="ListBullet"/>
      </w:pPr>
      <w:r>
        <w:rPr>
          <w:rFonts w:ascii="Calibri" w:hAnsi="Calibri" w:eastAsia="Microsoft YaHei"/>
        </w:rPr>
        <w:t>报告不向 DeepSeek 或 Gemini 发起任何新请求；Gemini HTTP 429 后未重试。</w:t>
      </w:r>
    </w:p>
    <w:p>
      <w:pPr>
        <w:pStyle w:val="ListBullet"/>
      </w:pPr>
      <w:r>
        <w:rPr>
          <w:rFonts w:ascii="Calibri" w:hAnsi="Calibri" w:eastAsia="Microsoft YaHei"/>
        </w:rPr>
        <w:t>报告不读取或输出完整 prompt、完整 response body、个人联系方式或支付信息。</w:t>
      </w:r>
    </w:p>
    <w:p>
      <w:pPr>
        <w:pStyle w:val="ListBullet"/>
      </w:pPr>
      <w:r>
        <w:rPr>
          <w:rFonts w:ascii="Calibri" w:hAnsi="Calibri" w:eastAsia="Microsoft YaHei"/>
        </w:rPr>
        <w:t>图 1–6 由报告脚本根据上述数值本地生成；不使用模型生成图表数值。</w:t>
      </w:r>
    </w:p>
    <w:p>
      <w:pPr>
        <w:pStyle w:val="ListBullet"/>
      </w:pPr>
      <w:r>
        <w:rPr>
          <w:rFonts w:ascii="Calibri" w:hAnsi="Calibri" w:eastAsia="Microsoft YaHei"/>
        </w:rPr>
        <w:t>JISA 主题范围来自官方页面；JCR 分区仍需学校/Clarivate 在投稿时复核。</w:t>
      </w:r>
    </w:p>
    <w:p>
      <w:pPr>
        <w:pStyle w:val="ListBullet"/>
      </w:pPr>
      <w:r>
        <w:rPr>
          <w:rFonts w:ascii="Calibri" w:hAnsi="Calibri" w:eastAsia="Microsoft YaHei"/>
        </w:rPr>
        <w:t>本报告是阶段性研究决策文件，不是已完成论文，也不代表科学证据达到 80%。</w:t>
      </w:r>
    </w:p>
    <w:p>
      <w:pPr>
        <w:pStyle w:val="ReportSource"/>
      </w:pPr>
      <w:r>
        <w:rPr>
          <w:rFonts w:ascii="Calibri" w:hAnsi="Calibri" w:eastAsia="Microsoft YaHei"/>
          <w:color w:val="596579"/>
          <w:sz w:val="17"/>
        </w:rPr>
        <w:t>源码审计摘要：protocols\paper_upgrade_v2\source_audit_summary_v1.md；分析文件 SHA-256：ea3d6197b0f97b5057b1d0f9fff054f3ae43743eb9cb85eb4122b6c152d7e041。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96579"/>
        <w:sz w:val="18"/>
      </w:rPr>
      <w:t xml:space="preserve">M3-PI Guard  ·  </w:t>
    </w:r>
    <w:r>
      <w:rPr>
        <w:rFonts w:ascii="Calibri" w:hAnsi="Calibri" w:eastAsia="Microsoft YaHei"/>
        <w:color w:val="59657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596579"/>
        <w:sz w:val="17"/>
      </w:rPr>
      <w:t>M3-PI Guard | SCI 二区网络安全研究</w:t>
    </w:r>
    <w:r>
      <w:tab/>
    </w:r>
    <w:r>
      <w:rPr>
        <w:rFonts w:ascii="Calibri" w:hAnsi="Calibri" w:eastAsia="Microsoft YaHei"/>
        <w:color w:val="596579"/>
        <w:sz w:val="17"/>
      </w:rPr>
      <w:t>阶段报告 | 2026-07-27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80"/>
    </w:pPr>
    <w:rPr>
      <w:rFonts w:ascii="Calibri" w:hAnsi="Calibri" w:eastAsia="Microsoft YaHei"/>
      <w:b/>
      <w:bCs/>
      <w:color w:val="1F4D78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ource">
    <w:name w:val="Report Source"/>
    <w:pPr>
      <w:spacing w:before="80" w:after="80" w:line="240" w:lineRule="auto"/>
    </w:pPr>
    <w:rPr>
      <w:rFonts w:ascii="Calibri" w:hAnsi="Calibri" w:eastAsia="Microsoft YaHei"/>
      <w:color w:val="596579"/>
      <w:sz w:val="17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 w:eastAsia="Microsoft YaHei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sciencedirect.com/journal/journal-of-information-security-and-applications" TargetMode="External"/><Relationship Id="rId18" Type="http://schemas.openxmlformats.org/officeDocument/2006/relationships/hyperlink" Target="https://aclanthology.org/2026.acl-long.443/" TargetMode="External"/><Relationship Id="rId19" Type="http://schemas.openxmlformats.org/officeDocument/2006/relationships/hyperlink" Target="https://proceedings.neurips.cc/paper_files/paper/2025/hash/77f3b26c7907aa27b207df9b9d43f29a-Abstract-Conference.html" TargetMode="External"/><Relationship Id="rId20" Type="http://schemas.openxmlformats.org/officeDocument/2006/relationships/hyperlink" Target="https://aclanthology.org/2025.acl-long.1435/" TargetMode="External"/><Relationship Id="rId21" Type="http://schemas.openxmlformats.org/officeDocument/2006/relationships/hyperlink" Target="https://arxiv.org/abs/2605.03378" TargetMode="External"/><Relationship Id="rId22" Type="http://schemas.openxmlformats.org/officeDocument/2006/relationships/hyperlink" Target="https://arxiv.org/abs/2605.26497" TargetMode="External"/><Relationship Id="rId23" Type="http://schemas.openxmlformats.org/officeDocument/2006/relationships/hyperlink" Target="https://arxiv.org/abs/2504.11703" TargetMode="External"/><Relationship Id="rId24" Type="http://schemas.openxmlformats.org/officeDocument/2006/relationships/hyperlink" Target="https://aclanthology.org/2025.emnlp-main.53/" TargetMode="External"/><Relationship Id="rId25" Type="http://schemas.openxmlformats.org/officeDocument/2006/relationships/hyperlink" Target="https://arxiv.org/abs/2503.18813" TargetMode="External"/><Relationship Id="rId26" Type="http://schemas.openxmlformats.org/officeDocument/2006/relationships/hyperlink" Target="https://arxiv.org/abs/2510.09023" TargetMode="External"/><Relationship Id="rId27" Type="http://schemas.openxmlformats.org/officeDocument/2006/relationships/hyperlink" Target="https://www.sciencedirect.com/journal/journal-of-information-security-and-applications/publish/guide-for-auth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M3-PI Guard 阶段性研究报告（2026-07-27）</dc:title>
  <dc:subject>SCI 二区网络安全论文中型证伪结果与后续实验计划</dc:subject>
  <dc:creator>M3-PI Guard Research Team</dc:creator>
  <cp:keywords>LLM agent security, prompt injection, authorization leakage, provenance, security utility</cp:keywords>
  <dc:description>Generated from admitted and frozen repository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