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pPr>
      <w:r>
        <w:rPr>
          <w:rFonts w:ascii="Calibri" w:hAnsi="Calibri" w:eastAsia="Microsoft YaHei"/>
          <w:b/>
          <w:color w:val="7A5A00"/>
          <w:sz w:val="18"/>
        </w:rPr>
        <w:t>RESEARCH STAGE REPORT</w:t>
      </w:r>
    </w:p>
    <w:p>
      <w:pPr>
        <w:pStyle w:val="Title"/>
        <w:spacing w:before="0" w:after="100"/>
      </w:pPr>
      <w:r>
        <w:rPr>
          <w:rFonts w:ascii="Calibri" w:hAnsi="Calibri" w:eastAsia="Microsoft YaHei"/>
          <w:b/>
          <w:color w:val="0B2545"/>
          <w:sz w:val="48"/>
        </w:rPr>
        <w:t>M3-PI Guard 阶段性研究报告</w:t>
      </w:r>
    </w:p>
    <w:p>
      <w:pPr>
        <w:pStyle w:val="Subtitle"/>
      </w:pPr>
      <w:r>
        <w:rPr>
          <w:rFonts w:ascii="Calibri" w:hAnsi="Calibri" w:eastAsia="Microsoft YaHei"/>
          <w:color w:val="596579"/>
          <w:sz w:val="26"/>
        </w:rPr>
        <w:t>Public-v4 技术门通过、四分片续跑就绪与 SCI JCR Q2 实证路线的当前证据</w:t>
      </w:r>
    </w:p>
    <w:p>
      <w:pPr>
        <w:spacing w:before="0" w:after="40"/>
      </w:pPr>
      <w:r>
        <w:rPr>
          <w:rFonts w:ascii="Calibri" w:hAnsi="Calibri" w:eastAsia="Microsoft YaHei"/>
          <w:b/>
          <w:sz w:val="21"/>
        </w:rPr>
        <w:t>报告日期：</w:t>
      </w:r>
      <w:r>
        <w:rPr>
          <w:rFonts w:ascii="Calibri" w:hAnsi="Calibri" w:eastAsia="Microsoft YaHei"/>
          <w:sz w:val="21"/>
        </w:rPr>
        <w:t>2026-07-29（Asia/Shanghai）</w:t>
      </w:r>
    </w:p>
    <w:p>
      <w:pPr>
        <w:spacing w:before="0" w:after="40"/>
      </w:pPr>
      <w:r>
        <w:rPr>
          <w:rFonts w:ascii="Calibri" w:hAnsi="Calibri" w:eastAsia="Microsoft YaHei"/>
          <w:b/>
          <w:sz w:val="21"/>
        </w:rPr>
        <w:t>当前论文路线：</w:t>
      </w:r>
      <w:r>
        <w:rPr>
          <w:rFonts w:ascii="Calibri" w:hAnsi="Calibri" w:eastAsia="Microsoft YaHei"/>
          <w:sz w:val="21"/>
        </w:rPr>
        <w:t>授权信息泄漏、授权不确定性与安全—效用权衡的系统实证研究</w:t>
      </w:r>
    </w:p>
    <w:p>
      <w:pPr>
        <w:spacing w:before="0" w:after="40"/>
      </w:pPr>
      <w:r>
        <w:rPr>
          <w:rFonts w:ascii="Calibri" w:hAnsi="Calibri" w:eastAsia="Microsoft YaHei"/>
          <w:b/>
          <w:sz w:val="21"/>
        </w:rPr>
        <w:t>候选英文标题：</w:t>
      </w:r>
      <w:r>
        <w:rPr>
          <w:rFonts w:ascii="Calibri" w:hAnsi="Calibri" w:eastAsia="Microsoft YaHei"/>
          <w:sz w:val="21"/>
        </w:rPr>
        <w:t>A Systematic Empirical Study of Authorization Leakage, Uncertainty, and Security–Utility Trade-offs in LLM Agent Prompt-Injection Defenses</w:t>
      </w:r>
    </w:p>
    <w:p>
      <w:pPr>
        <w:spacing w:before="0" w:after="40"/>
      </w:pPr>
      <w:r>
        <w:rPr>
          <w:rFonts w:ascii="Calibri" w:hAnsi="Calibri" w:eastAsia="Microsoft YaHei"/>
          <w:b/>
          <w:sz w:val="21"/>
        </w:rPr>
        <w:t>目标期刊：</w:t>
      </w:r>
      <w:r>
        <w:rPr>
          <w:rFonts w:ascii="Calibri" w:hAnsi="Calibri" w:eastAsia="Microsoft YaHei"/>
          <w:sz w:val="21"/>
        </w:rPr>
        <w:t>Journal of Information Security and Applications；投稿前通过学校/Clarivate 复核当期 JCR Q2</w:t>
      </w:r>
    </w:p>
    <w:p>
      <w:pPr>
        <w:spacing w:before="0" w:after="40"/>
      </w:pPr>
      <w:r>
        <w:rPr>
          <w:rFonts w:ascii="Calibri" w:hAnsi="Calibri" w:eastAsia="Microsoft YaHei"/>
          <w:b/>
          <w:sz w:val="21"/>
        </w:rPr>
        <w:t>正式模型证据：</w:t>
      </w:r>
      <w:r>
        <w:rPr>
          <w:rFonts w:ascii="Calibri" w:hAnsi="Calibri" w:eastAsia="Microsoft YaHei"/>
          <w:sz w:val="21"/>
        </w:rPr>
        <w:t>DeepSeek 官方 API / deepseek-v4-pro；Gemini 目前只有诊断链，不承担正式跨提供商结论</w:t>
      </w:r>
    </w:p>
    <w:p>
      <w:pPr>
        <w:spacing w:before="0" w:after="40"/>
      </w:pPr>
      <w:r>
        <w:rPr>
          <w:rFonts w:ascii="Calibri" w:hAnsi="Calibri" w:eastAsia="Microsoft YaHei"/>
          <w:b/>
          <w:sz w:val="21"/>
        </w:rPr>
        <w:t>当前得分：</w:t>
      </w:r>
      <w:r>
        <w:rPr>
          <w:rFonts w:ascii="Calibri" w:hAnsi="Calibri" w:eastAsia="Microsoft YaHei"/>
          <w:sz w:val="21"/>
        </w:rPr>
        <w:t>科学证据 753/1200（62.75%）；工程就绪 99%；投稿就绪 60%</w:t>
      </w:r>
    </w:p>
    <w:p>
      <w:pPr>
        <w:spacing w:before="0" w:after="40"/>
      </w:pPr>
      <w:r>
        <w:rPr>
          <w:rFonts w:ascii="Calibri" w:hAnsi="Calibri" w:eastAsia="Microsoft YaHei"/>
          <w:b/>
          <w:sz w:val="21"/>
        </w:rPr>
        <w:t>安全边界：</w:t>
      </w:r>
      <w:r>
        <w:rPr>
          <w:rFonts w:ascii="Calibri" w:hAnsi="Calibri" w:eastAsia="Microsoft YaHei"/>
          <w:sz w:val="21"/>
        </w:rPr>
        <w:t>provider tools 关闭、无真实外部 effect、无自动重试、失败保留在 ITT 分母、科学结果单独准入</w:t>
      </w:r>
    </w:p>
    <w:p>
      <w:pPr>
        <w:pStyle w:val="Heading1"/>
      </w:pPr>
      <w:r>
        <w:t>1. 执行摘要</w:t>
      </w:r>
    </w:p>
    <w:p>
      <w:pPr>
        <w:keepLines/>
        <w:spacing w:before="100" w:after="160"/>
        <w:ind w:left="202" w:right="173"/>
        <w:shd w:fill="E8EEF5" w:val="clear"/>
        <w:pBdr>
          <w:left w:val="single" w:sz="24" w:space="8" w:color="2E74B5"/>
        </w:pBdr>
      </w:pPr>
      <w:r>
        <w:rPr>
          <w:rFonts w:ascii="Calibri" w:hAnsi="Calibri" w:eastAsia="Microsoft YaHei"/>
          <w:b/>
          <w:color w:val="2E74B5"/>
          <w:sz w:val="21"/>
        </w:rPr>
        <w:t xml:space="preserve">总体判断  </w:t>
      </w:r>
      <w:r>
        <w:rPr>
          <w:rFonts w:ascii="Calibri" w:hAnsi="Calibri" w:eastAsia="Microsoft YaHei"/>
          <w:color w:val="111827"/>
          <w:sz w:val="21"/>
        </w:rPr>
        <w:t>项目仍然具备 SCI JCR Q2 潜力，但论文路线已经由“防御机制领先”切换为“授权信息泄漏、授权不确定性与安全—效用权衡的系统实证”。这一转向不是降级，而是由 480 条正式中型证据触发的预注册止损：M3-full 在攻击安全性上优于结构化基线，却未通过良性工具效用非劣和 full 相对 policy-only 的独立模块增益门。</w:t>
      </w:r>
    </w:p>
    <w:p>
      <w:r>
        <w:rPr>
          <w:rFonts w:ascii="Calibri" w:hAnsi="Calibri" w:eastAsia="Microsoft YaHei"/>
        </w:rPr>
        <w:t>截至 2026-07-29，工程和证据链已达到可扩展实验水平。Public-v4 primary 技术金丝雀完成 24/24 条记录和 64 次官方 DeepSeek 调用，所有技术门均通过；四个互斥分片已经冻结剩余 5,058 条 primary 记录。最新完整 Harness 自然完成并报告 1,188 passed、1 skipped、3 warnings、Verification failed=0。</w:t>
      </w:r>
    </w:p>
    <w:p>
      <w:r>
        <w:rPr>
          <w:rFonts w:ascii="Calibri" w:hAnsi="Calibri" w:eastAsia="Microsoft YaHei"/>
        </w:rPr>
        <w:t>必须强调：Public-v4 金丝雀只证明执行链、身份、预算、trace、append-only ledger 和安全边界可以工作。其 technical review 明确没有访问或聚合 unsafe-effect、task-completion 和条件差异，result admission 仍为 false。因此科学证据仍是 753/1200（62.75%），不能把 24 条技术记录或 1,188 个测试误记为论文结果。</w:t>
      </w:r>
    </w:p>
    <w:tbl>
      <w:tblPr>
        <w:tblW w:type="dxa" w:w="9360"/>
        <w:tblLayout w:type="fixed"/>
        <w:tblLook w:firstColumn="1" w:firstRow="1" w:lastColumn="0" w:lastRow="0" w:noHBand="0" w:noVBand="1" w:val="04A0"/>
        <w:jc w:val="left"/>
        <w:tblInd w:type="dxa" w:w="120"/>
        <w:tblCellMar>
          <w:top w:w="100" w:type="dxa"/>
          <w:bottom w:w="100" w:type="dxa"/>
          <w:start w:w="120" w:type="dxa"/>
          <w:end w:w="120" w:type="dxa"/>
        </w:tblCellMar>
      </w:tblPr>
      <w:tblGrid>
        <w:gridCol w:w="1450"/>
        <w:gridCol w:w="1500"/>
        <w:gridCol w:w="3260"/>
        <w:gridCol w:w="3150"/>
      </w:tblGrid>
      <w:tr>
        <w:trPr>
          <w:tblHeader w:val="true"/>
          <w:cantSplit/>
        </w:trPr>
        <w:tc>
          <w:tcPr>
            <w:tcW w:type="dxa" w:w="1450"/>
            <w:vAlign w:val="center"/>
            <w:tcBorders>
              <w:top w:val="single" w:sz="6" w:color="D8DEE8"/>
              <w:left w:val="single" w:sz="6" w:color="D8DEE8"/>
              <w:bottom w:val="single" w:sz="6" w:color="D8DEE8"/>
              <w:right w:val="single" w:sz="6" w:color="D8DEE8"/>
              <w:insideH w:val="single" w:sz="6" w:color="D8DEE8"/>
              <w:insideV w:val="single" w:sz="6" w:color="D8DEE8"/>
            </w:tcBorders>
            <w:shd w:fill="F2F4F7" w:val="clear"/>
          </w:tcPr>
          <w:p>
            <w:pPr>
              <w:pStyle w:val="TableText"/>
              <w:jc w:val="center"/>
            </w:pPr>
            <w:r/>
            <w:r>
              <w:rPr>
                <w:rFonts w:ascii="Calibri" w:hAnsi="Calibri" w:eastAsia="Microsoft YaHei"/>
                <w:b/>
                <w:color w:val="0B2545"/>
                <w:sz w:val="18"/>
              </w:rPr>
              <w:t>维度</w:t>
            </w:r>
          </w:p>
        </w:tc>
        <w:tc>
          <w:tcPr>
            <w:tcW w:type="dxa" w:w="1500"/>
            <w:vAlign w:val="center"/>
            <w:tcBorders>
              <w:top w:val="single" w:sz="6" w:color="D8DEE8"/>
              <w:left w:val="single" w:sz="6" w:color="D8DEE8"/>
              <w:bottom w:val="single" w:sz="6" w:color="D8DEE8"/>
              <w:right w:val="single" w:sz="6" w:color="D8DEE8"/>
              <w:insideH w:val="single" w:sz="6" w:color="D8DEE8"/>
              <w:insideV w:val="single" w:sz="6" w:color="D8DEE8"/>
            </w:tcBorders>
            <w:shd w:fill="F2F4F7" w:val="clear"/>
          </w:tcPr>
          <w:p>
            <w:pPr>
              <w:pStyle w:val="TableText"/>
              <w:jc w:val="center"/>
            </w:pPr>
            <w:r/>
            <w:r>
              <w:rPr>
                <w:rFonts w:ascii="Calibri" w:hAnsi="Calibri" w:eastAsia="Microsoft YaHei"/>
                <w:b/>
                <w:color w:val="0B2545"/>
                <w:sz w:val="18"/>
              </w:rPr>
              <w:t>当前状态</w:t>
            </w:r>
          </w:p>
        </w:tc>
        <w:tc>
          <w:tcPr>
            <w:tcW w:type="dxa" w:w="3260"/>
            <w:vAlign w:val="center"/>
            <w:tcBorders>
              <w:top w:val="single" w:sz="6" w:color="D8DEE8"/>
              <w:left w:val="single" w:sz="6" w:color="D8DEE8"/>
              <w:bottom w:val="single" w:sz="6" w:color="D8DEE8"/>
              <w:right w:val="single" w:sz="6" w:color="D8DEE8"/>
              <w:insideH w:val="single" w:sz="6" w:color="D8DEE8"/>
              <w:insideV w:val="single" w:sz="6" w:color="D8DEE8"/>
            </w:tcBorders>
            <w:shd w:fill="F2F4F7" w:val="clear"/>
          </w:tcPr>
          <w:p>
            <w:pPr>
              <w:pStyle w:val="TableText"/>
              <w:jc w:val="center"/>
            </w:pPr>
            <w:r/>
            <w:r>
              <w:rPr>
                <w:rFonts w:ascii="Calibri" w:hAnsi="Calibri" w:eastAsia="Microsoft YaHei"/>
                <w:b/>
                <w:color w:val="0B2545"/>
                <w:sz w:val="18"/>
              </w:rPr>
              <w:t>可对外表述</w:t>
            </w:r>
          </w:p>
        </w:tc>
        <w:tc>
          <w:tcPr>
            <w:tcW w:type="dxa" w:w="3150"/>
            <w:vAlign w:val="center"/>
            <w:tcBorders>
              <w:top w:val="single" w:sz="6" w:color="D8DEE8"/>
              <w:left w:val="single" w:sz="6" w:color="D8DEE8"/>
              <w:bottom w:val="single" w:sz="6" w:color="D8DEE8"/>
              <w:right w:val="single" w:sz="6" w:color="D8DEE8"/>
              <w:insideH w:val="single" w:sz="6" w:color="D8DEE8"/>
              <w:insideV w:val="single" w:sz="6" w:color="D8DEE8"/>
            </w:tcBorders>
            <w:shd w:fill="F2F4F7" w:val="clear"/>
          </w:tcPr>
          <w:p>
            <w:pPr>
              <w:pStyle w:val="TableText"/>
              <w:jc w:val="center"/>
            </w:pPr>
            <w:r/>
            <w:r>
              <w:rPr>
                <w:rFonts w:ascii="Calibri" w:hAnsi="Calibri" w:eastAsia="Microsoft YaHei"/>
                <w:b/>
                <w:color w:val="0B2545"/>
                <w:sz w:val="18"/>
              </w:rPr>
              <w:t>不可表述</w:t>
            </w:r>
          </w:p>
        </w:tc>
      </w:tr>
      <w:tr>
        <w:trPr>
          <w:cantSplit/>
        </w:trPr>
        <w:tc>
          <w:tcPr>
            <w:tcW w:type="dxa" w:w="145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论文可行性</w:t>
            </w:r>
          </w:p>
        </w:tc>
        <w:tc>
          <w:tcPr>
            <w:tcW w:type="dxa" w:w="15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center"/>
            </w:pPr>
            <w:r/>
            <w:r>
              <w:rPr>
                <w:rFonts w:ascii="Calibri" w:hAnsi="Calibri" w:eastAsia="Microsoft YaHei"/>
                <w:b/>
                <w:color w:val="111827"/>
                <w:sz w:val="18"/>
              </w:rPr>
              <w:t>有条件可行</w:t>
            </w:r>
          </w:p>
        </w:tc>
        <w:tc>
          <w:tcPr>
            <w:tcW w:type="dxa" w:w="326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具备 JISA 范围匹配和完整研究基础</w:t>
            </w:r>
          </w:p>
        </w:tc>
        <w:tc>
          <w:tcPr>
            <w:tcW w:type="dxa" w:w="315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不能保证录用或声称已经达到 Q2</w:t>
            </w:r>
          </w:p>
        </w:tc>
      </w:tr>
      <w:tr>
        <w:trPr>
          <w:cantSplit/>
        </w:trPr>
        <w:tc>
          <w:tcPr>
            <w:tcW w:type="dxa" w:w="145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中型证据</w:t>
            </w:r>
          </w:p>
        </w:tc>
        <w:tc>
          <w:tcPr>
            <w:tcW w:type="dxa" w:w="15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center"/>
            </w:pPr>
            <w:r/>
            <w:r>
              <w:rPr>
                <w:rFonts w:ascii="Calibri" w:hAnsi="Calibri" w:eastAsia="Microsoft YaHei"/>
                <w:b/>
                <w:color w:val="111827"/>
                <w:sz w:val="18"/>
              </w:rPr>
              <w:t>正式准入</w:t>
            </w:r>
          </w:p>
        </w:tc>
        <w:tc>
          <w:tcPr>
            <w:tcW w:type="dxa" w:w="326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安全—效用冲突与机制门失败</w:t>
            </w:r>
          </w:p>
        </w:tc>
        <w:tc>
          <w:tcPr>
            <w:tcW w:type="dxa" w:w="315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不能宣称 M3-full 全面优于基线</w:t>
            </w:r>
          </w:p>
        </w:tc>
      </w:tr>
      <w:tr>
        <w:trPr>
          <w:cantSplit/>
        </w:trPr>
        <w:tc>
          <w:tcPr>
            <w:tcW w:type="dxa" w:w="145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Public-v4</w:t>
            </w:r>
          </w:p>
        </w:tc>
        <w:tc>
          <w:tcPr>
            <w:tcW w:type="dxa" w:w="15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center"/>
            </w:pPr>
            <w:r/>
            <w:r>
              <w:rPr>
                <w:rFonts w:ascii="Calibri" w:hAnsi="Calibri" w:eastAsia="Microsoft YaHei"/>
                <w:b/>
                <w:color w:val="1F6B4F"/>
                <w:sz w:val="18"/>
              </w:rPr>
              <w:t>技术门通过</w:t>
            </w:r>
          </w:p>
        </w:tc>
        <w:tc>
          <w:tcPr>
            <w:tcW w:type="dxa" w:w="326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24/24、64 calls、证据链完整</w:t>
            </w:r>
          </w:p>
        </w:tc>
        <w:tc>
          <w:tcPr>
            <w:tcW w:type="dxa" w:w="315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不能报告条件效果或计入科学分</w:t>
            </w:r>
          </w:p>
        </w:tc>
      </w:tr>
      <w:tr>
        <w:trPr>
          <w:cantSplit/>
        </w:trPr>
        <w:tc>
          <w:tcPr>
            <w:tcW w:type="dxa" w:w="145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主模型续跑</w:t>
            </w:r>
          </w:p>
        </w:tc>
        <w:tc>
          <w:tcPr>
            <w:tcW w:type="dxa" w:w="15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center"/>
            </w:pPr>
            <w:r/>
            <w:r>
              <w:rPr>
                <w:rFonts w:ascii="Calibri" w:hAnsi="Calibri" w:eastAsia="Microsoft YaHei"/>
                <w:b/>
                <w:color w:val="111827"/>
                <w:sz w:val="18"/>
              </w:rPr>
              <w:t>候选冻结</w:t>
            </w:r>
          </w:p>
        </w:tc>
        <w:tc>
          <w:tcPr>
            <w:tcW w:type="dxa" w:w="326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四分片 5,058 条已通过完整 Harness</w:t>
            </w:r>
          </w:p>
        </w:tc>
        <w:tc>
          <w:tcPr>
            <w:tcW w:type="dxa" w:w="315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尚未启动、尚无结果</w:t>
            </w:r>
          </w:p>
        </w:tc>
      </w:tr>
      <w:tr>
        <w:trPr>
          <w:cantSplit/>
        </w:trPr>
        <w:tc>
          <w:tcPr>
            <w:tcW w:type="dxa" w:w="145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第二模型</w:t>
            </w:r>
          </w:p>
        </w:tc>
        <w:tc>
          <w:tcPr>
            <w:tcW w:type="dxa" w:w="15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center"/>
            </w:pPr>
            <w:r/>
            <w:r>
              <w:rPr>
                <w:rFonts w:ascii="Calibri" w:hAnsi="Calibri" w:eastAsia="Microsoft YaHei"/>
                <w:b/>
                <w:color w:val="111827"/>
                <w:sz w:val="18"/>
              </w:rPr>
              <w:t>正式证据缺失</w:t>
            </w:r>
          </w:p>
        </w:tc>
        <w:tc>
          <w:tcPr>
            <w:tcW w:type="dxa" w:w="326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Gemini Free 仅有安全连通性诊断</w:t>
            </w:r>
          </w:p>
        </w:tc>
        <w:tc>
          <w:tcPr>
            <w:tcW w:type="dxa" w:w="315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不能做跨提供商泛化结论</w:t>
            </w:r>
          </w:p>
        </w:tc>
      </w:tr>
    </w:tbl>
    <w:p>
      <w:pPr>
        <w:spacing w:after="20"/>
      </w:pPr>
    </w:p>
    <w:p>
      <w:pPr>
        <w:pStyle w:val="Heading1"/>
      </w:pPr>
      <w:r>
        <w:t>2. 目标 SCI 二区的可行性与当前论文定位</w:t>
      </w:r>
    </w:p>
    <w:p>
      <w:r>
        <w:rPr>
          <w:rFonts w:ascii="Calibri" w:hAnsi="Calibri" w:eastAsia="Microsoft YaHei"/>
        </w:rPr>
        <w:t>目标按“SCIE 收录且投稿时 JCR Q2”理解。首选 Journal of Information Security and Applications（JISA）是合理的：其官方范围包含访问控制、安全策略、网络与移动安全，并有 LLM/大型 AI 模型安全相关专题。最终分区不能依赖第三方静态网页，投稿前必须由学校数据库或 Clarivate 订阅核验当期 JCR。</w:t>
      </w:r>
    </w:p>
    <w:tbl>
      <w:tblPr>
        <w:tblW w:type="dxa" w:w="9360"/>
        <w:tblLayout w:type="fixed"/>
        <w:tblLook w:firstColumn="1" w:firstRow="1" w:lastColumn="0" w:lastRow="0" w:noHBand="0" w:noVBand="1" w:val="04A0"/>
        <w:jc w:val="left"/>
        <w:tblInd w:type="dxa" w:w="120"/>
        <w:tblCellMar>
          <w:top w:w="100" w:type="dxa"/>
          <w:bottom w:w="100" w:type="dxa"/>
          <w:start w:w="120" w:type="dxa"/>
          <w:end w:w="120" w:type="dxa"/>
        </w:tblCellMar>
      </w:tblPr>
      <w:tblGrid>
        <w:gridCol w:w="1500"/>
        <w:gridCol w:w="2850"/>
        <w:gridCol w:w="2850"/>
        <w:gridCol w:w="2160"/>
      </w:tblGrid>
      <w:tr>
        <w:trPr>
          <w:tblHeader w:val="true"/>
          <w:cantSplit/>
        </w:trPr>
        <w:tc>
          <w:tcPr>
            <w:tcW w:type="dxa" w:w="1500"/>
            <w:vAlign w:val="center"/>
            <w:tcBorders>
              <w:top w:val="single" w:sz="6" w:color="D8DEE8"/>
              <w:left w:val="single" w:sz="6" w:color="D8DEE8"/>
              <w:bottom w:val="single" w:sz="6" w:color="D8DEE8"/>
              <w:right w:val="single" w:sz="6" w:color="D8DEE8"/>
              <w:insideH w:val="single" w:sz="6" w:color="D8DEE8"/>
              <w:insideV w:val="single" w:sz="6" w:color="D8DEE8"/>
            </w:tcBorders>
            <w:shd w:fill="F2F4F7" w:val="clear"/>
          </w:tcPr>
          <w:p>
            <w:pPr>
              <w:pStyle w:val="TableText"/>
              <w:jc w:val="center"/>
            </w:pPr>
            <w:r/>
            <w:r>
              <w:rPr>
                <w:rFonts w:ascii="Calibri" w:hAnsi="Calibri" w:eastAsia="Microsoft YaHei"/>
                <w:b/>
                <w:color w:val="0B2545"/>
                <w:sz w:val="18"/>
              </w:rPr>
              <w:t>判断项</w:t>
            </w:r>
          </w:p>
        </w:tc>
        <w:tc>
          <w:tcPr>
            <w:tcW w:type="dxa" w:w="2850"/>
            <w:vAlign w:val="center"/>
            <w:tcBorders>
              <w:top w:val="single" w:sz="6" w:color="D8DEE8"/>
              <w:left w:val="single" w:sz="6" w:color="D8DEE8"/>
              <w:bottom w:val="single" w:sz="6" w:color="D8DEE8"/>
              <w:right w:val="single" w:sz="6" w:color="D8DEE8"/>
              <w:insideH w:val="single" w:sz="6" w:color="D8DEE8"/>
              <w:insideV w:val="single" w:sz="6" w:color="D8DEE8"/>
            </w:tcBorders>
            <w:shd w:fill="F2F4F7" w:val="clear"/>
          </w:tcPr>
          <w:p>
            <w:pPr>
              <w:pStyle w:val="TableText"/>
              <w:jc w:val="center"/>
            </w:pPr>
            <w:r/>
            <w:r>
              <w:rPr>
                <w:rFonts w:ascii="Calibri" w:hAnsi="Calibri" w:eastAsia="Microsoft YaHei"/>
                <w:b/>
                <w:color w:val="0B2545"/>
                <w:sz w:val="18"/>
              </w:rPr>
              <w:t>项目现状</w:t>
            </w:r>
          </w:p>
        </w:tc>
        <w:tc>
          <w:tcPr>
            <w:tcW w:type="dxa" w:w="2850"/>
            <w:vAlign w:val="center"/>
            <w:tcBorders>
              <w:top w:val="single" w:sz="6" w:color="D8DEE8"/>
              <w:left w:val="single" w:sz="6" w:color="D8DEE8"/>
              <w:bottom w:val="single" w:sz="6" w:color="D8DEE8"/>
              <w:right w:val="single" w:sz="6" w:color="D8DEE8"/>
              <w:insideH w:val="single" w:sz="6" w:color="D8DEE8"/>
              <w:insideV w:val="single" w:sz="6" w:color="D8DEE8"/>
            </w:tcBorders>
            <w:shd w:fill="F2F4F7" w:val="clear"/>
          </w:tcPr>
          <w:p>
            <w:pPr>
              <w:pStyle w:val="TableText"/>
              <w:jc w:val="center"/>
            </w:pPr>
            <w:r/>
            <w:r>
              <w:rPr>
                <w:rFonts w:ascii="Calibri" w:hAnsi="Calibri" w:eastAsia="Microsoft YaHei"/>
                <w:b/>
                <w:color w:val="0B2545"/>
                <w:sz w:val="18"/>
              </w:rPr>
              <w:t>二区要求</w:t>
            </w:r>
          </w:p>
        </w:tc>
        <w:tc>
          <w:tcPr>
            <w:tcW w:type="dxa" w:w="2160"/>
            <w:vAlign w:val="center"/>
            <w:tcBorders>
              <w:top w:val="single" w:sz="6" w:color="D8DEE8"/>
              <w:left w:val="single" w:sz="6" w:color="D8DEE8"/>
              <w:bottom w:val="single" w:sz="6" w:color="D8DEE8"/>
              <w:right w:val="single" w:sz="6" w:color="D8DEE8"/>
              <w:insideH w:val="single" w:sz="6" w:color="D8DEE8"/>
              <w:insideV w:val="single" w:sz="6" w:color="D8DEE8"/>
            </w:tcBorders>
            <w:shd w:fill="F2F4F7" w:val="clear"/>
          </w:tcPr>
          <w:p>
            <w:pPr>
              <w:pStyle w:val="TableText"/>
              <w:jc w:val="center"/>
            </w:pPr>
            <w:r/>
            <w:r>
              <w:rPr>
                <w:rFonts w:ascii="Calibri" w:hAnsi="Calibri" w:eastAsia="Microsoft YaHei"/>
                <w:b/>
                <w:color w:val="0B2545"/>
                <w:sz w:val="18"/>
              </w:rPr>
              <w:t>差距</w:t>
            </w:r>
          </w:p>
        </w:tc>
      </w:tr>
      <w:tr>
        <w:trPr>
          <w:cantSplit/>
        </w:trPr>
        <w:tc>
          <w:tcPr>
            <w:tcW w:type="dxa" w:w="15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研究问题</w:t>
            </w:r>
          </w:p>
        </w:tc>
        <w:tc>
          <w:tcPr>
            <w:tcW w:type="dxa" w:w="285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工具型 LLM Agent 的运行时授权与间接提示注入</w:t>
            </w:r>
          </w:p>
        </w:tc>
        <w:tc>
          <w:tcPr>
            <w:tcW w:type="dxa" w:w="285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网络安全问题清晰、威胁模型明确</w:t>
            </w:r>
          </w:p>
        </w:tc>
        <w:tc>
          <w:tcPr>
            <w:tcW w:type="dxa" w:w="216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center"/>
            </w:pPr>
            <w:r/>
            <w:r>
              <w:rPr>
                <w:rFonts w:ascii="Calibri" w:hAnsi="Calibri" w:eastAsia="Microsoft YaHei"/>
                <w:b/>
                <w:color w:val="111827"/>
                <w:sz w:val="18"/>
              </w:rPr>
              <w:t>基本满足</w:t>
            </w:r>
          </w:p>
        </w:tc>
      </w:tr>
      <w:tr>
        <w:trPr>
          <w:cantSplit/>
        </w:trPr>
        <w:tc>
          <w:tcPr>
            <w:tcW w:type="dxa" w:w="15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创新叙事</w:t>
            </w:r>
          </w:p>
        </w:tc>
        <w:tc>
          <w:tcPr>
            <w:tcW w:type="dxa" w:w="285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oracle 泄漏 + 授权 regime + 安全—效用联合分析</w:t>
            </w:r>
          </w:p>
        </w:tc>
        <w:tc>
          <w:tcPr>
            <w:tcW w:type="dxa" w:w="285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不能与 AuthGraph/PlanGuard 等新工作重叠</w:t>
            </w:r>
          </w:p>
        </w:tc>
        <w:tc>
          <w:tcPr>
            <w:tcW w:type="dxa" w:w="216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center"/>
            </w:pPr>
            <w:r/>
            <w:r>
              <w:rPr>
                <w:rFonts w:ascii="Calibri" w:hAnsi="Calibri" w:eastAsia="Microsoft YaHei"/>
                <w:b/>
                <w:color w:val="111827"/>
                <w:sz w:val="18"/>
              </w:rPr>
              <w:t>需依赖公共/自适应结果强化</w:t>
            </w:r>
          </w:p>
        </w:tc>
      </w:tr>
      <w:tr>
        <w:trPr>
          <w:cantSplit/>
        </w:trPr>
        <w:tc>
          <w:tcPr>
            <w:tcW w:type="dxa" w:w="15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实验证据</w:t>
            </w:r>
          </w:p>
        </w:tc>
        <w:tc>
          <w:tcPr>
            <w:tcW w:type="dxa" w:w="285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中型 480 条正式准入；公共矩阵待跑</w:t>
            </w:r>
          </w:p>
        </w:tc>
        <w:tc>
          <w:tcPr>
            <w:tcW w:type="dxa" w:w="285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公共基准、第二模型、自适应攻击</w:t>
            </w:r>
          </w:p>
        </w:tc>
        <w:tc>
          <w:tcPr>
            <w:tcW w:type="dxa" w:w="216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center"/>
            </w:pPr>
            <w:r/>
            <w:r>
              <w:rPr>
                <w:rFonts w:ascii="Calibri" w:hAnsi="Calibri" w:eastAsia="Microsoft YaHei"/>
                <w:b/>
                <w:color w:val="111827"/>
                <w:sz w:val="18"/>
              </w:rPr>
              <w:t>核心缺口</w:t>
            </w:r>
          </w:p>
        </w:tc>
      </w:tr>
      <w:tr>
        <w:trPr>
          <w:cantSplit/>
        </w:trPr>
        <w:tc>
          <w:tcPr>
            <w:tcW w:type="dxa" w:w="15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复现性</w:t>
            </w:r>
          </w:p>
        </w:tc>
        <w:tc>
          <w:tcPr>
            <w:tcW w:type="dxa" w:w="285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冻结、哈希、准入、ITT、完整 Harness</w:t>
            </w:r>
          </w:p>
        </w:tc>
        <w:tc>
          <w:tcPr>
            <w:tcW w:type="dxa" w:w="285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可审计、可重建、失败透明</w:t>
            </w:r>
          </w:p>
        </w:tc>
        <w:tc>
          <w:tcPr>
            <w:tcW w:type="dxa" w:w="216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center"/>
            </w:pPr>
            <w:r/>
            <w:r>
              <w:rPr>
                <w:rFonts w:ascii="Calibri" w:hAnsi="Calibri" w:eastAsia="Microsoft YaHei"/>
                <w:b/>
                <w:color w:val="111827"/>
                <w:sz w:val="18"/>
              </w:rPr>
              <w:t>优势</w:t>
            </w:r>
          </w:p>
        </w:tc>
      </w:tr>
      <w:tr>
        <w:trPr>
          <w:cantSplit/>
        </w:trPr>
        <w:tc>
          <w:tcPr>
            <w:tcW w:type="dxa" w:w="15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外部有效性</w:t>
            </w:r>
          </w:p>
        </w:tc>
        <w:tc>
          <w:tcPr>
            <w:tcW w:type="dxa" w:w="285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AgentDojo + M3-v2 已冻结</w:t>
            </w:r>
          </w:p>
        </w:tc>
        <w:tc>
          <w:tcPr>
            <w:tcW w:type="dxa" w:w="285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至少两个公开/外部基准方向一致</w:t>
            </w:r>
          </w:p>
        </w:tc>
        <w:tc>
          <w:tcPr>
            <w:tcW w:type="dxa" w:w="216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center"/>
            </w:pPr>
            <w:r/>
            <w:r>
              <w:rPr>
                <w:rFonts w:ascii="Calibri" w:hAnsi="Calibri" w:eastAsia="Microsoft YaHei"/>
                <w:b/>
                <w:color w:val="111827"/>
                <w:sz w:val="18"/>
              </w:rPr>
              <w:t>结果尚缺</w:t>
            </w:r>
          </w:p>
        </w:tc>
      </w:tr>
    </w:tbl>
    <w:p>
      <w:pPr>
        <w:spacing w:after="20"/>
      </w:pPr>
    </w:p>
    <w:p>
      <w:pPr>
        <w:keepLines/>
        <w:spacing w:before="100" w:after="160"/>
        <w:ind w:left="202" w:right="173"/>
        <w:shd w:fill="F4F6F9" w:val="clear"/>
        <w:pBdr>
          <w:left w:val="single" w:sz="24" w:space="8" w:color="7A5A00"/>
        </w:pBdr>
      </w:pPr>
      <w:r>
        <w:rPr>
          <w:rFonts w:ascii="Calibri" w:hAnsi="Calibri" w:eastAsia="Microsoft YaHei"/>
          <w:b/>
          <w:color w:val="7A5A00"/>
          <w:sz w:val="21"/>
        </w:rPr>
        <w:t xml:space="preserve">建议主标题方向  </w:t>
      </w:r>
      <w:r>
        <w:rPr>
          <w:rFonts w:ascii="Calibri" w:hAnsi="Calibri" w:eastAsia="Microsoft YaHei"/>
          <w:color w:val="111827"/>
          <w:sz w:val="21"/>
        </w:rPr>
        <w:t>A Systematic Empirical Study of Authorization Leakage, Uncertainty, and Security–Utility Trade-offs in LLM Agent Prompt-Injection Defenses。只有在公共/自适应证据显示 M3-full 同时满足安全增益、TCR 非劣与独立模块增益时，才考虑恢复防御机制主线；当前不建议这样写。</w:t>
      </w:r>
    </w:p>
    <w:p>
      <w:pPr>
        <w:pStyle w:val="Heading1"/>
      </w:pPr>
      <w:r>
        <w:t>3. 已准入的中型证伪实验</w:t>
      </w:r>
    </w:p>
    <w:p>
      <w:pPr>
        <w:pStyle w:val="Caption"/>
      </w:pPr>
      <w:r>
        <w:rPr>
          <w:rFonts w:ascii="Calibri" w:hAnsi="Calibri" w:eastAsia="Microsoft YaHei"/>
          <w:b/>
          <w:color w:val="1F4D78"/>
          <w:sz w:val="19"/>
        </w:rPr>
        <w:t>图 1  中型六条件的 unsafe-effect 与良性工具 TCR</w:t>
      </w:r>
    </w:p>
    <w:p>
      <w:pPr>
        <w:keepLines/>
        <w:spacing w:before="0" w:after="40"/>
        <w:jc w:val="center"/>
      </w:pPr>
      <w:r>
        <w:drawing>
          <wp:inline xmlns:a="http://schemas.openxmlformats.org/drawingml/2006/main" xmlns:pic="http://schemas.openxmlformats.org/drawingml/2006/picture">
            <wp:extent cx="5623560" cy="3280410"/>
            <wp:docPr id="1" name="Picture 1" title="图 1  中型六条件的 unsafe-effect 与良性工具 TCR" descr="六条件分组柱图。M3 policy-only 和 M3 full 的 unsafe-effect 均为 0%，但良性工具完成率分别只有 29.2% 和 25.0%。"/>
            <wp:cNvGraphicFramePr>
              <a:graphicFrameLocks noChangeAspect="1"/>
            </wp:cNvGraphicFramePr>
            <a:graphic>
              <a:graphicData uri="http://schemas.openxmlformats.org/drawingml/2006/picture">
                <pic:pic>
                  <pic:nvPicPr>
                    <pic:cNvPr id="0" name="figure_1_medium_security_utility.png"/>
                    <pic:cNvPicPr/>
                  </pic:nvPicPr>
                  <pic:blipFill>
                    <a:blip r:embed="rId13"/>
                    <a:stretch>
                      <a:fillRect/>
                    </a:stretch>
                  </pic:blipFill>
                  <pic:spPr>
                    <a:xfrm>
                      <a:off x="0" y="0"/>
                      <a:ext cx="5623560" cy="3280410"/>
                    </a:xfrm>
                    <a:prstGeom prst="rect"/>
                  </pic:spPr>
                </pic:pic>
              </a:graphicData>
            </a:graphic>
          </wp:inline>
        </w:drawing>
      </w:r>
    </w:p>
    <w:p>
      <w:pPr>
        <w:pStyle w:val="ReportSource"/>
      </w:pPr>
      <w:r>
        <w:rPr>
          <w:rFonts w:ascii="Calibri" w:hAnsi="Calibri" w:eastAsia="Microsoft YaHei"/>
          <w:color w:val="596579"/>
          <w:sz w:val="17"/>
        </w:rPr>
        <w:t>来源：admitted_medium_analysis_v8.json；所有失败保留在 ITT 分母。</w:t>
      </w:r>
    </w:p>
    <w:tbl>
      <w:tblPr>
        <w:tblW w:type="dxa" w:w="9360"/>
        <w:tblLayout w:type="fixed"/>
        <w:tblLook w:firstColumn="1" w:firstRow="1" w:lastColumn="0" w:lastRow="0" w:noHBand="0" w:noVBand="1" w:val="04A0"/>
        <w:jc w:val="left"/>
        <w:tblInd w:type="dxa" w:w="120"/>
        <w:tblCellMar>
          <w:top w:w="100" w:type="dxa"/>
          <w:bottom w:w="100" w:type="dxa"/>
          <w:start w:w="120" w:type="dxa"/>
          <w:end w:w="120" w:type="dxa"/>
        </w:tblCellMar>
      </w:tblPr>
      <w:tblGrid>
        <w:gridCol w:w="2550"/>
        <w:gridCol w:w="2200"/>
        <w:gridCol w:w="2200"/>
        <w:gridCol w:w="2410"/>
      </w:tblGrid>
      <w:tr>
        <w:trPr>
          <w:tblHeader w:val="true"/>
          <w:cantSplit/>
        </w:trPr>
        <w:tc>
          <w:tcPr>
            <w:tcW w:type="dxa" w:w="2550"/>
            <w:vAlign w:val="center"/>
            <w:tcBorders>
              <w:top w:val="single" w:sz="6" w:color="D8DEE8"/>
              <w:left w:val="single" w:sz="6" w:color="D8DEE8"/>
              <w:bottom w:val="single" w:sz="6" w:color="D8DEE8"/>
              <w:right w:val="single" w:sz="6" w:color="D8DEE8"/>
              <w:insideH w:val="single" w:sz="6" w:color="D8DEE8"/>
              <w:insideV w:val="single" w:sz="6" w:color="D8DEE8"/>
            </w:tcBorders>
            <w:shd w:fill="F2F4F7" w:val="clear"/>
          </w:tcPr>
          <w:p>
            <w:pPr>
              <w:pStyle w:val="TableText"/>
              <w:jc w:val="center"/>
            </w:pPr>
            <w:r/>
            <w:r>
              <w:rPr>
                <w:rFonts w:ascii="Calibri" w:hAnsi="Calibri" w:eastAsia="Microsoft YaHei"/>
                <w:b/>
                <w:color w:val="0B2545"/>
                <w:sz w:val="18"/>
              </w:rPr>
              <w:t>条件</w:t>
            </w:r>
          </w:p>
        </w:tc>
        <w:tc>
          <w:tcPr>
            <w:tcW w:type="dxa" w:w="2200"/>
            <w:vAlign w:val="center"/>
            <w:tcBorders>
              <w:top w:val="single" w:sz="6" w:color="D8DEE8"/>
              <w:left w:val="single" w:sz="6" w:color="D8DEE8"/>
              <w:bottom w:val="single" w:sz="6" w:color="D8DEE8"/>
              <w:right w:val="single" w:sz="6" w:color="D8DEE8"/>
              <w:insideH w:val="single" w:sz="6" w:color="D8DEE8"/>
              <w:insideV w:val="single" w:sz="6" w:color="D8DEE8"/>
            </w:tcBorders>
            <w:shd w:fill="F2F4F7" w:val="clear"/>
          </w:tcPr>
          <w:p>
            <w:pPr>
              <w:pStyle w:val="TableText"/>
              <w:jc w:val="center"/>
            </w:pPr>
            <w:r/>
            <w:r>
              <w:rPr>
                <w:rFonts w:ascii="Calibri" w:hAnsi="Calibri" w:eastAsia="Microsoft YaHei"/>
                <w:b/>
                <w:color w:val="0B2545"/>
                <w:sz w:val="18"/>
              </w:rPr>
              <w:t>攻击 unsafe-effect</w:t>
            </w:r>
          </w:p>
        </w:tc>
        <w:tc>
          <w:tcPr>
            <w:tcW w:type="dxa" w:w="2200"/>
            <w:vAlign w:val="center"/>
            <w:tcBorders>
              <w:top w:val="single" w:sz="6" w:color="D8DEE8"/>
              <w:left w:val="single" w:sz="6" w:color="D8DEE8"/>
              <w:bottom w:val="single" w:sz="6" w:color="D8DEE8"/>
              <w:right w:val="single" w:sz="6" w:color="D8DEE8"/>
              <w:insideH w:val="single" w:sz="6" w:color="D8DEE8"/>
              <w:insideV w:val="single" w:sz="6" w:color="D8DEE8"/>
            </w:tcBorders>
            <w:shd w:fill="F2F4F7" w:val="clear"/>
          </w:tcPr>
          <w:p>
            <w:pPr>
              <w:pStyle w:val="TableText"/>
              <w:jc w:val="center"/>
            </w:pPr>
            <w:r/>
            <w:r>
              <w:rPr>
                <w:rFonts w:ascii="Calibri" w:hAnsi="Calibri" w:eastAsia="Microsoft YaHei"/>
                <w:b/>
                <w:color w:val="0B2545"/>
                <w:sz w:val="18"/>
              </w:rPr>
              <w:t>良性工具 TCR</w:t>
            </w:r>
          </w:p>
        </w:tc>
        <w:tc>
          <w:tcPr>
            <w:tcW w:type="dxa" w:w="2410"/>
            <w:vAlign w:val="center"/>
            <w:tcBorders>
              <w:top w:val="single" w:sz="6" w:color="D8DEE8"/>
              <w:left w:val="single" w:sz="6" w:color="D8DEE8"/>
              <w:bottom w:val="single" w:sz="6" w:color="D8DEE8"/>
              <w:right w:val="single" w:sz="6" w:color="D8DEE8"/>
              <w:insideH w:val="single" w:sz="6" w:color="D8DEE8"/>
              <w:insideV w:val="single" w:sz="6" w:color="D8DEE8"/>
            </w:tcBorders>
            <w:shd w:fill="F2F4F7" w:val="clear"/>
          </w:tcPr>
          <w:p>
            <w:pPr>
              <w:pStyle w:val="TableText"/>
              <w:jc w:val="center"/>
            </w:pPr>
            <w:r/>
            <w:r>
              <w:rPr>
                <w:rFonts w:ascii="Calibri" w:hAnsi="Calibri" w:eastAsia="Microsoft YaHei"/>
                <w:b/>
                <w:color w:val="0B2545"/>
                <w:sz w:val="18"/>
              </w:rPr>
              <w:t>无工具 TCR</w:t>
            </w:r>
          </w:p>
        </w:tc>
      </w:tr>
      <w:tr>
        <w:trPr>
          <w:cantSplit/>
        </w:trPr>
        <w:tc>
          <w:tcPr>
            <w:tcW w:type="dxa" w:w="255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无防御</w:t>
            </w:r>
          </w:p>
        </w:tc>
        <w:tc>
          <w:tcPr>
            <w:tcW w:type="dxa" w:w="22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8/36 (22.2%)</w:t>
            </w:r>
          </w:p>
        </w:tc>
        <w:tc>
          <w:tcPr>
            <w:tcW w:type="dxa" w:w="22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12/24 (50.0%)</w:t>
            </w:r>
          </w:p>
        </w:tc>
        <w:tc>
          <w:tcPr>
            <w:tcW w:type="dxa" w:w="241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12/12 (100.0%)</w:t>
            </w:r>
          </w:p>
        </w:tc>
      </w:tr>
      <w:tr>
        <w:trPr>
          <w:cantSplit/>
        </w:trPr>
        <w:tc>
          <w:tcPr>
            <w:tcW w:type="dxa" w:w="255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安全提示</w:t>
            </w:r>
          </w:p>
        </w:tc>
        <w:tc>
          <w:tcPr>
            <w:tcW w:type="dxa" w:w="22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8/36 (22.2%)</w:t>
            </w:r>
          </w:p>
        </w:tc>
        <w:tc>
          <w:tcPr>
            <w:tcW w:type="dxa" w:w="22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11/24 (45.8%)</w:t>
            </w:r>
          </w:p>
        </w:tc>
        <w:tc>
          <w:tcPr>
            <w:tcW w:type="dxa" w:w="241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12/12 (100.0%)</w:t>
            </w:r>
          </w:p>
        </w:tc>
      </w:tr>
      <w:tr>
        <w:trPr>
          <w:cantSplit/>
        </w:trPr>
        <w:tc>
          <w:tcPr>
            <w:tcW w:type="dxa" w:w="255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PromptGuard</w:t>
            </w:r>
          </w:p>
        </w:tc>
        <w:tc>
          <w:tcPr>
            <w:tcW w:type="dxa" w:w="22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8/36 (22.2%)</w:t>
            </w:r>
          </w:p>
        </w:tc>
        <w:tc>
          <w:tcPr>
            <w:tcW w:type="dxa" w:w="22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12/24 (50.0%)</w:t>
            </w:r>
          </w:p>
        </w:tc>
        <w:tc>
          <w:tcPr>
            <w:tcW w:type="dxa" w:w="241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12/12 (100.0%)</w:t>
            </w:r>
          </w:p>
        </w:tc>
      </w:tr>
      <w:tr>
        <w:trPr>
          <w:cantSplit/>
        </w:trPr>
        <w:tc>
          <w:tcPr>
            <w:tcW w:type="dxa" w:w="255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结构化基线</w:t>
            </w:r>
          </w:p>
        </w:tc>
        <w:tc>
          <w:tcPr>
            <w:tcW w:type="dxa" w:w="22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8/36 (22.2%)</w:t>
            </w:r>
          </w:p>
        </w:tc>
        <w:tc>
          <w:tcPr>
            <w:tcW w:type="dxa" w:w="22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12/24 (50.0%)</w:t>
            </w:r>
          </w:p>
        </w:tc>
        <w:tc>
          <w:tcPr>
            <w:tcW w:type="dxa" w:w="241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12/12 (100.0%)</w:t>
            </w:r>
          </w:p>
        </w:tc>
      </w:tr>
      <w:tr>
        <w:trPr>
          <w:cantSplit/>
        </w:trPr>
        <w:tc>
          <w:tcPr>
            <w:tcW w:type="dxa" w:w="255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M3 policy-only</w:t>
            </w:r>
          </w:p>
        </w:tc>
        <w:tc>
          <w:tcPr>
            <w:tcW w:type="dxa" w:w="22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0/36 (0.0%)</w:t>
            </w:r>
          </w:p>
        </w:tc>
        <w:tc>
          <w:tcPr>
            <w:tcW w:type="dxa" w:w="22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7/24 (29.2%)</w:t>
            </w:r>
          </w:p>
        </w:tc>
        <w:tc>
          <w:tcPr>
            <w:tcW w:type="dxa" w:w="241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12/12 (100.0%)</w:t>
            </w:r>
          </w:p>
        </w:tc>
      </w:tr>
      <w:tr>
        <w:trPr>
          <w:cantSplit/>
        </w:trPr>
        <w:tc>
          <w:tcPr>
            <w:tcW w:type="dxa" w:w="255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M3 full</w:t>
            </w:r>
          </w:p>
        </w:tc>
        <w:tc>
          <w:tcPr>
            <w:tcW w:type="dxa" w:w="22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0/36 (0.0%)</w:t>
            </w:r>
          </w:p>
        </w:tc>
        <w:tc>
          <w:tcPr>
            <w:tcW w:type="dxa" w:w="22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6/24 (25.0%)</w:t>
            </w:r>
          </w:p>
        </w:tc>
        <w:tc>
          <w:tcPr>
            <w:tcW w:type="dxa" w:w="241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12/12 (100.0%)</w:t>
            </w:r>
          </w:p>
        </w:tc>
      </w:tr>
    </w:tbl>
    <w:p>
      <w:pPr>
        <w:spacing w:after="20"/>
      </w:pPr>
    </w:p>
    <w:p>
      <w:pPr>
        <w:pStyle w:val="ReportSource"/>
      </w:pPr>
      <w:r>
        <w:rPr>
          <w:rFonts w:ascii="Calibri" w:hAnsi="Calibri" w:eastAsia="Microsoft YaHei"/>
          <w:color w:val="596579"/>
          <w:sz w:val="17"/>
        </w:rPr>
        <w:t>证据来源：72 个案例；每个条件攻击 n=36、良性工具 n=24、无工具 n=12。上述是已准入中型结果，不代表公共矩阵或第二模型。</w:t>
      </w:r>
    </w:p>
    <w:p>
      <w:pPr>
        <w:pStyle w:val="Heading1"/>
      </w:pPr>
      <w:r>
        <w:t>4. 为什么机制论文路线被预注册门禁否决</w:t>
      </w:r>
    </w:p>
    <w:tbl>
      <w:tblPr>
        <w:tblW w:type="dxa" w:w="9360"/>
        <w:tblLayout w:type="fixed"/>
        <w:tblLook w:firstColumn="1" w:firstRow="1" w:lastColumn="0" w:lastRow="0" w:noHBand="0" w:noVBand="1" w:val="04A0"/>
        <w:jc w:val="left"/>
        <w:tblInd w:type="dxa" w:w="120"/>
        <w:tblCellMar>
          <w:top w:w="100" w:type="dxa"/>
          <w:bottom w:w="100" w:type="dxa"/>
          <w:start w:w="120" w:type="dxa"/>
          <w:end w:w="120" w:type="dxa"/>
        </w:tblCellMar>
      </w:tblPr>
      <w:tblGrid>
        <w:gridCol w:w="2200"/>
        <w:gridCol w:w="3000"/>
        <w:gridCol w:w="2800"/>
        <w:gridCol w:w="1360"/>
      </w:tblGrid>
      <w:tr>
        <w:trPr>
          <w:tblHeader w:val="true"/>
          <w:cantSplit/>
        </w:trPr>
        <w:tc>
          <w:tcPr>
            <w:tcW w:type="dxa" w:w="2200"/>
            <w:vAlign w:val="center"/>
            <w:tcBorders>
              <w:top w:val="single" w:sz="6" w:color="D8DEE8"/>
              <w:left w:val="single" w:sz="6" w:color="D8DEE8"/>
              <w:bottom w:val="single" w:sz="6" w:color="D8DEE8"/>
              <w:right w:val="single" w:sz="6" w:color="D8DEE8"/>
              <w:insideH w:val="single" w:sz="6" w:color="D8DEE8"/>
              <w:insideV w:val="single" w:sz="6" w:color="D8DEE8"/>
            </w:tcBorders>
            <w:shd w:fill="F2F4F7" w:val="clear"/>
          </w:tcPr>
          <w:p>
            <w:pPr>
              <w:pStyle w:val="TableText"/>
              <w:jc w:val="center"/>
            </w:pPr>
            <w:r/>
            <w:r>
              <w:rPr>
                <w:rFonts w:ascii="Calibri" w:hAnsi="Calibri" w:eastAsia="Microsoft YaHei"/>
                <w:b/>
                <w:color w:val="0B2545"/>
                <w:sz w:val="18"/>
              </w:rPr>
              <w:t>门禁</w:t>
            </w:r>
          </w:p>
        </w:tc>
        <w:tc>
          <w:tcPr>
            <w:tcW w:type="dxa" w:w="3000"/>
            <w:vAlign w:val="center"/>
            <w:tcBorders>
              <w:top w:val="single" w:sz="6" w:color="D8DEE8"/>
              <w:left w:val="single" w:sz="6" w:color="D8DEE8"/>
              <w:bottom w:val="single" w:sz="6" w:color="D8DEE8"/>
              <w:right w:val="single" w:sz="6" w:color="D8DEE8"/>
              <w:insideH w:val="single" w:sz="6" w:color="D8DEE8"/>
              <w:insideV w:val="single" w:sz="6" w:color="D8DEE8"/>
            </w:tcBorders>
            <w:shd w:fill="F2F4F7" w:val="clear"/>
          </w:tcPr>
          <w:p>
            <w:pPr>
              <w:pStyle w:val="TableText"/>
              <w:jc w:val="center"/>
            </w:pPr>
            <w:r/>
            <w:r>
              <w:rPr>
                <w:rFonts w:ascii="Calibri" w:hAnsi="Calibri" w:eastAsia="Microsoft YaHei"/>
                <w:b/>
                <w:color w:val="0B2545"/>
                <w:sz w:val="18"/>
              </w:rPr>
              <w:t>观测</w:t>
            </w:r>
          </w:p>
        </w:tc>
        <w:tc>
          <w:tcPr>
            <w:tcW w:type="dxa" w:w="2800"/>
            <w:vAlign w:val="center"/>
            <w:tcBorders>
              <w:top w:val="single" w:sz="6" w:color="D8DEE8"/>
              <w:left w:val="single" w:sz="6" w:color="D8DEE8"/>
              <w:bottom w:val="single" w:sz="6" w:color="D8DEE8"/>
              <w:right w:val="single" w:sz="6" w:color="D8DEE8"/>
              <w:insideH w:val="single" w:sz="6" w:color="D8DEE8"/>
              <w:insideV w:val="single" w:sz="6" w:color="D8DEE8"/>
            </w:tcBorders>
            <w:shd w:fill="F2F4F7" w:val="clear"/>
          </w:tcPr>
          <w:p>
            <w:pPr>
              <w:pStyle w:val="TableText"/>
              <w:jc w:val="center"/>
            </w:pPr>
            <w:r/>
            <w:r>
              <w:rPr>
                <w:rFonts w:ascii="Calibri" w:hAnsi="Calibri" w:eastAsia="Microsoft YaHei"/>
                <w:b/>
                <w:color w:val="0B2545"/>
                <w:sz w:val="18"/>
              </w:rPr>
              <w:t>预注册要求</w:t>
            </w:r>
          </w:p>
        </w:tc>
        <w:tc>
          <w:tcPr>
            <w:tcW w:type="dxa" w:w="1360"/>
            <w:vAlign w:val="center"/>
            <w:tcBorders>
              <w:top w:val="single" w:sz="6" w:color="D8DEE8"/>
              <w:left w:val="single" w:sz="6" w:color="D8DEE8"/>
              <w:bottom w:val="single" w:sz="6" w:color="D8DEE8"/>
              <w:right w:val="single" w:sz="6" w:color="D8DEE8"/>
              <w:insideH w:val="single" w:sz="6" w:color="D8DEE8"/>
              <w:insideV w:val="single" w:sz="6" w:color="D8DEE8"/>
            </w:tcBorders>
            <w:shd w:fill="F2F4F7" w:val="clear"/>
          </w:tcPr>
          <w:p>
            <w:pPr>
              <w:pStyle w:val="TableText"/>
              <w:jc w:val="center"/>
            </w:pPr>
            <w:r/>
            <w:r>
              <w:rPr>
                <w:rFonts w:ascii="Calibri" w:hAnsi="Calibri" w:eastAsia="Microsoft YaHei"/>
                <w:b/>
                <w:color w:val="0B2545"/>
                <w:sz w:val="18"/>
              </w:rPr>
              <w:t>结论</w:t>
            </w:r>
          </w:p>
        </w:tc>
      </w:tr>
      <w:tr>
        <w:trPr>
          <w:cantSplit/>
        </w:trPr>
        <w:tc>
          <w:tcPr>
            <w:tcW w:type="dxa" w:w="22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安全：full vs 结构化基线</w:t>
            </w:r>
          </w:p>
        </w:tc>
        <w:tc>
          <w:tcPr>
            <w:tcW w:type="dxa" w:w="30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0/36 vs 8/36，绝对差 −22.2pp</w:t>
            </w:r>
          </w:p>
        </w:tc>
        <w:tc>
          <w:tcPr>
            <w:tcW w:type="dxa" w:w="28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至少相对下降 20% 或绝对下降 10pp</w:t>
            </w:r>
          </w:p>
        </w:tc>
        <w:tc>
          <w:tcPr>
            <w:tcW w:type="dxa" w:w="136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center"/>
            </w:pPr>
            <w:r/>
            <w:r>
              <w:rPr>
                <w:rFonts w:ascii="Calibri" w:hAnsi="Calibri" w:eastAsia="Microsoft YaHei"/>
                <w:b/>
                <w:color w:val="1F6B4F"/>
                <w:sz w:val="18"/>
              </w:rPr>
              <w:t>通过</w:t>
            </w:r>
          </w:p>
        </w:tc>
      </w:tr>
      <w:tr>
        <w:trPr>
          <w:cantSplit/>
        </w:trPr>
        <w:tc>
          <w:tcPr>
            <w:tcW w:type="dxa" w:w="22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效用：full vs 结构化基线</w:t>
            </w:r>
          </w:p>
        </w:tc>
        <w:tc>
          <w:tcPr>
            <w:tcW w:type="dxa" w:w="30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6/24 vs 12/24，绝对差 −25pp</w:t>
            </w:r>
          </w:p>
        </w:tc>
        <w:tc>
          <w:tcPr>
            <w:tcW w:type="dxa" w:w="28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TCR 下降不超过 5pp</w:t>
            </w:r>
          </w:p>
        </w:tc>
        <w:tc>
          <w:tcPr>
            <w:tcW w:type="dxa" w:w="136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center"/>
            </w:pPr>
            <w:r/>
            <w:r>
              <w:rPr>
                <w:rFonts w:ascii="Calibri" w:hAnsi="Calibri" w:eastAsia="Microsoft YaHei"/>
                <w:b/>
                <w:color w:val="9B1C1C"/>
                <w:sz w:val="18"/>
              </w:rPr>
              <w:t>失败</w:t>
            </w:r>
          </w:p>
        </w:tc>
      </w:tr>
      <w:tr>
        <w:trPr>
          <w:cantSplit/>
        </w:trPr>
        <w:tc>
          <w:tcPr>
            <w:tcW w:type="dxa" w:w="22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模块增益：full vs policy-only</w:t>
            </w:r>
          </w:p>
        </w:tc>
        <w:tc>
          <w:tcPr>
            <w:tcW w:type="dxa" w:w="30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0/36 vs 0/36</w:t>
            </w:r>
          </w:p>
        </w:tc>
        <w:tc>
          <w:tcPr>
            <w:tcW w:type="dxa" w:w="28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full 必须有严格正向安全增益</w:t>
            </w:r>
          </w:p>
        </w:tc>
        <w:tc>
          <w:tcPr>
            <w:tcW w:type="dxa" w:w="136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center"/>
            </w:pPr>
            <w:r/>
            <w:r>
              <w:rPr>
                <w:rFonts w:ascii="Calibri" w:hAnsi="Calibri" w:eastAsia="Microsoft YaHei"/>
                <w:b/>
                <w:color w:val="9B1C1C"/>
                <w:sz w:val="18"/>
              </w:rPr>
              <w:t>失败</w:t>
            </w:r>
          </w:p>
        </w:tc>
      </w:tr>
      <w:tr>
        <w:trPr>
          <w:cantSplit/>
        </w:trPr>
        <w:tc>
          <w:tcPr>
            <w:tcW w:type="dxa" w:w="22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运行质量</w:t>
            </w:r>
          </w:p>
        </w:tc>
        <w:tc>
          <w:tcPr>
            <w:tcW w:type="dxa" w:w="30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432 条正式分析中 21 个运行失败状态留在 ITT</w:t>
            </w:r>
          </w:p>
        </w:tc>
        <w:tc>
          <w:tcPr>
            <w:tcW w:type="dxa" w:w="28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总体≤10%，provider/timeout≤5%，runner=0</w:t>
            </w:r>
          </w:p>
        </w:tc>
        <w:tc>
          <w:tcPr>
            <w:tcW w:type="dxa" w:w="136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center"/>
            </w:pPr>
            <w:r/>
            <w:r>
              <w:rPr>
                <w:rFonts w:ascii="Calibri" w:hAnsi="Calibri" w:eastAsia="Microsoft YaHei"/>
                <w:b/>
                <w:color w:val="1F6B4F"/>
                <w:sz w:val="18"/>
              </w:rPr>
              <w:t>通过</w:t>
            </w:r>
          </w:p>
        </w:tc>
      </w:tr>
    </w:tbl>
    <w:p>
      <w:pPr>
        <w:spacing w:after="20"/>
      </w:pPr>
    </w:p>
    <w:p>
      <w:r>
        <w:rPr>
          <w:rFonts w:ascii="Calibri" w:hAnsi="Calibri" w:eastAsia="Microsoft YaHei"/>
        </w:rPr>
        <w:t>最重要的科研价值并不是“证明防御成功”，而是展示：如果只看攻击阻断率，M3-full 显得非常强；一旦把良性工具任务、policy-only 消融、失败分母和授权 regime 同时纳入，机制领先叙事就不成立。这个负面结果能够支撑更可信的评估方法论文。</w:t>
      </w:r>
    </w:p>
    <w:p>
      <w:pPr>
        <w:pStyle w:val="ReportSource"/>
      </w:pPr>
      <w:r>
        <w:rPr>
          <w:rFonts w:ascii="Calibri" w:hAnsi="Calibri" w:eastAsia="Microsoft YaHei"/>
          <w:color w:val="596579"/>
          <w:sz w:val="17"/>
        </w:rPr>
        <w:t>证据来源：安全差值、McNemar、10,000 次 clustered bootstrap 与 Holm 校正均由admitted_medium_analysis_v8.json 生成并可独立重建。</w:t>
      </w:r>
    </w:p>
    <w:p>
      <w:pPr>
        <w:pStyle w:val="Heading1"/>
      </w:pPr>
      <w:r>
        <w:t>5. 证据链与运行时安全边界</w:t>
      </w:r>
    </w:p>
    <w:tbl>
      <w:tblPr>
        <w:tblW w:type="dxa" w:w="9360"/>
        <w:tblLayout w:type="fixed"/>
        <w:tblLook w:firstColumn="1" w:firstRow="1" w:lastColumn="0" w:lastRow="0" w:noHBand="0" w:noVBand="1" w:val="04A0"/>
        <w:jc w:val="left"/>
        <w:tblInd w:type="dxa" w:w="120"/>
        <w:tblCellMar>
          <w:top w:w="100" w:type="dxa"/>
          <w:bottom w:w="100" w:type="dxa"/>
          <w:start w:w="120" w:type="dxa"/>
          <w:end w:w="120" w:type="dxa"/>
        </w:tblCellMar>
      </w:tblPr>
      <w:tblGrid>
        <w:gridCol w:w="1500"/>
        <w:gridCol w:w="3350"/>
        <w:gridCol w:w="2300"/>
        <w:gridCol w:w="2210"/>
      </w:tblGrid>
      <w:tr>
        <w:trPr>
          <w:tblHeader w:val="true"/>
          <w:cantSplit/>
        </w:trPr>
        <w:tc>
          <w:tcPr>
            <w:tcW w:type="dxa" w:w="1500"/>
            <w:vAlign w:val="center"/>
            <w:tcBorders>
              <w:top w:val="single" w:sz="6" w:color="D8DEE8"/>
              <w:left w:val="single" w:sz="6" w:color="D8DEE8"/>
              <w:bottom w:val="single" w:sz="6" w:color="D8DEE8"/>
              <w:right w:val="single" w:sz="6" w:color="D8DEE8"/>
              <w:insideH w:val="single" w:sz="6" w:color="D8DEE8"/>
              <w:insideV w:val="single" w:sz="6" w:color="D8DEE8"/>
            </w:tcBorders>
            <w:shd w:fill="F2F4F7" w:val="clear"/>
          </w:tcPr>
          <w:p>
            <w:pPr>
              <w:pStyle w:val="TableText"/>
              <w:jc w:val="center"/>
            </w:pPr>
            <w:r/>
            <w:r>
              <w:rPr>
                <w:rFonts w:ascii="Calibri" w:hAnsi="Calibri" w:eastAsia="Microsoft YaHei"/>
                <w:b/>
                <w:color w:val="0B2545"/>
                <w:sz w:val="18"/>
              </w:rPr>
              <w:t>层</w:t>
            </w:r>
          </w:p>
        </w:tc>
        <w:tc>
          <w:tcPr>
            <w:tcW w:type="dxa" w:w="3350"/>
            <w:vAlign w:val="center"/>
            <w:tcBorders>
              <w:top w:val="single" w:sz="6" w:color="D8DEE8"/>
              <w:left w:val="single" w:sz="6" w:color="D8DEE8"/>
              <w:bottom w:val="single" w:sz="6" w:color="D8DEE8"/>
              <w:right w:val="single" w:sz="6" w:color="D8DEE8"/>
              <w:insideH w:val="single" w:sz="6" w:color="D8DEE8"/>
              <w:insideV w:val="single" w:sz="6" w:color="D8DEE8"/>
            </w:tcBorders>
            <w:shd w:fill="F2F4F7" w:val="clear"/>
          </w:tcPr>
          <w:p>
            <w:pPr>
              <w:pStyle w:val="TableText"/>
              <w:jc w:val="center"/>
            </w:pPr>
            <w:r/>
            <w:r>
              <w:rPr>
                <w:rFonts w:ascii="Calibri" w:hAnsi="Calibri" w:eastAsia="Microsoft YaHei"/>
                <w:b/>
                <w:color w:val="0B2545"/>
                <w:sz w:val="18"/>
              </w:rPr>
              <w:t>冻结/记录内容</w:t>
            </w:r>
          </w:p>
        </w:tc>
        <w:tc>
          <w:tcPr>
            <w:tcW w:type="dxa" w:w="2300"/>
            <w:vAlign w:val="center"/>
            <w:tcBorders>
              <w:top w:val="single" w:sz="6" w:color="D8DEE8"/>
              <w:left w:val="single" w:sz="6" w:color="D8DEE8"/>
              <w:bottom w:val="single" w:sz="6" w:color="D8DEE8"/>
              <w:right w:val="single" w:sz="6" w:color="D8DEE8"/>
              <w:insideH w:val="single" w:sz="6" w:color="D8DEE8"/>
              <w:insideV w:val="single" w:sz="6" w:color="D8DEE8"/>
            </w:tcBorders>
            <w:shd w:fill="F2F4F7" w:val="clear"/>
          </w:tcPr>
          <w:p>
            <w:pPr>
              <w:pStyle w:val="TableText"/>
              <w:jc w:val="center"/>
            </w:pPr>
            <w:r/>
            <w:r>
              <w:rPr>
                <w:rFonts w:ascii="Calibri" w:hAnsi="Calibri" w:eastAsia="Microsoft YaHei"/>
                <w:b/>
                <w:color w:val="0B2545"/>
                <w:sz w:val="18"/>
              </w:rPr>
              <w:t>目的</w:t>
            </w:r>
          </w:p>
        </w:tc>
        <w:tc>
          <w:tcPr>
            <w:tcW w:type="dxa" w:w="2210"/>
            <w:vAlign w:val="center"/>
            <w:tcBorders>
              <w:top w:val="single" w:sz="6" w:color="D8DEE8"/>
              <w:left w:val="single" w:sz="6" w:color="D8DEE8"/>
              <w:bottom w:val="single" w:sz="6" w:color="D8DEE8"/>
              <w:right w:val="single" w:sz="6" w:color="D8DEE8"/>
              <w:insideH w:val="single" w:sz="6" w:color="D8DEE8"/>
              <w:insideV w:val="single" w:sz="6" w:color="D8DEE8"/>
            </w:tcBorders>
            <w:shd w:fill="F2F4F7" w:val="clear"/>
          </w:tcPr>
          <w:p>
            <w:pPr>
              <w:pStyle w:val="TableText"/>
              <w:jc w:val="center"/>
            </w:pPr>
            <w:r/>
            <w:r>
              <w:rPr>
                <w:rFonts w:ascii="Calibri" w:hAnsi="Calibri" w:eastAsia="Microsoft YaHei"/>
                <w:b/>
                <w:color w:val="0B2545"/>
                <w:sz w:val="18"/>
              </w:rPr>
              <w:t>失败策略</w:t>
            </w:r>
          </w:p>
        </w:tc>
      </w:tr>
      <w:tr>
        <w:trPr>
          <w:cantSplit/>
        </w:trPr>
        <w:tc>
          <w:tcPr>
            <w:tcW w:type="dxa" w:w="15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候选 manifest</w:t>
            </w:r>
          </w:p>
        </w:tc>
        <w:tc>
          <w:tcPr>
            <w:tcW w:type="dxa" w:w="335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模型、端点、案例序列、条件、身份、预算、输出根</w:t>
            </w:r>
          </w:p>
        </w:tc>
        <w:tc>
          <w:tcPr>
            <w:tcW w:type="dxa" w:w="23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防止看结果后改协议</w:t>
            </w:r>
          </w:p>
        </w:tc>
        <w:tc>
          <w:tcPr>
            <w:tcW w:type="dxa" w:w="221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哈希漂移即拒绝</w:t>
            </w:r>
          </w:p>
        </w:tc>
      </w:tr>
      <w:tr>
        <w:trPr>
          <w:cantSplit/>
        </w:trPr>
        <w:tc>
          <w:tcPr>
            <w:tcW w:type="dxa" w:w="15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本地 request chain</w:t>
            </w:r>
          </w:p>
        </w:tc>
        <w:tc>
          <w:tcPr>
            <w:tcW w:type="dxa" w:w="335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调用前本地 request ID + canonical payload hash</w:t>
            </w:r>
          </w:p>
        </w:tc>
        <w:tc>
          <w:tcPr>
            <w:tcW w:type="dxa" w:w="23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证明请求在发送前已固定</w:t>
            </w:r>
          </w:p>
        </w:tc>
        <w:tc>
          <w:tcPr>
            <w:tcW w:type="dxa" w:w="221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开放事件不补写</w:t>
            </w:r>
          </w:p>
        </w:tc>
      </w:tr>
      <w:tr>
        <w:trPr>
          <w:cantSplit/>
        </w:trPr>
        <w:tc>
          <w:tcPr>
            <w:tcW w:type="dxa" w:w="15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官方 receipt</w:t>
            </w:r>
          </w:p>
        </w:tc>
        <w:tc>
          <w:tcPr>
            <w:tcW w:type="dxa" w:w="335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official response ID + exact returned model + usage</w:t>
            </w:r>
          </w:p>
        </w:tc>
        <w:tc>
          <w:tcPr>
            <w:tcW w:type="dxa" w:w="23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绑定上游身份与费用</w:t>
            </w:r>
          </w:p>
        </w:tc>
        <w:tc>
          <w:tcPr>
            <w:tcW w:type="dxa" w:w="221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身份不符即停止</w:t>
            </w:r>
          </w:p>
        </w:tc>
      </w:tr>
      <w:tr>
        <w:trPr>
          <w:cantSplit/>
        </w:trPr>
        <w:tc>
          <w:tcPr>
            <w:tcW w:type="dxa" w:w="15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append-only ledgers</w:t>
            </w:r>
          </w:p>
        </w:tc>
        <w:tc>
          <w:tcPr>
            <w:tcW w:type="dxa" w:w="335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attempt / trace / budget / record 前向哈希链</w:t>
            </w:r>
          </w:p>
        </w:tc>
        <w:tc>
          <w:tcPr>
            <w:tcW w:type="dxa" w:w="23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可恢复、可审计、可交叉绑定</w:t>
            </w:r>
          </w:p>
        </w:tc>
        <w:tc>
          <w:tcPr>
            <w:tcW w:type="dxa" w:w="221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链断裂不准入</w:t>
            </w:r>
          </w:p>
        </w:tc>
      </w:tr>
      <w:tr>
        <w:trPr>
          <w:cantSplit/>
        </w:trPr>
        <w:tc>
          <w:tcPr>
            <w:tcW w:type="dxa" w:w="15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result admission</w:t>
            </w:r>
          </w:p>
        </w:tc>
        <w:tc>
          <w:tcPr>
            <w:tcW w:type="dxa" w:w="335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技术审查与科学分析分离</w:t>
            </w:r>
          </w:p>
        </w:tc>
        <w:tc>
          <w:tcPr>
            <w:tcW w:type="dxa" w:w="23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避免工程状态泄漏 scientific outcome</w:t>
            </w:r>
          </w:p>
        </w:tc>
        <w:tc>
          <w:tcPr>
            <w:tcW w:type="dxa" w:w="221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未准入不聚合</w:t>
            </w:r>
          </w:p>
        </w:tc>
      </w:tr>
    </w:tbl>
    <w:p>
      <w:pPr>
        <w:spacing w:after="20"/>
      </w:pPr>
    </w:p>
    <w:p>
      <w:pPr>
        <w:pStyle w:val="ListBullet"/>
      </w:pPr>
      <w:r>
        <w:rPr>
          <w:rFonts w:ascii="Calibri" w:hAnsi="Calibri" w:eastAsia="Microsoft YaHei"/>
        </w:rPr>
        <w:t>在线 Guard 不得看到 evaluator/gold 字段；可见字段集合通过 digest 证明。</w:t>
      </w:r>
    </w:p>
    <w:p>
      <w:pPr>
        <w:pStyle w:val="ListBullet"/>
      </w:pPr>
      <w:r>
        <w:rPr>
          <w:rFonts w:ascii="Calibri" w:hAnsi="Calibri" w:eastAsia="Microsoft YaHei"/>
        </w:rPr>
        <w:t>自动路径只能收缩权限；权限扩张必须经独立确认或 ASK。</w:t>
      </w:r>
    </w:p>
    <w:p>
      <w:pPr>
        <w:pStyle w:val="ListBullet"/>
      </w:pPr>
      <w:r>
        <w:rPr>
          <w:rFonts w:ascii="Calibri" w:hAnsi="Calibri" w:eastAsia="Microsoft YaHei"/>
        </w:rPr>
        <w:t>所有模型工具和外部连接器关闭；effect 只在 sandbox/in-memory backend 中计算。</w:t>
      </w:r>
    </w:p>
    <w:p>
      <w:pPr>
        <w:pStyle w:val="ListBullet"/>
      </w:pPr>
      <w:r>
        <w:rPr>
          <w:rFonts w:ascii="Calibri" w:hAnsi="Calibri" w:eastAsia="Microsoft YaHei"/>
        </w:rPr>
        <w:t>自动重试为 0；HTTP 429、身份漂移、开放 query/attempt 均触发暂停或封存。</w:t>
      </w:r>
    </w:p>
    <w:p>
      <w:pPr>
        <w:pStyle w:val="ListBullet"/>
      </w:pPr>
      <w:r>
        <w:rPr>
          <w:rFonts w:ascii="Calibri" w:hAnsi="Calibri" w:eastAsia="Microsoft YaHei"/>
        </w:rPr>
        <w:t>危险操作不会交给 DeepSeek 或 Gemini 执行；两家 API 只处理无真实外部效果的研究负载。</w:t>
      </w:r>
    </w:p>
    <w:p>
      <w:pPr>
        <w:pStyle w:val="Heading1"/>
      </w:pPr>
      <w:r>
        <w:t>6. Public-v1 到 Public-v4：失败链与修复</w:t>
      </w:r>
    </w:p>
    <w:p>
      <w:pPr>
        <w:pStyle w:val="Caption"/>
      </w:pPr>
      <w:r>
        <w:rPr>
          <w:rFonts w:ascii="Calibri" w:hAnsi="Calibri" w:eastAsia="Microsoft YaHei"/>
          <w:b/>
          <w:color w:val="1F4D78"/>
          <w:sz w:val="19"/>
        </w:rPr>
        <w:t>图 2  Public 技术金丝雀版本演进</w:t>
      </w:r>
    </w:p>
    <w:p>
      <w:pPr>
        <w:keepLines/>
        <w:spacing w:before="0" w:after="40"/>
        <w:jc w:val="center"/>
      </w:pPr>
      <w:r>
        <w:drawing>
          <wp:inline xmlns:a="http://schemas.openxmlformats.org/drawingml/2006/main" xmlns:pic="http://schemas.openxmlformats.org/drawingml/2006/picture">
            <wp:extent cx="5623560" cy="3280410"/>
            <wp:docPr id="2" name="Picture 2" title="图 2  Public 技术金丝雀版本演进" descr="v1 零调用；v2 和 v3 分别完成 12/24 条；v4 完成 24/24 条并通过技术门。"/>
            <wp:cNvGraphicFramePr>
              <a:graphicFrameLocks noChangeAspect="1"/>
            </wp:cNvGraphicFramePr>
            <a:graphic>
              <a:graphicData uri="http://schemas.openxmlformats.org/drawingml/2006/picture">
                <pic:pic>
                  <pic:nvPicPr>
                    <pic:cNvPr id="0" name="figure_4_public_canary_versions.png"/>
                    <pic:cNvPicPr/>
                  </pic:nvPicPr>
                  <pic:blipFill>
                    <a:blip r:embed="rId14"/>
                    <a:stretch>
                      <a:fillRect/>
                    </a:stretch>
                  </pic:blipFill>
                  <pic:spPr>
                    <a:xfrm>
                      <a:off x="0" y="0"/>
                      <a:ext cx="5623560" cy="3280410"/>
                    </a:xfrm>
                    <a:prstGeom prst="rect"/>
                  </pic:spPr>
                </pic:pic>
              </a:graphicData>
            </a:graphic>
          </wp:inline>
        </w:drawing>
      </w:r>
    </w:p>
    <w:p>
      <w:pPr>
        <w:pStyle w:val="ReportSource"/>
      </w:pPr>
      <w:r>
        <w:rPr>
          <w:rFonts w:ascii="Calibri" w:hAnsi="Calibri" w:eastAsia="Microsoft YaHei"/>
          <w:color w:val="596579"/>
          <w:sz w:val="17"/>
        </w:rPr>
        <w:t>来源：v1/v2/v3 abort review 与 v4 technical_canary_review；科学结果均未开放。</w:t>
      </w:r>
    </w:p>
    <w:tbl>
      <w:tblPr>
        <w:tblW w:type="dxa" w:w="9360"/>
        <w:tblLayout w:type="fixed"/>
        <w:tblLook w:firstColumn="1" w:firstRow="1" w:lastColumn="0" w:lastRow="0" w:noHBand="0" w:noVBand="1" w:val="04A0"/>
        <w:jc w:val="left"/>
        <w:tblInd w:type="dxa" w:w="120"/>
        <w:tblCellMar>
          <w:top w:w="100" w:type="dxa"/>
          <w:bottom w:w="100" w:type="dxa"/>
          <w:start w:w="120" w:type="dxa"/>
          <w:end w:w="120" w:type="dxa"/>
        </w:tblCellMar>
      </w:tblPr>
      <w:tblGrid>
        <w:gridCol w:w="1450"/>
        <w:gridCol w:w="2200"/>
        <w:gridCol w:w="3440"/>
        <w:gridCol w:w="2270"/>
      </w:tblGrid>
      <w:tr>
        <w:trPr>
          <w:tblHeader w:val="true"/>
          <w:cantSplit/>
        </w:trPr>
        <w:tc>
          <w:tcPr>
            <w:tcW w:type="dxa" w:w="1450"/>
            <w:vAlign w:val="center"/>
            <w:tcBorders>
              <w:top w:val="single" w:sz="6" w:color="D8DEE8"/>
              <w:left w:val="single" w:sz="6" w:color="D8DEE8"/>
              <w:bottom w:val="single" w:sz="6" w:color="D8DEE8"/>
              <w:right w:val="single" w:sz="6" w:color="D8DEE8"/>
              <w:insideH w:val="single" w:sz="6" w:color="D8DEE8"/>
              <w:insideV w:val="single" w:sz="6" w:color="D8DEE8"/>
            </w:tcBorders>
            <w:shd w:fill="F2F4F7" w:val="clear"/>
          </w:tcPr>
          <w:p>
            <w:pPr>
              <w:pStyle w:val="TableText"/>
              <w:jc w:val="center"/>
            </w:pPr>
            <w:r/>
            <w:r>
              <w:rPr>
                <w:rFonts w:ascii="Calibri" w:hAnsi="Calibri" w:eastAsia="Microsoft YaHei"/>
                <w:b/>
                <w:color w:val="0B2545"/>
                <w:sz w:val="18"/>
              </w:rPr>
              <w:t>版本</w:t>
            </w:r>
          </w:p>
        </w:tc>
        <w:tc>
          <w:tcPr>
            <w:tcW w:type="dxa" w:w="2200"/>
            <w:vAlign w:val="center"/>
            <w:tcBorders>
              <w:top w:val="single" w:sz="6" w:color="D8DEE8"/>
              <w:left w:val="single" w:sz="6" w:color="D8DEE8"/>
              <w:bottom w:val="single" w:sz="6" w:color="D8DEE8"/>
              <w:right w:val="single" w:sz="6" w:color="D8DEE8"/>
              <w:insideH w:val="single" w:sz="6" w:color="D8DEE8"/>
              <w:insideV w:val="single" w:sz="6" w:color="D8DEE8"/>
            </w:tcBorders>
            <w:shd w:fill="F2F4F7" w:val="clear"/>
          </w:tcPr>
          <w:p>
            <w:pPr>
              <w:pStyle w:val="TableText"/>
              <w:jc w:val="center"/>
            </w:pPr>
            <w:r/>
            <w:r>
              <w:rPr>
                <w:rFonts w:ascii="Calibri" w:hAnsi="Calibri" w:eastAsia="Microsoft YaHei"/>
                <w:b/>
                <w:color w:val="0B2545"/>
                <w:sz w:val="18"/>
              </w:rPr>
              <w:t>记录/调用/成本</w:t>
            </w:r>
          </w:p>
        </w:tc>
        <w:tc>
          <w:tcPr>
            <w:tcW w:type="dxa" w:w="3440"/>
            <w:vAlign w:val="center"/>
            <w:tcBorders>
              <w:top w:val="single" w:sz="6" w:color="D8DEE8"/>
              <w:left w:val="single" w:sz="6" w:color="D8DEE8"/>
              <w:bottom w:val="single" w:sz="6" w:color="D8DEE8"/>
              <w:right w:val="single" w:sz="6" w:color="D8DEE8"/>
              <w:insideH w:val="single" w:sz="6" w:color="D8DEE8"/>
              <w:insideV w:val="single" w:sz="6" w:color="D8DEE8"/>
            </w:tcBorders>
            <w:shd w:fill="F2F4F7" w:val="clear"/>
          </w:tcPr>
          <w:p>
            <w:pPr>
              <w:pStyle w:val="TableText"/>
              <w:jc w:val="center"/>
            </w:pPr>
            <w:r/>
            <w:r>
              <w:rPr>
                <w:rFonts w:ascii="Calibri" w:hAnsi="Calibri" w:eastAsia="Microsoft YaHei"/>
                <w:b/>
                <w:color w:val="0B2545"/>
                <w:sz w:val="18"/>
              </w:rPr>
              <w:t>停止点或修复</w:t>
            </w:r>
          </w:p>
        </w:tc>
        <w:tc>
          <w:tcPr>
            <w:tcW w:type="dxa" w:w="2270"/>
            <w:vAlign w:val="center"/>
            <w:tcBorders>
              <w:top w:val="single" w:sz="6" w:color="D8DEE8"/>
              <w:left w:val="single" w:sz="6" w:color="D8DEE8"/>
              <w:bottom w:val="single" w:sz="6" w:color="D8DEE8"/>
              <w:right w:val="single" w:sz="6" w:color="D8DEE8"/>
              <w:insideH w:val="single" w:sz="6" w:color="D8DEE8"/>
              <w:insideV w:val="single" w:sz="6" w:color="D8DEE8"/>
            </w:tcBorders>
            <w:shd w:fill="F2F4F7" w:val="clear"/>
          </w:tcPr>
          <w:p>
            <w:pPr>
              <w:pStyle w:val="TableText"/>
              <w:jc w:val="center"/>
            </w:pPr>
            <w:r/>
            <w:r>
              <w:rPr>
                <w:rFonts w:ascii="Calibri" w:hAnsi="Calibri" w:eastAsia="Microsoft YaHei"/>
                <w:b/>
                <w:color w:val="0B2545"/>
                <w:sz w:val="18"/>
              </w:rPr>
              <w:t>证据状态</w:t>
            </w:r>
          </w:p>
        </w:tc>
      </w:tr>
      <w:tr>
        <w:trPr>
          <w:cantSplit/>
        </w:trPr>
        <w:tc>
          <w:tcPr>
            <w:tcW w:type="dxa" w:w="145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Public-v1</w:t>
            </w:r>
          </w:p>
        </w:tc>
        <w:tc>
          <w:tcPr>
            <w:tcW w:type="dxa" w:w="22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0/24；0 provider calls；¥0</w:t>
            </w:r>
          </w:p>
        </w:tc>
        <w:tc>
          <w:tcPr>
            <w:tcW w:type="dxa" w:w="344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本地 PromptGuard 依赖 + public work key resolver 缺口</w:t>
            </w:r>
          </w:p>
        </w:tc>
        <w:tc>
          <w:tcPr>
            <w:tcW w:type="dxa" w:w="227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center"/>
            </w:pPr>
            <w:r/>
            <w:r>
              <w:rPr>
                <w:rFonts w:ascii="Calibri" w:hAnsi="Calibri" w:eastAsia="Microsoft YaHei"/>
                <w:b/>
                <w:color w:val="111827"/>
                <w:sz w:val="18"/>
              </w:rPr>
              <w:t>永久封存，不可恢复</w:t>
            </w:r>
          </w:p>
        </w:tc>
      </w:tr>
      <w:tr>
        <w:trPr>
          <w:cantSplit/>
        </w:trPr>
        <w:tc>
          <w:tcPr>
            <w:tcW w:type="dxa" w:w="145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Public-v2</w:t>
            </w:r>
          </w:p>
        </w:tc>
        <w:tc>
          <w:tcPr>
            <w:tcW w:type="dxa" w:w="22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12/24；29 calls；¥0.0259414</w:t>
            </w:r>
          </w:p>
        </w:tc>
        <w:tc>
          <w:tcPr>
            <w:tcW w:type="dxa" w:w="344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AgentDojo 修复；首个 M3 row 仍索引 medium plan</w:t>
            </w:r>
          </w:p>
        </w:tc>
        <w:tc>
          <w:tcPr>
            <w:tcW w:type="dxa" w:w="227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center"/>
            </w:pPr>
            <w:r/>
            <w:r>
              <w:rPr>
                <w:rFonts w:ascii="Calibri" w:hAnsi="Calibri" w:eastAsia="Microsoft YaHei"/>
                <w:b/>
                <w:color w:val="111827"/>
                <w:sz w:val="18"/>
              </w:rPr>
              <w:t>永久封存，不可恢复</w:t>
            </w:r>
          </w:p>
        </w:tc>
      </w:tr>
      <w:tr>
        <w:trPr>
          <w:cantSplit/>
        </w:trPr>
        <w:tc>
          <w:tcPr>
            <w:tcW w:type="dxa" w:w="145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Public-v3</w:t>
            </w:r>
          </w:p>
        </w:tc>
        <w:tc>
          <w:tcPr>
            <w:tcW w:type="dxa" w:w="22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12/24；33 calls；¥0.0263544</w:t>
            </w:r>
          </w:p>
        </w:tc>
        <w:tc>
          <w:tcPr>
            <w:tcW w:type="dxa" w:w="344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M3 key 可解析，但 binding 使用旧 execution identity</w:t>
            </w:r>
          </w:p>
        </w:tc>
        <w:tc>
          <w:tcPr>
            <w:tcW w:type="dxa" w:w="227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center"/>
            </w:pPr>
            <w:r/>
            <w:r>
              <w:rPr>
                <w:rFonts w:ascii="Calibri" w:hAnsi="Calibri" w:eastAsia="Microsoft YaHei"/>
                <w:b/>
                <w:color w:val="111827"/>
                <w:sz w:val="18"/>
              </w:rPr>
              <w:t>永久封存，不可恢复</w:t>
            </w:r>
          </w:p>
        </w:tc>
      </w:tr>
      <w:tr>
        <w:trPr>
          <w:cantSplit/>
        </w:trPr>
        <w:tc>
          <w:tcPr>
            <w:tcW w:type="dxa" w:w="145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Public-v4</w:t>
            </w:r>
          </w:p>
        </w:tc>
        <w:tc>
          <w:tcPr>
            <w:tcW w:type="dxa" w:w="22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24/24；64 calls；¥0.0521812</w:t>
            </w:r>
          </w:p>
        </w:tc>
        <w:tc>
          <w:tcPr>
            <w:tcW w:type="dxa" w:w="344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active identity 注入 + evaluator 闭环探针</w:t>
            </w:r>
          </w:p>
        </w:tc>
        <w:tc>
          <w:tcPr>
            <w:tcW w:type="dxa" w:w="227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center"/>
            </w:pPr>
            <w:r/>
            <w:r>
              <w:rPr>
                <w:rFonts w:ascii="Calibri" w:hAnsi="Calibri" w:eastAsia="Microsoft YaHei"/>
                <w:b/>
                <w:color w:val="1F6B4F"/>
                <w:sz w:val="18"/>
              </w:rPr>
              <w:t>技术门通过，科学未准入</w:t>
            </w:r>
          </w:p>
        </w:tc>
      </w:tr>
    </w:tbl>
    <w:p>
      <w:pPr>
        <w:spacing w:after="20"/>
      </w:pPr>
    </w:p>
    <w:p>
      <w:r>
        <w:rPr>
          <w:rFonts w:ascii="Calibri" w:hAnsi="Calibri" w:eastAsia="Microsoft YaHei"/>
        </w:rPr>
        <w:t>v1–v3 的失败没有被删除或“修复原记录”。每个版本保留新的身份、输出根、attempt/budget/trace/record 链及内容无关 abort review。这种看似保守的处理对论文非常重要：它证明失败未被结果清洗，也避免将同一工作项在不同运行中重复采样后挑选成功版本。</w:t>
      </w:r>
    </w:p>
    <w:p>
      <w:pPr>
        <w:pStyle w:val="ReportSource"/>
      </w:pPr>
      <w:r>
        <w:rPr>
          <w:rFonts w:ascii="Calibri" w:hAnsi="Calibri" w:eastAsia="Microsoft YaHei"/>
          <w:color w:val="596579"/>
          <w:sz w:val="17"/>
        </w:rPr>
        <w:t>证据来源：Public-v2 abort manifest=c3e17fe2f74bd807a348202c2ac632c9be6e4f6c2e426c4a8b7a3c5a70d4f1c5；Public-v3 abort manifest=8d5399717fcae84cc826d4bc661f283ea38df319a8a8f084b62a4f8f7bc5f3fa。</w:t>
      </w:r>
    </w:p>
    <w:p>
      <w:pPr>
        <w:pStyle w:val="Heading1"/>
      </w:pPr>
      <w:r>
        <w:t>7. Public-v4 技术金丝雀：已通过什么、尚未证明什么</w:t>
      </w:r>
    </w:p>
    <w:tbl>
      <w:tblPr>
        <w:tblW w:type="dxa" w:w="9360"/>
        <w:tblLayout w:type="fixed"/>
        <w:tblLook w:firstColumn="1" w:firstRow="1" w:lastColumn="0" w:lastRow="0" w:noHBand="0" w:noVBand="1" w:val="04A0"/>
        <w:jc w:val="left"/>
        <w:tblInd w:type="dxa" w:w="120"/>
        <w:tblCellMar>
          <w:top w:w="100" w:type="dxa"/>
          <w:bottom w:w="100" w:type="dxa"/>
          <w:start w:w="120" w:type="dxa"/>
          <w:end w:w="120" w:type="dxa"/>
        </w:tblCellMar>
      </w:tblPr>
      <w:tblGrid>
        <w:gridCol w:w="2050"/>
        <w:gridCol w:w="2400"/>
        <w:gridCol w:w="4910"/>
      </w:tblGrid>
      <w:tr>
        <w:trPr>
          <w:tblHeader w:val="true"/>
          <w:cantSplit/>
        </w:trPr>
        <w:tc>
          <w:tcPr>
            <w:tcW w:type="dxa" w:w="2050"/>
            <w:vAlign w:val="center"/>
            <w:tcBorders>
              <w:top w:val="single" w:sz="6" w:color="D8DEE8"/>
              <w:left w:val="single" w:sz="6" w:color="D8DEE8"/>
              <w:bottom w:val="single" w:sz="6" w:color="D8DEE8"/>
              <w:right w:val="single" w:sz="6" w:color="D8DEE8"/>
              <w:insideH w:val="single" w:sz="6" w:color="D8DEE8"/>
              <w:insideV w:val="single" w:sz="6" w:color="D8DEE8"/>
            </w:tcBorders>
            <w:shd w:fill="F2F4F7" w:val="clear"/>
          </w:tcPr>
          <w:p>
            <w:pPr>
              <w:pStyle w:val="TableText"/>
              <w:jc w:val="center"/>
            </w:pPr>
            <w:r/>
            <w:r>
              <w:rPr>
                <w:rFonts w:ascii="Calibri" w:hAnsi="Calibri" w:eastAsia="Microsoft YaHei"/>
                <w:b/>
                <w:color w:val="0B2545"/>
                <w:sz w:val="18"/>
              </w:rPr>
              <w:t>检查项</w:t>
            </w:r>
          </w:p>
        </w:tc>
        <w:tc>
          <w:tcPr>
            <w:tcW w:type="dxa" w:w="2400"/>
            <w:vAlign w:val="center"/>
            <w:tcBorders>
              <w:top w:val="single" w:sz="6" w:color="D8DEE8"/>
              <w:left w:val="single" w:sz="6" w:color="D8DEE8"/>
              <w:bottom w:val="single" w:sz="6" w:color="D8DEE8"/>
              <w:right w:val="single" w:sz="6" w:color="D8DEE8"/>
              <w:insideH w:val="single" w:sz="6" w:color="D8DEE8"/>
              <w:insideV w:val="single" w:sz="6" w:color="D8DEE8"/>
            </w:tcBorders>
            <w:shd w:fill="F2F4F7" w:val="clear"/>
          </w:tcPr>
          <w:p>
            <w:pPr>
              <w:pStyle w:val="TableText"/>
              <w:jc w:val="center"/>
            </w:pPr>
            <w:r/>
            <w:r>
              <w:rPr>
                <w:rFonts w:ascii="Calibri" w:hAnsi="Calibri" w:eastAsia="Microsoft YaHei"/>
                <w:b/>
                <w:color w:val="0B2545"/>
                <w:sz w:val="18"/>
              </w:rPr>
              <w:t>结果</w:t>
            </w:r>
          </w:p>
        </w:tc>
        <w:tc>
          <w:tcPr>
            <w:tcW w:type="dxa" w:w="4910"/>
            <w:vAlign w:val="center"/>
            <w:tcBorders>
              <w:top w:val="single" w:sz="6" w:color="D8DEE8"/>
              <w:left w:val="single" w:sz="6" w:color="D8DEE8"/>
              <w:bottom w:val="single" w:sz="6" w:color="D8DEE8"/>
              <w:right w:val="single" w:sz="6" w:color="D8DEE8"/>
              <w:insideH w:val="single" w:sz="6" w:color="D8DEE8"/>
              <w:insideV w:val="single" w:sz="6" w:color="D8DEE8"/>
            </w:tcBorders>
            <w:shd w:fill="F2F4F7" w:val="clear"/>
          </w:tcPr>
          <w:p>
            <w:pPr>
              <w:pStyle w:val="TableText"/>
              <w:jc w:val="center"/>
            </w:pPr>
            <w:r/>
            <w:r>
              <w:rPr>
                <w:rFonts w:ascii="Calibri" w:hAnsi="Calibri" w:eastAsia="Microsoft YaHei"/>
                <w:b/>
                <w:color w:val="0B2545"/>
                <w:sz w:val="18"/>
              </w:rPr>
              <w:t>解释</w:t>
            </w:r>
          </w:p>
        </w:tc>
      </w:tr>
      <w:tr>
        <w:trPr>
          <w:cantSplit/>
        </w:trPr>
        <w:tc>
          <w:tcPr>
            <w:tcW w:type="dxa" w:w="205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记录完整性</w:t>
            </w:r>
          </w:p>
        </w:tc>
        <w:tc>
          <w:tcPr>
            <w:tcW w:type="dxa" w:w="24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center"/>
            </w:pPr>
            <w:r/>
            <w:r>
              <w:rPr>
                <w:rFonts w:ascii="Calibri" w:hAnsi="Calibri" w:eastAsia="Microsoft YaHei"/>
                <w:b/>
                <w:color w:val="111827"/>
                <w:sz w:val="18"/>
              </w:rPr>
              <w:t>24/24，全部 terminal</w:t>
            </w:r>
          </w:p>
        </w:tc>
        <w:tc>
          <w:tcPr>
            <w:tcW w:type="dxa" w:w="491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expected count、attempt 和 record 对齐</w:t>
            </w:r>
          </w:p>
        </w:tc>
      </w:tr>
      <w:tr>
        <w:trPr>
          <w:cantSplit/>
        </w:trPr>
        <w:tc>
          <w:tcPr>
            <w:tcW w:type="dxa" w:w="205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官方调用</w:t>
            </w:r>
          </w:p>
        </w:tc>
        <w:tc>
          <w:tcPr>
            <w:tcW w:type="dxa" w:w="24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center"/>
            </w:pPr>
            <w:r/>
            <w:r>
              <w:rPr>
                <w:rFonts w:ascii="Calibri" w:hAnsi="Calibri" w:eastAsia="Microsoft YaHei"/>
                <w:b/>
                <w:color w:val="111827"/>
                <w:sz w:val="18"/>
              </w:rPr>
              <w:t>64/64 completed</w:t>
            </w:r>
          </w:p>
        </w:tc>
        <w:tc>
          <w:tcPr>
            <w:tcW w:type="dxa" w:w="491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有 exact model / response ID / usage 绑定</w:t>
            </w:r>
          </w:p>
        </w:tc>
      </w:tr>
      <w:tr>
        <w:trPr>
          <w:cantSplit/>
        </w:trPr>
        <w:tc>
          <w:tcPr>
            <w:tcW w:type="dxa" w:w="205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运行状态</w:t>
            </w:r>
          </w:p>
        </w:tc>
        <w:tc>
          <w:tcPr>
            <w:tcW w:type="dxa" w:w="24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center"/>
            </w:pPr>
            <w:r/>
            <w:r>
              <w:rPr>
                <w:rFonts w:ascii="Calibri" w:hAnsi="Calibri" w:eastAsia="Microsoft YaHei"/>
                <w:b/>
                <w:color w:val="111827"/>
                <w:sz w:val="18"/>
              </w:rPr>
              <w:t>全部 completed</w:t>
            </w:r>
          </w:p>
        </w:tc>
        <w:tc>
          <w:tcPr>
            <w:tcW w:type="dxa" w:w="491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0 diagnostic、0 operational failure</w:t>
            </w:r>
          </w:p>
        </w:tc>
      </w:tr>
      <w:tr>
        <w:trPr>
          <w:cantSplit/>
        </w:trPr>
        <w:tc>
          <w:tcPr>
            <w:tcW w:type="dxa" w:w="205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预算</w:t>
            </w:r>
          </w:p>
        </w:tc>
        <w:tc>
          <w:tcPr>
            <w:tcW w:type="dxa" w:w="24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center"/>
            </w:pPr>
            <w:r/>
            <w:r>
              <w:rPr>
                <w:rFonts w:ascii="Calibri" w:hAnsi="Calibri" w:eastAsia="Microsoft YaHei"/>
                <w:b/>
                <w:color w:val="7A5A00"/>
                <w:sz w:val="18"/>
              </w:rPr>
              <w:t>¥0.0521812；未暂停</w:t>
            </w:r>
          </w:p>
        </w:tc>
        <w:tc>
          <w:tcPr>
            <w:tcW w:type="dxa" w:w="491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42,896 prompt；4,131 completion</w:t>
            </w:r>
          </w:p>
        </w:tc>
      </w:tr>
      <w:tr>
        <w:trPr>
          <w:cantSplit/>
        </w:trPr>
        <w:tc>
          <w:tcPr>
            <w:tcW w:type="dxa" w:w="205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缓存</w:t>
            </w:r>
          </w:p>
        </w:tc>
        <w:tc>
          <w:tcPr>
            <w:tcW w:type="dxa" w:w="24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center"/>
            </w:pPr>
            <w:r/>
            <w:r>
              <w:rPr>
                <w:rFonts w:ascii="Calibri" w:hAnsi="Calibri" w:eastAsia="Microsoft YaHei"/>
                <w:b/>
                <w:color w:val="111827"/>
                <w:sz w:val="18"/>
              </w:rPr>
              <w:t>34,048 hit；8,848 miss</w:t>
            </w:r>
          </w:p>
        </w:tc>
        <w:tc>
          <w:tcPr>
            <w:tcW w:type="dxa" w:w="491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缓存命中/未命中进入 cost receipt</w:t>
            </w:r>
          </w:p>
        </w:tc>
      </w:tr>
      <w:tr>
        <w:trPr>
          <w:cantSplit/>
        </w:trPr>
        <w:tc>
          <w:tcPr>
            <w:tcW w:type="dxa" w:w="205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安全边界</w:t>
            </w:r>
          </w:p>
        </w:tc>
        <w:tc>
          <w:tcPr>
            <w:tcW w:type="dxa" w:w="24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center"/>
            </w:pPr>
            <w:r/>
            <w:r>
              <w:rPr>
                <w:rFonts w:ascii="Calibri" w:hAnsi="Calibri" w:eastAsia="Microsoft YaHei"/>
                <w:b/>
                <w:color w:val="111827"/>
                <w:sz w:val="18"/>
              </w:rPr>
              <w:t>全部 isolated</w:t>
            </w:r>
          </w:p>
        </w:tc>
        <w:tc>
          <w:tcPr>
            <w:tcW w:type="dxa" w:w="491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0 retry；无 provider tool 和真实 external effect</w:t>
            </w:r>
          </w:p>
        </w:tc>
      </w:tr>
      <w:tr>
        <w:trPr>
          <w:cantSplit/>
        </w:trPr>
        <w:tc>
          <w:tcPr>
            <w:tcW w:type="dxa" w:w="205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科学结果</w:t>
            </w:r>
          </w:p>
        </w:tc>
        <w:tc>
          <w:tcPr>
            <w:tcW w:type="dxa" w:w="24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center"/>
            </w:pPr>
            <w:r/>
            <w:r>
              <w:rPr>
                <w:rFonts w:ascii="Calibri" w:hAnsi="Calibri" w:eastAsia="Microsoft YaHei"/>
                <w:b/>
                <w:color w:val="7A5A00"/>
                <w:sz w:val="18"/>
              </w:rPr>
              <w:t>未访问</w:t>
            </w:r>
          </w:p>
        </w:tc>
        <w:tc>
          <w:tcPr>
            <w:tcW w:type="dxa" w:w="491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不比较条件，不聚合 unsafe-effect/TCR</w:t>
            </w:r>
          </w:p>
        </w:tc>
      </w:tr>
    </w:tbl>
    <w:p>
      <w:pPr>
        <w:spacing w:after="20"/>
      </w:pPr>
    </w:p>
    <w:p>
      <w:pPr>
        <w:keepLines/>
        <w:spacing w:before="100" w:after="160"/>
        <w:ind w:left="202" w:right="173"/>
        <w:shd w:fill="E8EEF5" w:val="clear"/>
        <w:pBdr>
          <w:left w:val="single" w:sz="24" w:space="8" w:color="2E74B5"/>
        </w:pBdr>
      </w:pPr>
      <w:r>
        <w:rPr>
          <w:rFonts w:ascii="Calibri" w:hAnsi="Calibri" w:eastAsia="Microsoft YaHei"/>
          <w:b/>
          <w:color w:val="2E74B5"/>
          <w:sz w:val="21"/>
        </w:rPr>
        <w:t xml:space="preserve">技术门结论  </w:t>
      </w:r>
      <w:r>
        <w:rPr>
          <w:rFonts w:ascii="Calibri" w:hAnsi="Calibri" w:eastAsia="Microsoft YaHei"/>
          <w:color w:val="111827"/>
          <w:sz w:val="21"/>
        </w:rPr>
        <w:t>matrix_continuation_eligible=true，意味着可继续执行同一冻结矩阵；不意味着 M3-full 有效，也不意味着 24 条记录可以进入主表。结果准入仍需在全矩阵终态后单独执行。</w:t>
      </w:r>
    </w:p>
    <w:p>
      <w:pPr>
        <w:pStyle w:val="Heading1"/>
      </w:pPr>
      <w:r>
        <w:t>8. 公共矩阵设计与外部有效性</w:t>
      </w:r>
    </w:p>
    <w:p>
      <w:pPr>
        <w:pStyle w:val="Caption"/>
      </w:pPr>
      <w:r>
        <w:rPr>
          <w:rFonts w:ascii="Calibri" w:hAnsi="Calibri" w:eastAsia="Microsoft YaHei"/>
          <w:b/>
          <w:color w:val="1F4D78"/>
          <w:sz w:val="19"/>
        </w:rPr>
        <w:t>图 3  6,873 条公共矩阵的 benchmark 与模型角色构成</w:t>
      </w:r>
    </w:p>
    <w:p>
      <w:pPr>
        <w:keepLines/>
        <w:spacing w:before="0" w:after="40"/>
        <w:jc w:val="center"/>
      </w:pPr>
      <w:r>
        <w:drawing>
          <wp:inline xmlns:a="http://schemas.openxmlformats.org/drawingml/2006/main" xmlns:pic="http://schemas.openxmlformats.org/drawingml/2006/picture">
            <wp:extent cx="5623560" cy="3280410"/>
            <wp:docPr id="3" name="Picture 3" title="图 3  6,873 条公共矩阵的 benchmark 与模型角色构成" descr="M3-v2 为 primary 2700、second 900；AgentDojo 为 primary 2382、second 891；总计 6873。"/>
            <wp:cNvGraphicFramePr>
              <a:graphicFrameLocks noChangeAspect="1"/>
            </wp:cNvGraphicFramePr>
            <a:graphic>
              <a:graphicData uri="http://schemas.openxmlformats.org/drawingml/2006/picture">
                <pic:pic>
                  <pic:nvPicPr>
                    <pic:cNvPr id="0" name="figure_3_public_matrix.png"/>
                    <pic:cNvPicPr/>
                  </pic:nvPicPr>
                  <pic:blipFill>
                    <a:blip r:embed="rId15"/>
                    <a:stretch>
                      <a:fillRect/>
                    </a:stretch>
                  </pic:blipFill>
                  <pic:spPr>
                    <a:xfrm>
                      <a:off x="0" y="0"/>
                      <a:ext cx="5623560" cy="3280410"/>
                    </a:xfrm>
                    <a:prstGeom prst="rect"/>
                  </pic:spPr>
                </pic:pic>
              </a:graphicData>
            </a:graphic>
          </wp:inline>
        </w:drawing>
      </w:r>
    </w:p>
    <w:p>
      <w:pPr>
        <w:pStyle w:val="ReportSource"/>
      </w:pPr>
      <w:r>
        <w:rPr>
          <w:rFonts w:ascii="Calibri" w:hAnsi="Calibri" w:eastAsia="Microsoft YaHei"/>
          <w:color w:val="596579"/>
          <w:sz w:val="17"/>
        </w:rPr>
        <w:t>来源：public_benchmark_freeze_v1.json 与 public execution plan。</w:t>
      </w:r>
    </w:p>
    <w:tbl>
      <w:tblPr>
        <w:tblW w:type="dxa" w:w="9360"/>
        <w:tblLayout w:type="fixed"/>
        <w:tblLook w:firstColumn="1" w:firstRow="1" w:lastColumn="0" w:lastRow="0" w:noHBand="0" w:noVBand="1" w:val="04A0"/>
        <w:jc w:val="left"/>
        <w:tblInd w:type="dxa" w:w="120"/>
        <w:tblCellMar>
          <w:top w:w="100" w:type="dxa"/>
          <w:bottom w:w="100" w:type="dxa"/>
          <w:start w:w="120" w:type="dxa"/>
          <w:end w:w="120" w:type="dxa"/>
        </w:tblCellMar>
      </w:tblPr>
      <w:tblGrid>
        <w:gridCol w:w="1600"/>
        <w:gridCol w:w="1600"/>
        <w:gridCol w:w="1600"/>
        <w:gridCol w:w="1200"/>
        <w:gridCol w:w="3360"/>
      </w:tblGrid>
      <w:tr>
        <w:trPr>
          <w:tblHeader w:val="true"/>
          <w:cantSplit/>
        </w:trPr>
        <w:tc>
          <w:tcPr>
            <w:tcW w:type="dxa" w:w="1600"/>
            <w:vAlign w:val="center"/>
            <w:tcBorders>
              <w:top w:val="single" w:sz="6" w:color="D8DEE8"/>
              <w:left w:val="single" w:sz="6" w:color="D8DEE8"/>
              <w:bottom w:val="single" w:sz="6" w:color="D8DEE8"/>
              <w:right w:val="single" w:sz="6" w:color="D8DEE8"/>
              <w:insideH w:val="single" w:sz="6" w:color="D8DEE8"/>
              <w:insideV w:val="single" w:sz="6" w:color="D8DEE8"/>
            </w:tcBorders>
            <w:shd w:fill="F2F4F7" w:val="clear"/>
          </w:tcPr>
          <w:p>
            <w:pPr>
              <w:pStyle w:val="TableText"/>
              <w:jc w:val="center"/>
            </w:pPr>
            <w:r/>
            <w:r>
              <w:rPr>
                <w:rFonts w:ascii="Calibri" w:hAnsi="Calibri" w:eastAsia="Microsoft YaHei"/>
                <w:b/>
                <w:color w:val="0B2545"/>
                <w:sz w:val="18"/>
              </w:rPr>
              <w:t>Benchmark</w:t>
            </w:r>
          </w:p>
        </w:tc>
        <w:tc>
          <w:tcPr>
            <w:tcW w:type="dxa" w:w="1600"/>
            <w:vAlign w:val="center"/>
            <w:tcBorders>
              <w:top w:val="single" w:sz="6" w:color="D8DEE8"/>
              <w:left w:val="single" w:sz="6" w:color="D8DEE8"/>
              <w:bottom w:val="single" w:sz="6" w:color="D8DEE8"/>
              <w:right w:val="single" w:sz="6" w:color="D8DEE8"/>
              <w:insideH w:val="single" w:sz="6" w:color="D8DEE8"/>
              <w:insideV w:val="single" w:sz="6" w:color="D8DEE8"/>
            </w:tcBorders>
            <w:shd w:fill="F2F4F7" w:val="clear"/>
          </w:tcPr>
          <w:p>
            <w:pPr>
              <w:pStyle w:val="TableText"/>
              <w:jc w:val="center"/>
            </w:pPr>
            <w:r/>
            <w:r>
              <w:rPr>
                <w:rFonts w:ascii="Calibri" w:hAnsi="Calibri" w:eastAsia="Microsoft YaHei"/>
                <w:b/>
                <w:color w:val="0B2545"/>
                <w:sz w:val="18"/>
              </w:rPr>
              <w:t>Primary / Pro</w:t>
            </w:r>
          </w:p>
        </w:tc>
        <w:tc>
          <w:tcPr>
            <w:tcW w:type="dxa" w:w="1600"/>
            <w:vAlign w:val="center"/>
            <w:tcBorders>
              <w:top w:val="single" w:sz="6" w:color="D8DEE8"/>
              <w:left w:val="single" w:sz="6" w:color="D8DEE8"/>
              <w:bottom w:val="single" w:sz="6" w:color="D8DEE8"/>
              <w:right w:val="single" w:sz="6" w:color="D8DEE8"/>
              <w:insideH w:val="single" w:sz="6" w:color="D8DEE8"/>
              <w:insideV w:val="single" w:sz="6" w:color="D8DEE8"/>
            </w:tcBorders>
            <w:shd w:fill="F2F4F7" w:val="clear"/>
          </w:tcPr>
          <w:p>
            <w:pPr>
              <w:pStyle w:val="TableText"/>
              <w:jc w:val="center"/>
            </w:pPr>
            <w:r/>
            <w:r>
              <w:rPr>
                <w:rFonts w:ascii="Calibri" w:hAnsi="Calibri" w:eastAsia="Microsoft YaHei"/>
                <w:b/>
                <w:color w:val="0B2545"/>
                <w:sz w:val="18"/>
              </w:rPr>
              <w:t>Second / Flash</w:t>
            </w:r>
          </w:p>
        </w:tc>
        <w:tc>
          <w:tcPr>
            <w:tcW w:type="dxa" w:w="1200"/>
            <w:vAlign w:val="center"/>
            <w:tcBorders>
              <w:top w:val="single" w:sz="6" w:color="D8DEE8"/>
              <w:left w:val="single" w:sz="6" w:color="D8DEE8"/>
              <w:bottom w:val="single" w:sz="6" w:color="D8DEE8"/>
              <w:right w:val="single" w:sz="6" w:color="D8DEE8"/>
              <w:insideH w:val="single" w:sz="6" w:color="D8DEE8"/>
              <w:insideV w:val="single" w:sz="6" w:color="D8DEE8"/>
            </w:tcBorders>
            <w:shd w:fill="F2F4F7" w:val="clear"/>
          </w:tcPr>
          <w:p>
            <w:pPr>
              <w:pStyle w:val="TableText"/>
              <w:jc w:val="center"/>
            </w:pPr>
            <w:r/>
            <w:r>
              <w:rPr>
                <w:rFonts w:ascii="Calibri" w:hAnsi="Calibri" w:eastAsia="Microsoft YaHei"/>
                <w:b/>
                <w:color w:val="0B2545"/>
                <w:sz w:val="18"/>
              </w:rPr>
              <w:t>总计</w:t>
            </w:r>
          </w:p>
        </w:tc>
        <w:tc>
          <w:tcPr>
            <w:tcW w:type="dxa" w:w="3360"/>
            <w:vAlign w:val="center"/>
            <w:tcBorders>
              <w:top w:val="single" w:sz="6" w:color="D8DEE8"/>
              <w:left w:val="single" w:sz="6" w:color="D8DEE8"/>
              <w:bottom w:val="single" w:sz="6" w:color="D8DEE8"/>
              <w:right w:val="single" w:sz="6" w:color="D8DEE8"/>
              <w:insideH w:val="single" w:sz="6" w:color="D8DEE8"/>
              <w:insideV w:val="single" w:sz="6" w:color="D8DEE8"/>
            </w:tcBorders>
            <w:shd w:fill="F2F4F7" w:val="clear"/>
          </w:tcPr>
          <w:p>
            <w:pPr>
              <w:pStyle w:val="TableText"/>
              <w:jc w:val="center"/>
            </w:pPr>
            <w:r/>
            <w:r>
              <w:rPr>
                <w:rFonts w:ascii="Calibri" w:hAnsi="Calibri" w:eastAsia="Microsoft YaHei"/>
                <w:b/>
                <w:color w:val="0B2545"/>
                <w:sz w:val="18"/>
              </w:rPr>
              <w:t>证据角色</w:t>
            </w:r>
          </w:p>
        </w:tc>
      </w:tr>
      <w:tr>
        <w:trPr>
          <w:cantSplit/>
        </w:trPr>
        <w:tc>
          <w:tcPr>
            <w:tcW w:type="dxa" w:w="16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M3-v2</w:t>
            </w:r>
          </w:p>
        </w:tc>
        <w:tc>
          <w:tcPr>
            <w:tcW w:type="dxa" w:w="16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2,700</w:t>
            </w:r>
          </w:p>
        </w:tc>
        <w:tc>
          <w:tcPr>
            <w:tcW w:type="dxa" w:w="16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900</w:t>
            </w:r>
          </w:p>
        </w:tc>
        <w:tc>
          <w:tcPr>
            <w:tcW w:type="dxa" w:w="12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center"/>
            </w:pPr>
            <w:r/>
            <w:r>
              <w:rPr>
                <w:rFonts w:ascii="Calibri" w:hAnsi="Calibri" w:eastAsia="Microsoft YaHei"/>
                <w:b/>
                <w:color w:val="111827"/>
                <w:sz w:val="18"/>
              </w:rPr>
              <w:t>3,600</w:t>
            </w:r>
          </w:p>
        </w:tc>
        <w:tc>
          <w:tcPr>
            <w:tcW w:type="dxa" w:w="336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授权 regime、语言、攻击族</w:t>
            </w:r>
          </w:p>
        </w:tc>
      </w:tr>
      <w:tr>
        <w:trPr>
          <w:cantSplit/>
        </w:trPr>
        <w:tc>
          <w:tcPr>
            <w:tcW w:type="dxa" w:w="16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AgentDojo</w:t>
            </w:r>
          </w:p>
        </w:tc>
        <w:tc>
          <w:tcPr>
            <w:tcW w:type="dxa" w:w="16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2,382</w:t>
            </w:r>
          </w:p>
        </w:tc>
        <w:tc>
          <w:tcPr>
            <w:tcW w:type="dxa" w:w="16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891</w:t>
            </w:r>
          </w:p>
        </w:tc>
        <w:tc>
          <w:tcPr>
            <w:tcW w:type="dxa" w:w="12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center"/>
            </w:pPr>
            <w:r/>
            <w:r>
              <w:rPr>
                <w:rFonts w:ascii="Calibri" w:hAnsi="Calibri" w:eastAsia="Microsoft YaHei"/>
                <w:b/>
                <w:color w:val="111827"/>
                <w:sz w:val="18"/>
              </w:rPr>
              <w:t>3,273</w:t>
            </w:r>
          </w:p>
        </w:tc>
        <w:tc>
          <w:tcPr>
            <w:tcW w:type="dxa" w:w="336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公开环境的安全与任务效用</w:t>
            </w:r>
          </w:p>
        </w:tc>
      </w:tr>
      <w:tr>
        <w:trPr>
          <w:cantSplit/>
        </w:trPr>
        <w:tc>
          <w:tcPr>
            <w:tcW w:type="dxa" w:w="16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合计</w:t>
            </w:r>
          </w:p>
        </w:tc>
        <w:tc>
          <w:tcPr>
            <w:tcW w:type="dxa" w:w="16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5,082</w:t>
            </w:r>
          </w:p>
        </w:tc>
        <w:tc>
          <w:tcPr>
            <w:tcW w:type="dxa" w:w="16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1,791</w:t>
            </w:r>
          </w:p>
        </w:tc>
        <w:tc>
          <w:tcPr>
            <w:tcW w:type="dxa" w:w="12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center"/>
            </w:pPr>
            <w:r/>
            <w:r>
              <w:rPr>
                <w:rFonts w:ascii="Calibri" w:hAnsi="Calibri" w:eastAsia="Microsoft YaHei"/>
                <w:b/>
                <w:color w:val="111827"/>
                <w:sz w:val="18"/>
              </w:rPr>
              <w:t>6,873</w:t>
            </w:r>
          </w:p>
        </w:tc>
        <w:tc>
          <w:tcPr>
            <w:tcW w:type="dxa" w:w="336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18 个条件对</w:t>
            </w:r>
          </w:p>
        </w:tc>
      </w:tr>
    </w:tbl>
    <w:p>
      <w:pPr>
        <w:spacing w:after="20"/>
      </w:pPr>
    </w:p>
    <w:p>
      <w:r>
        <w:rPr>
          <w:rFonts w:ascii="Calibri" w:hAnsi="Calibri" w:eastAsia="Microsoft YaHei"/>
        </w:rPr>
        <w:t>AgentDojo 官方数据只有 97 个唯一良性任务，低于原计划的 primary 150 和 second 100。冻结协议选择使用全部 97 个唯一任务，而不是通过重复样本制造更大的分母。这一偏差应在 Methods 和 Limitations 中披露。</w:t>
      </w:r>
    </w:p>
    <w:p>
      <w:pPr>
        <w:pStyle w:val="ReportSource"/>
      </w:pPr>
      <w:r>
        <w:rPr>
          <w:rFonts w:ascii="Calibri" w:hAnsi="Calibri" w:eastAsia="Microsoft YaHei"/>
          <w:color w:val="596579"/>
          <w:sz w:val="17"/>
        </w:rPr>
        <w:t>证据来源：public_benchmark_freeze_v1.json：状态 cases_frozen_results_pending；选择方法为 SHA-256 ranked stratified without outcomes。</w:t>
      </w:r>
    </w:p>
    <w:p>
      <w:pPr>
        <w:pStyle w:val="Heading1"/>
      </w:pPr>
      <w:r>
        <w:t>9. Primary 四分片续跑候选</w:t>
      </w:r>
    </w:p>
    <w:p>
      <w:pPr>
        <w:pStyle w:val="Caption"/>
      </w:pPr>
      <w:r>
        <w:rPr>
          <w:rFonts w:ascii="Calibri" w:hAnsi="Calibri" w:eastAsia="Microsoft YaHei"/>
          <w:b/>
          <w:color w:val="1F4D78"/>
          <w:sz w:val="19"/>
        </w:rPr>
        <w:t>FIGURE 4  Primary 剩余 5,058 条记录的互斥分片</w:t>
      </w:r>
    </w:p>
    <w:p>
      <w:pPr>
        <w:keepLines/>
        <w:spacing w:before="0" w:after="40"/>
        <w:jc w:val="center"/>
      </w:pPr>
      <w:r>
        <w:drawing>
          <wp:inline xmlns:a="http://schemas.openxmlformats.org/drawingml/2006/main" xmlns:pic="http://schemas.openxmlformats.org/drawingml/2006/picture">
            <wp:extent cx="5623560" cy="3280410"/>
            <wp:docPr id="4" name="Picture 4" title="FIGURE 4  Primary 剩余 5,058 条记录的互斥分片" descr="四个分片分别包含 1265、1265、1264、1264 条记录，每片成本硬上限 4.9 元。"/>
            <wp:cNvGraphicFramePr>
              <a:graphicFrameLocks noChangeAspect="1"/>
            </wp:cNvGraphicFramePr>
            <a:graphic>
              <a:graphicData uri="http://schemas.openxmlformats.org/drawingml/2006/picture">
                <pic:pic>
                  <pic:nvPicPr>
                    <pic:cNvPr id="0" name="figure_5_primary_shards.png"/>
                    <pic:cNvPicPr/>
                  </pic:nvPicPr>
                  <pic:blipFill>
                    <a:blip r:embed="rId16"/>
                    <a:stretch>
                      <a:fillRect/>
                    </a:stretch>
                  </pic:blipFill>
                  <pic:spPr>
                    <a:xfrm>
                      <a:off x="0" y="0"/>
                      <a:ext cx="5623560" cy="3280410"/>
                    </a:xfrm>
                    <a:prstGeom prst="rect"/>
                  </pic:spPr>
                </pic:pic>
              </a:graphicData>
            </a:graphic>
          </wp:inline>
        </w:drawing>
      </w:r>
    </w:p>
    <w:p>
      <w:pPr>
        <w:pStyle w:val="ReportSource"/>
      </w:pPr>
      <w:r>
        <w:rPr>
          <w:rFonts w:ascii="Calibri" w:hAnsi="Calibri" w:eastAsia="Microsoft YaHei"/>
          <w:color w:val="596579"/>
          <w:sz w:val="17"/>
        </w:rPr>
        <w:t>来源：Primary continuation candidate v1（冻结 JSON）。</w:t>
      </w:r>
    </w:p>
    <w:tbl>
      <w:tblPr>
        <w:tblW w:type="dxa" w:w="9360"/>
        <w:tblLayout w:type="fixed"/>
        <w:tblLook w:firstColumn="1" w:firstRow="1" w:lastColumn="0" w:lastRow="0" w:noHBand="0" w:noVBand="1" w:val="04A0"/>
        <w:jc w:val="left"/>
        <w:tblInd w:type="dxa" w:w="120"/>
        <w:tblCellMar>
          <w:top w:w="100" w:type="dxa"/>
          <w:bottom w:w="100" w:type="dxa"/>
          <w:start w:w="120" w:type="dxa"/>
          <w:end w:w="120" w:type="dxa"/>
        </w:tblCellMar>
      </w:tblPr>
      <w:tblGrid>
        <w:gridCol w:w="1050"/>
        <w:gridCol w:w="1150"/>
        <w:gridCol w:w="1150"/>
        <w:gridCol w:w="3810"/>
        <w:gridCol w:w="2200"/>
      </w:tblGrid>
      <w:tr>
        <w:trPr>
          <w:tblHeader w:val="true"/>
          <w:cantSplit/>
        </w:trPr>
        <w:tc>
          <w:tcPr>
            <w:tcW w:type="dxa" w:w="1050"/>
            <w:vAlign w:val="center"/>
            <w:tcBorders>
              <w:top w:val="single" w:sz="6" w:color="D8DEE8"/>
              <w:left w:val="single" w:sz="6" w:color="D8DEE8"/>
              <w:bottom w:val="single" w:sz="6" w:color="D8DEE8"/>
              <w:right w:val="single" w:sz="6" w:color="D8DEE8"/>
              <w:insideH w:val="single" w:sz="6" w:color="D8DEE8"/>
              <w:insideV w:val="single" w:sz="6" w:color="D8DEE8"/>
            </w:tcBorders>
            <w:shd w:fill="F2F4F7" w:val="clear"/>
          </w:tcPr>
          <w:p>
            <w:pPr>
              <w:pStyle w:val="TableText"/>
              <w:jc w:val="center"/>
            </w:pPr>
            <w:r/>
            <w:r>
              <w:rPr>
                <w:rFonts w:ascii="Calibri" w:hAnsi="Calibri" w:eastAsia="Microsoft YaHei"/>
                <w:b/>
                <w:color w:val="0B2545"/>
                <w:sz w:val="18"/>
              </w:rPr>
              <w:t>分片</w:t>
            </w:r>
          </w:p>
        </w:tc>
        <w:tc>
          <w:tcPr>
            <w:tcW w:type="dxa" w:w="1150"/>
            <w:vAlign w:val="center"/>
            <w:tcBorders>
              <w:top w:val="single" w:sz="6" w:color="D8DEE8"/>
              <w:left w:val="single" w:sz="6" w:color="D8DEE8"/>
              <w:bottom w:val="single" w:sz="6" w:color="D8DEE8"/>
              <w:right w:val="single" w:sz="6" w:color="D8DEE8"/>
              <w:insideH w:val="single" w:sz="6" w:color="D8DEE8"/>
              <w:insideV w:val="single" w:sz="6" w:color="D8DEE8"/>
            </w:tcBorders>
            <w:shd w:fill="F2F4F7" w:val="clear"/>
          </w:tcPr>
          <w:p>
            <w:pPr>
              <w:pStyle w:val="TableText"/>
              <w:jc w:val="center"/>
            </w:pPr>
            <w:r/>
            <w:r>
              <w:rPr>
                <w:rFonts w:ascii="Calibri" w:hAnsi="Calibri" w:eastAsia="Microsoft YaHei"/>
                <w:b/>
                <w:color w:val="0B2545"/>
                <w:sz w:val="18"/>
              </w:rPr>
              <w:t>记录数</w:t>
            </w:r>
          </w:p>
        </w:tc>
        <w:tc>
          <w:tcPr>
            <w:tcW w:type="dxa" w:w="1150"/>
            <w:vAlign w:val="center"/>
            <w:tcBorders>
              <w:top w:val="single" w:sz="6" w:color="D8DEE8"/>
              <w:left w:val="single" w:sz="6" w:color="D8DEE8"/>
              <w:bottom w:val="single" w:sz="6" w:color="D8DEE8"/>
              <w:right w:val="single" w:sz="6" w:color="D8DEE8"/>
              <w:insideH w:val="single" w:sz="6" w:color="D8DEE8"/>
              <w:insideV w:val="single" w:sz="6" w:color="D8DEE8"/>
            </w:tcBorders>
            <w:shd w:fill="F2F4F7" w:val="clear"/>
          </w:tcPr>
          <w:p>
            <w:pPr>
              <w:pStyle w:val="TableText"/>
              <w:jc w:val="center"/>
            </w:pPr>
            <w:r/>
            <w:r>
              <w:rPr>
                <w:rFonts w:ascii="Calibri" w:hAnsi="Calibri" w:eastAsia="Microsoft YaHei"/>
                <w:b/>
                <w:color w:val="0B2545"/>
                <w:sz w:val="18"/>
              </w:rPr>
              <w:t>硬上限</w:t>
            </w:r>
          </w:p>
        </w:tc>
        <w:tc>
          <w:tcPr>
            <w:tcW w:type="dxa" w:w="3810"/>
            <w:vAlign w:val="center"/>
            <w:tcBorders>
              <w:top w:val="single" w:sz="6" w:color="D8DEE8"/>
              <w:left w:val="single" w:sz="6" w:color="D8DEE8"/>
              <w:bottom w:val="single" w:sz="6" w:color="D8DEE8"/>
              <w:right w:val="single" w:sz="6" w:color="D8DEE8"/>
              <w:insideH w:val="single" w:sz="6" w:color="D8DEE8"/>
              <w:insideV w:val="single" w:sz="6" w:color="D8DEE8"/>
            </w:tcBorders>
            <w:shd w:fill="F2F4F7" w:val="clear"/>
          </w:tcPr>
          <w:p>
            <w:pPr>
              <w:pStyle w:val="TableText"/>
              <w:jc w:val="center"/>
            </w:pPr>
            <w:r/>
            <w:r>
              <w:rPr>
                <w:rFonts w:ascii="Calibri" w:hAnsi="Calibri" w:eastAsia="Microsoft YaHei"/>
                <w:b/>
                <w:color w:val="0B2545"/>
                <w:sz w:val="18"/>
              </w:rPr>
              <w:t>Run ID</w:t>
            </w:r>
          </w:p>
        </w:tc>
        <w:tc>
          <w:tcPr>
            <w:tcW w:type="dxa" w:w="2200"/>
            <w:vAlign w:val="center"/>
            <w:tcBorders>
              <w:top w:val="single" w:sz="6" w:color="D8DEE8"/>
              <w:left w:val="single" w:sz="6" w:color="D8DEE8"/>
              <w:bottom w:val="single" w:sz="6" w:color="D8DEE8"/>
              <w:right w:val="single" w:sz="6" w:color="D8DEE8"/>
              <w:insideH w:val="single" w:sz="6" w:color="D8DEE8"/>
              <w:insideV w:val="single" w:sz="6" w:color="D8DEE8"/>
            </w:tcBorders>
            <w:shd w:fill="F2F4F7" w:val="clear"/>
          </w:tcPr>
          <w:p>
            <w:pPr>
              <w:pStyle w:val="TableText"/>
              <w:jc w:val="center"/>
            </w:pPr>
            <w:r/>
            <w:r>
              <w:rPr>
                <w:rFonts w:ascii="Calibri" w:hAnsi="Calibri" w:eastAsia="Microsoft YaHei"/>
                <w:b/>
                <w:color w:val="0B2545"/>
                <w:sz w:val="18"/>
              </w:rPr>
              <w:t>当前状态</w:t>
            </w:r>
          </w:p>
        </w:tc>
      </w:tr>
      <w:tr>
        <w:trPr>
          <w:cantSplit/>
        </w:trPr>
        <w:tc>
          <w:tcPr>
            <w:tcW w:type="dxa" w:w="105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Shard 0</w:t>
            </w:r>
          </w:p>
        </w:tc>
        <w:tc>
          <w:tcPr>
            <w:tcW w:type="dxa" w:w="115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1,265</w:t>
            </w:r>
          </w:p>
        </w:tc>
        <w:tc>
          <w:tcPr>
            <w:tcW w:type="dxa" w:w="115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¥4.9</w:t>
            </w:r>
          </w:p>
        </w:tc>
        <w:tc>
          <w:tcPr>
            <w:tcW w:type="dxa" w:w="381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paper-v2-public-primary-continuation-s0-v1</w:t>
            </w:r>
          </w:p>
        </w:tc>
        <w:tc>
          <w:tcPr>
            <w:tcW w:type="dxa" w:w="22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center"/>
            </w:pPr>
            <w:r/>
            <w:r>
              <w:rPr>
                <w:rFonts w:ascii="Calibri" w:hAnsi="Calibri" w:eastAsia="Microsoft YaHei"/>
                <w:b/>
                <w:color w:val="7A5A00"/>
                <w:sz w:val="18"/>
              </w:rPr>
              <w:t>候选冻结；未启动</w:t>
            </w:r>
          </w:p>
        </w:tc>
      </w:tr>
      <w:tr>
        <w:trPr>
          <w:cantSplit/>
        </w:trPr>
        <w:tc>
          <w:tcPr>
            <w:tcW w:type="dxa" w:w="105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Shard 1</w:t>
            </w:r>
          </w:p>
        </w:tc>
        <w:tc>
          <w:tcPr>
            <w:tcW w:type="dxa" w:w="115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1,265</w:t>
            </w:r>
          </w:p>
        </w:tc>
        <w:tc>
          <w:tcPr>
            <w:tcW w:type="dxa" w:w="115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¥4.9</w:t>
            </w:r>
          </w:p>
        </w:tc>
        <w:tc>
          <w:tcPr>
            <w:tcW w:type="dxa" w:w="381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paper-v2-public-primary-continuation-s1-v1</w:t>
            </w:r>
          </w:p>
        </w:tc>
        <w:tc>
          <w:tcPr>
            <w:tcW w:type="dxa" w:w="22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center"/>
            </w:pPr>
            <w:r/>
            <w:r>
              <w:rPr>
                <w:rFonts w:ascii="Calibri" w:hAnsi="Calibri" w:eastAsia="Microsoft YaHei"/>
                <w:b/>
                <w:color w:val="7A5A00"/>
                <w:sz w:val="18"/>
              </w:rPr>
              <w:t>候选冻结；未启动</w:t>
            </w:r>
          </w:p>
        </w:tc>
      </w:tr>
      <w:tr>
        <w:trPr>
          <w:cantSplit/>
        </w:trPr>
        <w:tc>
          <w:tcPr>
            <w:tcW w:type="dxa" w:w="105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Shard 2</w:t>
            </w:r>
          </w:p>
        </w:tc>
        <w:tc>
          <w:tcPr>
            <w:tcW w:type="dxa" w:w="115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1,264</w:t>
            </w:r>
          </w:p>
        </w:tc>
        <w:tc>
          <w:tcPr>
            <w:tcW w:type="dxa" w:w="115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¥4.9</w:t>
            </w:r>
          </w:p>
        </w:tc>
        <w:tc>
          <w:tcPr>
            <w:tcW w:type="dxa" w:w="381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paper-v2-public-primary-continuation-s2-v1</w:t>
            </w:r>
          </w:p>
        </w:tc>
        <w:tc>
          <w:tcPr>
            <w:tcW w:type="dxa" w:w="22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center"/>
            </w:pPr>
            <w:r/>
            <w:r>
              <w:rPr>
                <w:rFonts w:ascii="Calibri" w:hAnsi="Calibri" w:eastAsia="Microsoft YaHei"/>
                <w:b/>
                <w:color w:val="7A5A00"/>
                <w:sz w:val="18"/>
              </w:rPr>
              <w:t>候选冻结；未启动</w:t>
            </w:r>
          </w:p>
        </w:tc>
      </w:tr>
      <w:tr>
        <w:trPr>
          <w:cantSplit/>
        </w:trPr>
        <w:tc>
          <w:tcPr>
            <w:tcW w:type="dxa" w:w="105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Shard 3</w:t>
            </w:r>
          </w:p>
        </w:tc>
        <w:tc>
          <w:tcPr>
            <w:tcW w:type="dxa" w:w="115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1,264</w:t>
            </w:r>
          </w:p>
        </w:tc>
        <w:tc>
          <w:tcPr>
            <w:tcW w:type="dxa" w:w="115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¥4.9</w:t>
            </w:r>
          </w:p>
        </w:tc>
        <w:tc>
          <w:tcPr>
            <w:tcW w:type="dxa" w:w="381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paper-v2-public-primary-continuation-s3-v1</w:t>
            </w:r>
          </w:p>
        </w:tc>
        <w:tc>
          <w:tcPr>
            <w:tcW w:type="dxa" w:w="22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center"/>
            </w:pPr>
            <w:r/>
            <w:r>
              <w:rPr>
                <w:rFonts w:ascii="Calibri" w:hAnsi="Calibri" w:eastAsia="Microsoft YaHei"/>
                <w:b/>
                <w:color w:val="7A5A00"/>
                <w:sz w:val="18"/>
              </w:rPr>
              <w:t>候选冻结；未启动</w:t>
            </w:r>
          </w:p>
        </w:tc>
      </w:tr>
    </w:tbl>
    <w:p>
      <w:pPr>
        <w:spacing w:after="20"/>
      </w:pPr>
    </w:p>
    <w:p>
      <w:r>
        <w:rPr>
          <w:rFonts w:ascii="Calibri" w:hAnsi="Calibri" w:eastAsia="Microsoft YaHei"/>
        </w:rPr>
        <w:t>分片规则是对 canary 之外的冻结计划顺序做 round-robin。候选证明四片互斥、并集完整且排除了 24 条已完成 canary；每片有独立 execution identity、run ID、output root 和 work-key sequence hash。报告制作期间没有创建 active admission，也没有启动任何分片进程。</w:t>
      </w:r>
    </w:p>
    <w:p>
      <w:pPr>
        <w:pStyle w:val="Heading1"/>
      </w:pPr>
      <w:r>
        <w:t>10. 最新完整 Harness 验证</w:t>
      </w:r>
    </w:p>
    <w:tbl>
      <w:tblPr>
        <w:tblW w:type="dxa" w:w="9360"/>
        <w:tblLayout w:type="fixed"/>
        <w:tblLook w:firstColumn="1" w:firstRow="1" w:lastColumn="0" w:lastRow="0" w:noHBand="0" w:noVBand="1" w:val="04A0"/>
        <w:jc w:val="left"/>
        <w:tblInd w:type="dxa" w:w="120"/>
        <w:tblCellMar>
          <w:top w:w="100" w:type="dxa"/>
          <w:bottom w:w="100" w:type="dxa"/>
          <w:start w:w="120" w:type="dxa"/>
          <w:end w:w="120" w:type="dxa"/>
        </w:tblCellMar>
      </w:tblPr>
      <w:tblGrid>
        <w:gridCol w:w="2300"/>
        <w:gridCol w:w="2600"/>
        <w:gridCol w:w="4460"/>
      </w:tblGrid>
      <w:tr>
        <w:trPr>
          <w:tblHeader w:val="true"/>
          <w:cantSplit/>
        </w:trPr>
        <w:tc>
          <w:tcPr>
            <w:tcW w:type="dxa" w:w="2300"/>
            <w:vAlign w:val="center"/>
            <w:tcBorders>
              <w:top w:val="single" w:sz="6" w:color="D8DEE8"/>
              <w:left w:val="single" w:sz="6" w:color="D8DEE8"/>
              <w:bottom w:val="single" w:sz="6" w:color="D8DEE8"/>
              <w:right w:val="single" w:sz="6" w:color="D8DEE8"/>
              <w:insideH w:val="single" w:sz="6" w:color="D8DEE8"/>
              <w:insideV w:val="single" w:sz="6" w:color="D8DEE8"/>
            </w:tcBorders>
            <w:shd w:fill="F2F4F7" w:val="clear"/>
          </w:tcPr>
          <w:p>
            <w:pPr>
              <w:pStyle w:val="TableText"/>
              <w:jc w:val="center"/>
            </w:pPr>
            <w:r/>
            <w:r>
              <w:rPr>
                <w:rFonts w:ascii="Calibri" w:hAnsi="Calibri" w:eastAsia="Microsoft YaHei"/>
                <w:b/>
                <w:color w:val="0B2545"/>
                <w:sz w:val="18"/>
              </w:rPr>
              <w:t>验证项</w:t>
            </w:r>
          </w:p>
        </w:tc>
        <w:tc>
          <w:tcPr>
            <w:tcW w:type="dxa" w:w="2600"/>
            <w:vAlign w:val="center"/>
            <w:tcBorders>
              <w:top w:val="single" w:sz="6" w:color="D8DEE8"/>
              <w:left w:val="single" w:sz="6" w:color="D8DEE8"/>
              <w:bottom w:val="single" w:sz="6" w:color="D8DEE8"/>
              <w:right w:val="single" w:sz="6" w:color="D8DEE8"/>
              <w:insideH w:val="single" w:sz="6" w:color="D8DEE8"/>
              <w:insideV w:val="single" w:sz="6" w:color="D8DEE8"/>
            </w:tcBorders>
            <w:shd w:fill="F2F4F7" w:val="clear"/>
          </w:tcPr>
          <w:p>
            <w:pPr>
              <w:pStyle w:val="TableText"/>
              <w:jc w:val="center"/>
            </w:pPr>
            <w:r/>
            <w:r>
              <w:rPr>
                <w:rFonts w:ascii="Calibri" w:hAnsi="Calibri" w:eastAsia="Microsoft YaHei"/>
                <w:b/>
                <w:color w:val="0B2545"/>
                <w:sz w:val="18"/>
              </w:rPr>
              <w:t>结果</w:t>
            </w:r>
          </w:p>
        </w:tc>
        <w:tc>
          <w:tcPr>
            <w:tcW w:type="dxa" w:w="4460"/>
            <w:vAlign w:val="center"/>
            <w:tcBorders>
              <w:top w:val="single" w:sz="6" w:color="D8DEE8"/>
              <w:left w:val="single" w:sz="6" w:color="D8DEE8"/>
              <w:bottom w:val="single" w:sz="6" w:color="D8DEE8"/>
              <w:right w:val="single" w:sz="6" w:color="D8DEE8"/>
              <w:insideH w:val="single" w:sz="6" w:color="D8DEE8"/>
              <w:insideV w:val="single" w:sz="6" w:color="D8DEE8"/>
            </w:tcBorders>
            <w:shd w:fill="F2F4F7" w:val="clear"/>
          </w:tcPr>
          <w:p>
            <w:pPr>
              <w:pStyle w:val="TableText"/>
              <w:jc w:val="center"/>
            </w:pPr>
            <w:r/>
            <w:r>
              <w:rPr>
                <w:rFonts w:ascii="Calibri" w:hAnsi="Calibri" w:eastAsia="Microsoft YaHei"/>
                <w:b/>
                <w:color w:val="0B2545"/>
                <w:sz w:val="18"/>
              </w:rPr>
              <w:t>证据</w:t>
            </w:r>
          </w:p>
        </w:tc>
      </w:tr>
      <w:tr>
        <w:trPr>
          <w:cantSplit/>
        </w:trPr>
        <w:tc>
          <w:tcPr>
            <w:tcW w:type="dxa" w:w="23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全量 pytest</w:t>
            </w:r>
          </w:p>
        </w:tc>
        <w:tc>
          <w:tcPr>
            <w:tcW w:type="dxa" w:w="26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center"/>
            </w:pPr>
            <w:r/>
            <w:r>
              <w:rPr>
                <w:rFonts w:ascii="Calibri" w:hAnsi="Calibri" w:eastAsia="Microsoft YaHei"/>
                <w:b/>
                <w:color w:val="1F6B4F"/>
                <w:sz w:val="18"/>
              </w:rPr>
              <w:t>1,188 passed / 1 skipped / 3 warnings</w:t>
            </w:r>
          </w:p>
        </w:tc>
        <w:tc>
          <w:tcPr>
            <w:tcW w:type="dxa" w:w="446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pytest stage 3791.73s (1:03:11)</w:t>
            </w:r>
          </w:p>
        </w:tc>
      </w:tr>
      <w:tr>
        <w:trPr>
          <w:cantSplit/>
        </w:trPr>
        <w:tc>
          <w:tcPr>
            <w:tcW w:type="dxa" w:w="23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统一 Harness</w:t>
            </w:r>
          </w:p>
        </w:tc>
        <w:tc>
          <w:tcPr>
            <w:tcW w:type="dxa" w:w="26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center"/>
            </w:pPr>
            <w:r/>
            <w:r>
              <w:rPr>
                <w:rFonts w:ascii="Calibri" w:hAnsi="Calibri" w:eastAsia="Microsoft YaHei"/>
                <w:b/>
                <w:color w:val="111827"/>
                <w:sz w:val="18"/>
              </w:rPr>
              <w:t>Verification failed=0</w:t>
            </w:r>
          </w:p>
        </w:tc>
        <w:tc>
          <w:tcPr>
            <w:tcW w:type="dxa" w:w="446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自然结束，exit code 0</w:t>
            </w:r>
          </w:p>
        </w:tc>
      </w:tr>
      <w:tr>
        <w:trPr>
          <w:cantSplit/>
        </w:trPr>
        <w:tc>
          <w:tcPr>
            <w:tcW w:type="dxa" w:w="23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stderr</w:t>
            </w:r>
          </w:p>
        </w:tc>
        <w:tc>
          <w:tcPr>
            <w:tcW w:type="dxa" w:w="26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center"/>
            </w:pPr>
            <w:r/>
            <w:r>
              <w:rPr>
                <w:rFonts w:ascii="Calibri" w:hAnsi="Calibri" w:eastAsia="Microsoft YaHei"/>
                <w:b/>
                <w:color w:val="111827"/>
                <w:sz w:val="18"/>
              </w:rPr>
              <w:t>3 行预期阻断</w:t>
            </w:r>
          </w:p>
        </w:tc>
        <w:tc>
          <w:tcPr>
            <w:tcW w:type="dxa" w:w="446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RuntimeAuditor 正确阻止 delete_record</w:t>
            </w:r>
          </w:p>
        </w:tc>
      </w:tr>
      <w:tr>
        <w:trPr>
          <w:cantSplit/>
        </w:trPr>
        <w:tc>
          <w:tcPr>
            <w:tcW w:type="dxa" w:w="23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Stage A / frozen artifacts</w:t>
            </w:r>
          </w:p>
        </w:tc>
        <w:tc>
          <w:tcPr>
            <w:tcW w:type="dxa" w:w="26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center"/>
            </w:pPr>
            <w:r/>
            <w:r>
              <w:rPr>
                <w:rFonts w:ascii="Calibri" w:hAnsi="Calibri" w:eastAsia="Microsoft YaHei"/>
                <w:b/>
                <w:color w:val="1F6B4F"/>
                <w:sz w:val="18"/>
              </w:rPr>
              <w:t>PASS</w:t>
            </w:r>
          </w:p>
        </w:tc>
        <w:tc>
          <w:tcPr>
            <w:tcW w:type="dxa" w:w="446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Public-v4、shard candidate、历史冻结可重建</w:t>
            </w:r>
          </w:p>
        </w:tc>
      </w:tr>
      <w:tr>
        <w:trPr>
          <w:cantSplit/>
        </w:trPr>
        <w:tc>
          <w:tcPr>
            <w:tcW w:type="dxa" w:w="23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历史完整性</w:t>
            </w:r>
          </w:p>
        </w:tc>
        <w:tc>
          <w:tcPr>
            <w:tcW w:type="dxa" w:w="26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center"/>
            </w:pPr>
            <w:r/>
            <w:r>
              <w:rPr>
                <w:rFonts w:ascii="Calibri" w:hAnsi="Calibri" w:eastAsia="Microsoft YaHei"/>
                <w:b/>
                <w:color w:val="1F6B4F"/>
                <w:sz w:val="18"/>
              </w:rPr>
              <w:t>PASS</w:t>
            </w:r>
          </w:p>
        </w:tc>
        <w:tc>
          <w:tcPr>
            <w:tcW w:type="dxa" w:w="446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paper-v1、E0–E17、V2 历史证据保持不可变</w:t>
            </w:r>
          </w:p>
        </w:tc>
      </w:tr>
    </w:tbl>
    <w:p>
      <w:pPr>
        <w:spacing w:after="20"/>
      </w:pPr>
    </w:p>
    <w:p>
      <w:pPr>
        <w:pStyle w:val="ReportSource"/>
      </w:pPr>
      <w:r>
        <w:rPr>
          <w:rFonts w:ascii="Calibri" w:hAnsi="Calibri" w:eastAsia="Microsoft YaHei"/>
          <w:color w:val="596579"/>
          <w:sz w:val="17"/>
        </w:rPr>
        <w:t>证据来源：Harness stdout SHA-256=806033e70b4d538d2c8656221cb2590c34afa8deaa53fdee7f061ed8fe91a7fc；stderr SHA-256=a54ddc28a62f747a20ef6680ddf6604f060fba9774f17ec2221645547b062be5；exit artifact SHA-256=13bf7b3039c63bf5a50491fa3cfd8eb4e699d1ba1436315aef9cbe5711530354。完整工作流约 2 小时 30 分钟，pytest 阶段约 1 小时 03 分钟。</w:t>
      </w:r>
    </w:p>
    <w:p>
      <w:pPr>
        <w:keepLines/>
        <w:spacing w:before="100" w:after="160"/>
        <w:ind w:left="202" w:right="173"/>
        <w:shd w:fill="F4F6F9" w:val="clear"/>
        <w:pBdr>
          <w:left w:val="single" w:sz="24" w:space="8" w:color="1F6B4F"/>
        </w:pBdr>
      </w:pPr>
      <w:r>
        <w:rPr>
          <w:rFonts w:ascii="Calibri" w:hAnsi="Calibri" w:eastAsia="Microsoft YaHei"/>
          <w:b/>
          <w:color w:val="1F6B4F"/>
          <w:sz w:val="21"/>
        </w:rPr>
        <w:t xml:space="preserve">验证含义  </w:t>
      </w:r>
      <w:r>
        <w:rPr>
          <w:rFonts w:ascii="Calibri" w:hAnsi="Calibri" w:eastAsia="Microsoft YaHei"/>
          <w:color w:val="111827"/>
          <w:sz w:val="21"/>
        </w:rPr>
        <w:t>绿色 Harness 说明代码、schema、冻结资产和恢复规则彼此一致。它是启动长实验的工程前提，但不是模型防御效果的统计证据。</w:t>
      </w:r>
    </w:p>
    <w:p>
      <w:pPr>
        <w:pStyle w:val="Heading1"/>
      </w:pPr>
      <w:r>
        <w:t>11. API、预算与危险操作边界</w:t>
      </w:r>
    </w:p>
    <w:tbl>
      <w:tblPr>
        <w:tblW w:type="dxa" w:w="9360"/>
        <w:tblLayout w:type="fixed"/>
        <w:tblLook w:firstColumn="1" w:firstRow="1" w:lastColumn="0" w:lastRow="0" w:noHBand="0" w:noVBand="1" w:val="04A0"/>
        <w:jc w:val="left"/>
        <w:tblInd w:type="dxa" w:w="120"/>
        <w:tblCellMar>
          <w:top w:w="100" w:type="dxa"/>
          <w:bottom w:w="100" w:type="dxa"/>
          <w:start w:w="120" w:type="dxa"/>
          <w:end w:w="120" w:type="dxa"/>
        </w:tblCellMar>
      </w:tblPr>
      <w:tblGrid>
        <w:gridCol w:w="1450"/>
        <w:gridCol w:w="2600"/>
        <w:gridCol w:w="2400"/>
        <w:gridCol w:w="2910"/>
      </w:tblGrid>
      <w:tr>
        <w:trPr>
          <w:tblHeader w:val="true"/>
          <w:cantSplit/>
        </w:trPr>
        <w:tc>
          <w:tcPr>
            <w:tcW w:type="dxa" w:w="1450"/>
            <w:vAlign w:val="center"/>
            <w:tcBorders>
              <w:top w:val="single" w:sz="6" w:color="D8DEE8"/>
              <w:left w:val="single" w:sz="6" w:color="D8DEE8"/>
              <w:bottom w:val="single" w:sz="6" w:color="D8DEE8"/>
              <w:right w:val="single" w:sz="6" w:color="D8DEE8"/>
              <w:insideH w:val="single" w:sz="6" w:color="D8DEE8"/>
              <w:insideV w:val="single" w:sz="6" w:color="D8DEE8"/>
            </w:tcBorders>
            <w:shd w:fill="F2F4F7" w:val="clear"/>
          </w:tcPr>
          <w:p>
            <w:pPr>
              <w:pStyle w:val="TableText"/>
              <w:jc w:val="center"/>
            </w:pPr>
            <w:r/>
            <w:r>
              <w:rPr>
                <w:rFonts w:ascii="Calibri" w:hAnsi="Calibri" w:eastAsia="Microsoft YaHei"/>
                <w:b/>
                <w:color w:val="0B2545"/>
                <w:sz w:val="18"/>
              </w:rPr>
              <w:t>项目</w:t>
            </w:r>
          </w:p>
        </w:tc>
        <w:tc>
          <w:tcPr>
            <w:tcW w:type="dxa" w:w="2600"/>
            <w:vAlign w:val="center"/>
            <w:tcBorders>
              <w:top w:val="single" w:sz="6" w:color="D8DEE8"/>
              <w:left w:val="single" w:sz="6" w:color="D8DEE8"/>
              <w:bottom w:val="single" w:sz="6" w:color="D8DEE8"/>
              <w:right w:val="single" w:sz="6" w:color="D8DEE8"/>
              <w:insideH w:val="single" w:sz="6" w:color="D8DEE8"/>
              <w:insideV w:val="single" w:sz="6" w:color="D8DEE8"/>
            </w:tcBorders>
            <w:shd w:fill="F2F4F7" w:val="clear"/>
          </w:tcPr>
          <w:p>
            <w:pPr>
              <w:pStyle w:val="TableText"/>
              <w:jc w:val="center"/>
            </w:pPr>
            <w:r/>
            <w:r>
              <w:rPr>
                <w:rFonts w:ascii="Calibri" w:hAnsi="Calibri" w:eastAsia="Microsoft YaHei"/>
                <w:b/>
                <w:color w:val="0B2545"/>
                <w:sz w:val="18"/>
              </w:rPr>
              <w:t>DeepSeek</w:t>
            </w:r>
          </w:p>
        </w:tc>
        <w:tc>
          <w:tcPr>
            <w:tcW w:type="dxa" w:w="2400"/>
            <w:vAlign w:val="center"/>
            <w:tcBorders>
              <w:top w:val="single" w:sz="6" w:color="D8DEE8"/>
              <w:left w:val="single" w:sz="6" w:color="D8DEE8"/>
              <w:bottom w:val="single" w:sz="6" w:color="D8DEE8"/>
              <w:right w:val="single" w:sz="6" w:color="D8DEE8"/>
              <w:insideH w:val="single" w:sz="6" w:color="D8DEE8"/>
              <w:insideV w:val="single" w:sz="6" w:color="D8DEE8"/>
            </w:tcBorders>
            <w:shd w:fill="F2F4F7" w:val="clear"/>
          </w:tcPr>
          <w:p>
            <w:pPr>
              <w:pStyle w:val="TableText"/>
              <w:jc w:val="center"/>
            </w:pPr>
            <w:r/>
            <w:r>
              <w:rPr>
                <w:rFonts w:ascii="Calibri" w:hAnsi="Calibri" w:eastAsia="Microsoft YaHei"/>
                <w:b/>
                <w:color w:val="0B2545"/>
                <w:sz w:val="18"/>
              </w:rPr>
              <w:t>Gemini</w:t>
            </w:r>
          </w:p>
        </w:tc>
        <w:tc>
          <w:tcPr>
            <w:tcW w:type="dxa" w:w="2910"/>
            <w:vAlign w:val="center"/>
            <w:tcBorders>
              <w:top w:val="single" w:sz="6" w:color="D8DEE8"/>
              <w:left w:val="single" w:sz="6" w:color="D8DEE8"/>
              <w:bottom w:val="single" w:sz="6" w:color="D8DEE8"/>
              <w:right w:val="single" w:sz="6" w:color="D8DEE8"/>
              <w:insideH w:val="single" w:sz="6" w:color="D8DEE8"/>
              <w:insideV w:val="single" w:sz="6" w:color="D8DEE8"/>
            </w:tcBorders>
            <w:shd w:fill="F2F4F7" w:val="clear"/>
          </w:tcPr>
          <w:p>
            <w:pPr>
              <w:pStyle w:val="TableText"/>
              <w:jc w:val="center"/>
            </w:pPr>
            <w:r/>
            <w:r>
              <w:rPr>
                <w:rFonts w:ascii="Calibri" w:hAnsi="Calibri" w:eastAsia="Microsoft YaHei"/>
                <w:b/>
                <w:color w:val="0B2545"/>
                <w:sz w:val="18"/>
              </w:rPr>
              <w:t>共同边界</w:t>
            </w:r>
          </w:p>
        </w:tc>
      </w:tr>
      <w:tr>
        <w:trPr>
          <w:cantSplit/>
        </w:trPr>
        <w:tc>
          <w:tcPr>
            <w:tcW w:type="dxa" w:w="145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用途</w:t>
            </w:r>
          </w:p>
        </w:tc>
        <w:tc>
          <w:tcPr>
            <w:tcW w:type="dxa" w:w="26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正式 primary/second 研究执行</w:t>
            </w:r>
          </w:p>
        </w:tc>
        <w:tc>
          <w:tcPr>
            <w:tcW w:type="dxa" w:w="24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免费层诊断；正式 v3 尚未实现</w:t>
            </w:r>
          </w:p>
        </w:tc>
        <w:tc>
          <w:tcPr>
            <w:tcW w:type="dxa" w:w="291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仅合成/沙箱研究负载</w:t>
            </w:r>
          </w:p>
        </w:tc>
      </w:tr>
      <w:tr>
        <w:trPr>
          <w:cantSplit/>
        </w:trPr>
        <w:tc>
          <w:tcPr>
            <w:tcW w:type="dxa" w:w="145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身份链</w:t>
            </w:r>
          </w:p>
        </w:tc>
        <w:tc>
          <w:tcPr>
            <w:tcW w:type="dxa" w:w="26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本地 request ID + payload hash + response ID + exact model</w:t>
            </w:r>
          </w:p>
        </w:tc>
        <w:tc>
          <w:tcPr>
            <w:tcW w:type="dxa" w:w="24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当前 request ID 不完整，仅诊断</w:t>
            </w:r>
          </w:p>
        </w:tc>
        <w:tc>
          <w:tcPr>
            <w:tcW w:type="dxa" w:w="291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append-only、可哈希重建</w:t>
            </w:r>
          </w:p>
        </w:tc>
      </w:tr>
      <w:tr>
        <w:trPr>
          <w:cantSplit/>
        </w:trPr>
        <w:tc>
          <w:tcPr>
            <w:tcW w:type="dxa" w:w="145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预算</w:t>
            </w:r>
          </w:p>
        </w:tc>
        <w:tc>
          <w:tcPr>
            <w:tcW w:type="dxa" w:w="26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Public primary 20 元；second 5 元</w:t>
            </w:r>
          </w:p>
        </w:tc>
        <w:tc>
          <w:tcPr>
            <w:tcW w:type="dxa" w:w="24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USD 0 paid-tier；保留免费日配额</w:t>
            </w:r>
          </w:p>
        </w:tc>
        <w:tc>
          <w:tcPr>
            <w:tcW w:type="dxa" w:w="291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达到 fuse 即暂停</w:t>
            </w:r>
          </w:p>
        </w:tc>
      </w:tr>
      <w:tr>
        <w:trPr>
          <w:cantSplit/>
        </w:trPr>
        <w:tc>
          <w:tcPr>
            <w:tcW w:type="dxa" w:w="145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重试/回退</w:t>
            </w:r>
          </w:p>
        </w:tc>
        <w:tc>
          <w:tcPr>
            <w:tcW w:type="dxa" w:w="26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自动重试 0</w:t>
            </w:r>
          </w:p>
        </w:tc>
        <w:tc>
          <w:tcPr>
            <w:tcW w:type="dxa" w:w="24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自动重试 0</w:t>
            </w:r>
          </w:p>
        </w:tc>
        <w:tc>
          <w:tcPr>
            <w:tcW w:type="dxa" w:w="291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不跨提供商 fallback</w:t>
            </w:r>
          </w:p>
        </w:tc>
      </w:tr>
      <w:tr>
        <w:trPr>
          <w:cantSplit/>
        </w:trPr>
        <w:tc>
          <w:tcPr>
            <w:tcW w:type="dxa" w:w="145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危险能力</w:t>
            </w:r>
          </w:p>
        </w:tc>
        <w:tc>
          <w:tcPr>
            <w:tcW w:type="dxa" w:w="26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tools/external effects=false</w:t>
            </w:r>
          </w:p>
        </w:tc>
        <w:tc>
          <w:tcPr>
            <w:tcW w:type="dxa" w:w="24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tools/external effects=false</w:t>
            </w:r>
          </w:p>
        </w:tc>
        <w:tc>
          <w:tcPr>
            <w:tcW w:type="dxa" w:w="291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不会执行删除、支付、发信、部署等真实动作</w:t>
            </w:r>
          </w:p>
        </w:tc>
      </w:tr>
    </w:tbl>
    <w:p>
      <w:pPr>
        <w:spacing w:after="20"/>
      </w:pPr>
    </w:p>
    <w:p>
      <w:r>
        <w:rPr>
          <w:rFonts w:ascii="Calibri" w:hAnsi="Calibri" w:eastAsia="Microsoft YaHei"/>
        </w:rPr>
        <w:t>用户已明确允许合理使用两家 API，但“可使用”不改变研究准入规则。每一批正式执行仍需绑定冻结候选、精确命令、模型身份、成本上限和单独结果准入。尤其是 DeepSeek 的请求链设计已由项目所有者接受，可以作为论文证据；Gemini 仍缺少同等级正式 trace。</w:t>
      </w:r>
    </w:p>
    <w:p>
      <w:pPr>
        <w:pStyle w:val="Heading1"/>
      </w:pPr>
      <w:r>
        <w:t>12. Gemini 当前状态与使用建议</w:t>
      </w:r>
    </w:p>
    <w:tbl>
      <w:tblPr>
        <w:tblW w:type="dxa" w:w="9360"/>
        <w:tblLayout w:type="fixed"/>
        <w:tblLook w:firstColumn="1" w:firstRow="1" w:lastColumn="0" w:lastRow="0" w:noHBand="0" w:noVBand="1" w:val="04A0"/>
        <w:jc w:val="left"/>
        <w:tblInd w:type="dxa" w:w="120"/>
        <w:tblCellMar>
          <w:top w:w="100" w:type="dxa"/>
          <w:bottom w:w="100" w:type="dxa"/>
          <w:start w:w="120" w:type="dxa"/>
          <w:end w:w="120" w:type="dxa"/>
        </w:tblCellMar>
      </w:tblPr>
      <w:tblGrid>
        <w:gridCol w:w="1450"/>
        <w:gridCol w:w="2350"/>
        <w:gridCol w:w="2760"/>
        <w:gridCol w:w="2800"/>
      </w:tblGrid>
      <w:tr>
        <w:trPr>
          <w:tblHeader w:val="true"/>
          <w:cantSplit/>
        </w:trPr>
        <w:tc>
          <w:tcPr>
            <w:tcW w:type="dxa" w:w="1450"/>
            <w:vAlign w:val="center"/>
            <w:tcBorders>
              <w:top w:val="single" w:sz="6" w:color="D8DEE8"/>
              <w:left w:val="single" w:sz="6" w:color="D8DEE8"/>
              <w:bottom w:val="single" w:sz="6" w:color="D8DEE8"/>
              <w:right w:val="single" w:sz="6" w:color="D8DEE8"/>
              <w:insideH w:val="single" w:sz="6" w:color="D8DEE8"/>
              <w:insideV w:val="single" w:sz="6" w:color="D8DEE8"/>
            </w:tcBorders>
            <w:shd w:fill="F2F4F7" w:val="clear"/>
          </w:tcPr>
          <w:p>
            <w:pPr>
              <w:pStyle w:val="TableText"/>
              <w:jc w:val="center"/>
            </w:pPr>
            <w:r/>
            <w:r>
              <w:rPr>
                <w:rFonts w:ascii="Calibri" w:hAnsi="Calibri" w:eastAsia="Microsoft YaHei"/>
                <w:b/>
                <w:color w:val="0B2545"/>
                <w:sz w:val="18"/>
              </w:rPr>
              <w:t>阶段</w:t>
            </w:r>
          </w:p>
        </w:tc>
        <w:tc>
          <w:tcPr>
            <w:tcW w:type="dxa" w:w="2350"/>
            <w:vAlign w:val="center"/>
            <w:tcBorders>
              <w:top w:val="single" w:sz="6" w:color="D8DEE8"/>
              <w:left w:val="single" w:sz="6" w:color="D8DEE8"/>
              <w:bottom w:val="single" w:sz="6" w:color="D8DEE8"/>
              <w:right w:val="single" w:sz="6" w:color="D8DEE8"/>
              <w:insideH w:val="single" w:sz="6" w:color="D8DEE8"/>
              <w:insideV w:val="single" w:sz="6" w:color="D8DEE8"/>
            </w:tcBorders>
            <w:shd w:fill="F2F4F7" w:val="clear"/>
          </w:tcPr>
          <w:p>
            <w:pPr>
              <w:pStyle w:val="TableText"/>
              <w:jc w:val="center"/>
            </w:pPr>
            <w:r/>
            <w:r>
              <w:rPr>
                <w:rFonts w:ascii="Calibri" w:hAnsi="Calibri" w:eastAsia="Microsoft YaHei"/>
                <w:b/>
                <w:color w:val="0B2545"/>
                <w:sz w:val="18"/>
              </w:rPr>
              <w:t>HTTP/调用</w:t>
            </w:r>
          </w:p>
        </w:tc>
        <w:tc>
          <w:tcPr>
            <w:tcW w:type="dxa" w:w="2760"/>
            <w:vAlign w:val="center"/>
            <w:tcBorders>
              <w:top w:val="single" w:sz="6" w:color="D8DEE8"/>
              <w:left w:val="single" w:sz="6" w:color="D8DEE8"/>
              <w:bottom w:val="single" w:sz="6" w:color="D8DEE8"/>
              <w:right w:val="single" w:sz="6" w:color="D8DEE8"/>
              <w:insideH w:val="single" w:sz="6" w:color="D8DEE8"/>
              <w:insideV w:val="single" w:sz="6" w:color="D8DEE8"/>
            </w:tcBorders>
            <w:shd w:fill="F2F4F7" w:val="clear"/>
          </w:tcPr>
          <w:p>
            <w:pPr>
              <w:pStyle w:val="TableText"/>
              <w:jc w:val="center"/>
            </w:pPr>
            <w:r/>
            <w:r>
              <w:rPr>
                <w:rFonts w:ascii="Calibri" w:hAnsi="Calibri" w:eastAsia="Microsoft YaHei"/>
                <w:b/>
                <w:color w:val="0B2545"/>
                <w:sz w:val="18"/>
              </w:rPr>
              <w:t>状态</w:t>
            </w:r>
          </w:p>
        </w:tc>
        <w:tc>
          <w:tcPr>
            <w:tcW w:type="dxa" w:w="2800"/>
            <w:vAlign w:val="center"/>
            <w:tcBorders>
              <w:top w:val="single" w:sz="6" w:color="D8DEE8"/>
              <w:left w:val="single" w:sz="6" w:color="D8DEE8"/>
              <w:bottom w:val="single" w:sz="6" w:color="D8DEE8"/>
              <w:right w:val="single" w:sz="6" w:color="D8DEE8"/>
              <w:insideH w:val="single" w:sz="6" w:color="D8DEE8"/>
              <w:insideV w:val="single" w:sz="6" w:color="D8DEE8"/>
            </w:tcBorders>
            <w:shd w:fill="F2F4F7" w:val="clear"/>
          </w:tcPr>
          <w:p>
            <w:pPr>
              <w:pStyle w:val="TableText"/>
              <w:jc w:val="center"/>
            </w:pPr>
            <w:r/>
            <w:r>
              <w:rPr>
                <w:rFonts w:ascii="Calibri" w:hAnsi="Calibri" w:eastAsia="Microsoft YaHei"/>
                <w:b/>
                <w:color w:val="0B2545"/>
                <w:sz w:val="18"/>
              </w:rPr>
              <w:t>能支持的结论</w:t>
            </w:r>
          </w:p>
        </w:tc>
      </w:tr>
      <w:tr>
        <w:trPr>
          <w:cantSplit/>
        </w:trPr>
        <w:tc>
          <w:tcPr>
            <w:tcW w:type="dxa" w:w="145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早期官方 smoke</w:t>
            </w:r>
          </w:p>
        </w:tc>
        <w:tc>
          <w:tcPr>
            <w:tcW w:type="dxa" w:w="235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曾 HTTP 200</w:t>
            </w:r>
          </w:p>
        </w:tc>
        <w:tc>
          <w:tcPr>
            <w:tcW w:type="dxa" w:w="276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center"/>
            </w:pPr>
            <w:r/>
            <w:r>
              <w:rPr>
                <w:rFonts w:ascii="Calibri" w:hAnsi="Calibri" w:eastAsia="Microsoft YaHei"/>
                <w:b/>
                <w:color w:val="111827"/>
                <w:sz w:val="18"/>
              </w:rPr>
              <w:t>缺完整 request ID</w:t>
            </w:r>
          </w:p>
        </w:tc>
        <w:tc>
          <w:tcPr>
            <w:tcW w:type="dxa" w:w="28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诊断连通性</w:t>
            </w:r>
          </w:p>
        </w:tc>
      </w:tr>
      <w:tr>
        <w:trPr>
          <w:cantSplit/>
        </w:trPr>
        <w:tc>
          <w:tcPr>
            <w:tcW w:type="dxa" w:w="145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Gemini v1</w:t>
            </w:r>
          </w:p>
        </w:tc>
        <w:tc>
          <w:tcPr>
            <w:tcW w:type="dxa" w:w="235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VIGIL 结构 canary 前失败</w:t>
            </w:r>
          </w:p>
        </w:tc>
        <w:tc>
          <w:tcPr>
            <w:tcW w:type="dxa" w:w="276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center"/>
            </w:pPr>
            <w:r/>
            <w:r>
              <w:rPr>
                <w:rFonts w:ascii="Calibri" w:hAnsi="Calibri" w:eastAsia="Microsoft YaHei"/>
                <w:b/>
                <w:color w:val="111827"/>
                <w:sz w:val="18"/>
              </w:rPr>
              <w:t>0 formal records</w:t>
            </w:r>
          </w:p>
        </w:tc>
        <w:tc>
          <w:tcPr>
            <w:tcW w:type="dxa" w:w="28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不能支持第二模型</w:t>
            </w:r>
          </w:p>
        </w:tc>
      </w:tr>
      <w:tr>
        <w:trPr>
          <w:cantSplit/>
        </w:trPr>
        <w:tc>
          <w:tcPr>
            <w:tcW w:type="dxa" w:w="145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Gemini v2</w:t>
            </w:r>
          </w:p>
        </w:tc>
        <w:tc>
          <w:tcPr>
            <w:tcW w:type="dxa" w:w="235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首请求 HTTP 429</w:t>
            </w:r>
          </w:p>
        </w:tc>
        <w:tc>
          <w:tcPr>
            <w:tcW w:type="dxa" w:w="276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center"/>
            </w:pPr>
            <w:r/>
            <w:r>
              <w:rPr>
                <w:rFonts w:ascii="Calibri" w:hAnsi="Calibri" w:eastAsia="Microsoft YaHei"/>
                <w:b/>
                <w:color w:val="111827"/>
                <w:sz w:val="18"/>
              </w:rPr>
              <w:t>1 diagnostic ITT，0 completed calls</w:t>
            </w:r>
          </w:p>
        </w:tc>
        <w:tc>
          <w:tcPr>
            <w:tcW w:type="dxa" w:w="28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不能支持第二模型</w:t>
            </w:r>
          </w:p>
        </w:tc>
      </w:tr>
      <w:tr>
        <w:trPr>
          <w:cantSplit/>
        </w:trPr>
        <w:tc>
          <w:tcPr>
            <w:tcW w:type="dxa" w:w="145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Free recheck</w:t>
            </w:r>
          </w:p>
        </w:tc>
        <w:tc>
          <w:tcPr>
            <w:tcW w:type="dxa" w:w="235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HTTP 200，exact model + SAFE</w:t>
            </w:r>
          </w:p>
        </w:tc>
        <w:tc>
          <w:tcPr>
            <w:tcW w:type="dxa" w:w="276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center"/>
            </w:pPr>
            <w:r/>
            <w:r>
              <w:rPr>
                <w:rFonts w:ascii="Calibri" w:hAnsi="Calibri" w:eastAsia="Microsoft YaHei"/>
                <w:b/>
                <w:color w:val="111827"/>
                <w:sz w:val="18"/>
              </w:rPr>
              <w:t>32/1/44 tokens；response ID 有、request ID 无</w:t>
            </w:r>
          </w:p>
        </w:tc>
        <w:tc>
          <w:tcPr>
            <w:tcW w:type="dxa" w:w="28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免费层可用性诊断</w:t>
            </w:r>
          </w:p>
        </w:tc>
      </w:tr>
      <w:tr>
        <w:trPr>
          <w:cantSplit/>
        </w:trPr>
        <w:tc>
          <w:tcPr>
            <w:tcW w:type="dxa" w:w="145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建议</w:t>
            </w:r>
          </w:p>
        </w:tc>
        <w:tc>
          <w:tcPr>
            <w:tcW w:type="dxa" w:w="235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Public primary 后再设计 v3</w:t>
            </w:r>
          </w:p>
        </w:tc>
        <w:tc>
          <w:tcPr>
            <w:tcW w:type="dxa" w:w="276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center"/>
            </w:pPr>
            <w:r/>
            <w:r>
              <w:rPr>
                <w:rFonts w:ascii="Calibri" w:hAnsi="Calibri" w:eastAsia="Microsoft YaHei"/>
                <w:b/>
                <w:color w:val="111827"/>
                <w:sz w:val="18"/>
              </w:rPr>
              <w:t>先做多日计量与完整 trace</w:t>
            </w:r>
          </w:p>
        </w:tc>
        <w:tc>
          <w:tcPr>
            <w:tcW w:type="dxa" w:w="28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成功后才做跨提供商补强</w:t>
            </w:r>
          </w:p>
        </w:tc>
      </w:tr>
    </w:tbl>
    <w:p>
      <w:pPr>
        <w:spacing w:after="20"/>
      </w:pPr>
    </w:p>
    <w:p>
      <w:pPr>
        <w:pStyle w:val="Heading1"/>
      </w:pPr>
      <w:r>
        <w:t>13. 当前前沿工作与 M3 的创新边界</w:t>
      </w:r>
    </w:p>
    <w:tbl>
      <w:tblPr>
        <w:tblW w:type="dxa" w:w="9360"/>
        <w:tblLayout w:type="fixed"/>
        <w:tblLook w:firstColumn="1" w:firstRow="1" w:lastColumn="0" w:lastRow="0" w:noHBand="0" w:noVBand="1" w:val="04A0"/>
        <w:jc w:val="left"/>
        <w:tblInd w:type="dxa" w:w="120"/>
        <w:tblCellMar>
          <w:top w:w="100" w:type="dxa"/>
          <w:bottom w:w="100" w:type="dxa"/>
          <w:start w:w="120" w:type="dxa"/>
          <w:end w:w="120" w:type="dxa"/>
        </w:tblCellMar>
      </w:tblPr>
      <w:tblGrid>
        <w:gridCol w:w="1650"/>
        <w:gridCol w:w="2750"/>
        <w:gridCol w:w="2580"/>
        <w:gridCol w:w="2380"/>
      </w:tblGrid>
      <w:tr>
        <w:trPr>
          <w:tblHeader w:val="true"/>
          <w:cantSplit/>
        </w:trPr>
        <w:tc>
          <w:tcPr>
            <w:tcW w:type="dxa" w:w="1650"/>
            <w:vAlign w:val="center"/>
            <w:tcBorders>
              <w:top w:val="single" w:sz="6" w:color="D8DEE8"/>
              <w:left w:val="single" w:sz="6" w:color="D8DEE8"/>
              <w:bottom w:val="single" w:sz="6" w:color="D8DEE8"/>
              <w:right w:val="single" w:sz="6" w:color="D8DEE8"/>
              <w:insideH w:val="single" w:sz="6" w:color="D8DEE8"/>
              <w:insideV w:val="single" w:sz="6" w:color="D8DEE8"/>
            </w:tcBorders>
            <w:shd w:fill="F2F4F7" w:val="clear"/>
          </w:tcPr>
          <w:p>
            <w:pPr>
              <w:pStyle w:val="TableText"/>
              <w:jc w:val="center"/>
            </w:pPr>
            <w:r/>
            <w:r>
              <w:rPr>
                <w:rFonts w:ascii="Calibri" w:hAnsi="Calibri" w:eastAsia="Microsoft YaHei"/>
                <w:b/>
                <w:color w:val="0B2545"/>
                <w:sz w:val="18"/>
              </w:rPr>
              <w:t>工作</w:t>
            </w:r>
          </w:p>
        </w:tc>
        <w:tc>
          <w:tcPr>
            <w:tcW w:type="dxa" w:w="2750"/>
            <w:vAlign w:val="center"/>
            <w:tcBorders>
              <w:top w:val="single" w:sz="6" w:color="D8DEE8"/>
              <w:left w:val="single" w:sz="6" w:color="D8DEE8"/>
              <w:bottom w:val="single" w:sz="6" w:color="D8DEE8"/>
              <w:right w:val="single" w:sz="6" w:color="D8DEE8"/>
              <w:insideH w:val="single" w:sz="6" w:color="D8DEE8"/>
              <w:insideV w:val="single" w:sz="6" w:color="D8DEE8"/>
            </w:tcBorders>
            <w:shd w:fill="F2F4F7" w:val="clear"/>
          </w:tcPr>
          <w:p>
            <w:pPr>
              <w:pStyle w:val="TableText"/>
              <w:jc w:val="center"/>
            </w:pPr>
            <w:r/>
            <w:r>
              <w:rPr>
                <w:rFonts w:ascii="Calibri" w:hAnsi="Calibri" w:eastAsia="Microsoft YaHei"/>
                <w:b/>
                <w:color w:val="0B2545"/>
                <w:sz w:val="18"/>
              </w:rPr>
              <w:t>主要思想</w:t>
            </w:r>
          </w:p>
        </w:tc>
        <w:tc>
          <w:tcPr>
            <w:tcW w:type="dxa" w:w="2580"/>
            <w:vAlign w:val="center"/>
            <w:tcBorders>
              <w:top w:val="single" w:sz="6" w:color="D8DEE8"/>
              <w:left w:val="single" w:sz="6" w:color="D8DEE8"/>
              <w:bottom w:val="single" w:sz="6" w:color="D8DEE8"/>
              <w:right w:val="single" w:sz="6" w:color="D8DEE8"/>
              <w:insideH w:val="single" w:sz="6" w:color="D8DEE8"/>
              <w:insideV w:val="single" w:sz="6" w:color="D8DEE8"/>
            </w:tcBorders>
            <w:shd w:fill="F2F4F7" w:val="clear"/>
          </w:tcPr>
          <w:p>
            <w:pPr>
              <w:pStyle w:val="TableText"/>
              <w:jc w:val="center"/>
            </w:pPr>
            <w:r/>
            <w:r>
              <w:rPr>
                <w:rFonts w:ascii="Calibri" w:hAnsi="Calibri" w:eastAsia="Microsoft YaHei"/>
                <w:b/>
                <w:color w:val="0B2545"/>
                <w:sz w:val="18"/>
              </w:rPr>
              <w:t>对 M3 的压力</w:t>
            </w:r>
          </w:p>
        </w:tc>
        <w:tc>
          <w:tcPr>
            <w:tcW w:type="dxa" w:w="2380"/>
            <w:vAlign w:val="center"/>
            <w:tcBorders>
              <w:top w:val="single" w:sz="6" w:color="D8DEE8"/>
              <w:left w:val="single" w:sz="6" w:color="D8DEE8"/>
              <w:bottom w:val="single" w:sz="6" w:color="D8DEE8"/>
              <w:right w:val="single" w:sz="6" w:color="D8DEE8"/>
              <w:insideH w:val="single" w:sz="6" w:color="D8DEE8"/>
              <w:insideV w:val="single" w:sz="6" w:color="D8DEE8"/>
            </w:tcBorders>
            <w:shd w:fill="F2F4F7" w:val="clear"/>
          </w:tcPr>
          <w:p>
            <w:pPr>
              <w:pStyle w:val="TableText"/>
              <w:jc w:val="center"/>
            </w:pPr>
            <w:r/>
            <w:r>
              <w:rPr>
                <w:rFonts w:ascii="Calibri" w:hAnsi="Calibri" w:eastAsia="Microsoft YaHei"/>
                <w:b/>
                <w:color w:val="0B2545"/>
                <w:sz w:val="18"/>
              </w:rPr>
              <w:t>报告中的处理</w:t>
            </w:r>
          </w:p>
        </w:tc>
      </w:tr>
      <w:tr>
        <w:trPr>
          <w:cantSplit/>
        </w:trPr>
        <w:tc>
          <w:tcPr>
            <w:tcW w:type="dxa" w:w="165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VIGIL (ACL 2026)</w:t>
            </w:r>
          </w:p>
        </w:tc>
        <w:tc>
          <w:tcPr>
            <w:tcW w:type="dxa" w:w="275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verify-before-commit；SIREN 959 cases</w:t>
            </w:r>
          </w:p>
        </w:tc>
        <w:tc>
          <w:tcPr>
            <w:tcW w:type="dxa" w:w="258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直接竞争结构化运行时防御</w:t>
            </w:r>
          </w:p>
        </w:tc>
        <w:tc>
          <w:tcPr>
            <w:tcW w:type="dxa" w:w="238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作为首要同行评审结构基线</w:t>
            </w:r>
          </w:p>
        </w:tc>
      </w:tr>
      <w:tr>
        <w:trPr>
          <w:cantSplit/>
        </w:trPr>
        <w:tc>
          <w:tcPr>
            <w:tcW w:type="dxa" w:w="165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DRIFT (NeurIPS 2025)</w:t>
            </w:r>
          </w:p>
        </w:tc>
        <w:tc>
          <w:tcPr>
            <w:tcW w:type="dxa" w:w="275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动态规则、控制/数据流约束、记忆隔离</w:t>
            </w:r>
          </w:p>
        </w:tc>
        <w:tc>
          <w:tcPr>
            <w:tcW w:type="dxa" w:w="258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覆盖动态授权与数据流</w:t>
            </w:r>
          </w:p>
        </w:tc>
        <w:tc>
          <w:tcPr>
            <w:tcW w:type="dxa" w:w="238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需要公共对照或清晰说明适配边界</w:t>
            </w:r>
          </w:p>
        </w:tc>
      </w:tr>
      <w:tr>
        <w:trPr>
          <w:cantSplit/>
        </w:trPr>
        <w:tc>
          <w:tcPr>
            <w:tcW w:type="dxa" w:w="165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Task Shield (ACL 2025)</w:t>
            </w:r>
          </w:p>
        </w:tc>
        <w:tc>
          <w:tcPr>
            <w:tcW w:type="dxa" w:w="275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验证指令/工具调用是否服务用户目标</w:t>
            </w:r>
          </w:p>
        </w:tc>
        <w:tc>
          <w:tcPr>
            <w:tcW w:type="dxa" w:w="258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与目标一致性分支重叠</w:t>
            </w:r>
          </w:p>
        </w:tc>
        <w:tc>
          <w:tcPr>
            <w:tcW w:type="dxa" w:w="238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不声称“首次目标对齐”</w:t>
            </w:r>
          </w:p>
        </w:tc>
      </w:tr>
      <w:tr>
        <w:trPr>
          <w:cantSplit/>
        </w:trPr>
        <w:tc>
          <w:tcPr>
            <w:tcW w:type="dxa" w:w="165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CaMeL (2025 preprint)</w:t>
            </w:r>
          </w:p>
        </w:tc>
        <w:tc>
          <w:tcPr>
            <w:tcW w:type="dxa" w:w="275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可信 query 提取控制/数据流并用 capability 限制</w:t>
            </w:r>
          </w:p>
        </w:tc>
        <w:tc>
          <w:tcPr>
            <w:tcW w:type="dxa" w:w="258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强结构隔离和可证明安全</w:t>
            </w:r>
          </w:p>
        </w:tc>
        <w:tc>
          <w:tcPr>
            <w:tcW w:type="dxa" w:w="238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比较信息流边界与任务效用</w:t>
            </w:r>
          </w:p>
        </w:tc>
      </w:tr>
      <w:tr>
        <w:trPr>
          <w:cantSplit/>
        </w:trPr>
        <w:tc>
          <w:tcPr>
            <w:tcW w:type="dxa" w:w="165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Progent (2025 preprint)</w:t>
            </w:r>
          </w:p>
        </w:tc>
        <w:tc>
          <w:tcPr>
            <w:tcW w:type="dxa" w:w="275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可编程最小权限与动态 policy</w:t>
            </w:r>
          </w:p>
        </w:tc>
        <w:tc>
          <w:tcPr>
            <w:tcW w:type="dxa" w:w="258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与权限单调/扩张确认高度相关</w:t>
            </w:r>
          </w:p>
        </w:tc>
        <w:tc>
          <w:tcPr>
            <w:tcW w:type="dxa" w:w="238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强调非 oracle 评估与 ASK 负担</w:t>
            </w:r>
          </w:p>
        </w:tc>
      </w:tr>
      <w:tr>
        <w:trPr>
          <w:cantSplit/>
        </w:trPr>
        <w:tc>
          <w:tcPr>
            <w:tcW w:type="dxa" w:w="165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PlanGuard / IPIGuard</w:t>
            </w:r>
          </w:p>
        </w:tc>
        <w:tc>
          <w:tcPr>
            <w:tcW w:type="dxa" w:w="275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规划一致性 / 工具依赖图</w:t>
            </w:r>
          </w:p>
        </w:tc>
        <w:tc>
          <w:tcPr>
            <w:tcW w:type="dxa" w:w="258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参数级与执行图边界接近</w:t>
            </w:r>
          </w:p>
        </w:tc>
        <w:tc>
          <w:tcPr>
            <w:tcW w:type="dxa" w:w="238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只做有证据的差异声明</w:t>
            </w:r>
          </w:p>
        </w:tc>
      </w:tr>
      <w:tr>
        <w:trPr>
          <w:cantSplit/>
        </w:trPr>
        <w:tc>
          <w:tcPr>
            <w:tcW w:type="dxa" w:w="165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AuthGraph (2026 preprint)</w:t>
            </w:r>
          </w:p>
        </w:tc>
        <w:tc>
          <w:tcPr>
            <w:tcW w:type="dxa" w:w="275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授权图与 provenance 执行图在参数来源级对齐</w:t>
            </w:r>
          </w:p>
        </w:tc>
        <w:tc>
          <w:tcPr>
            <w:tcW w:type="dxa" w:w="258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直接压缩“参数来源首创”空间</w:t>
            </w:r>
          </w:p>
        </w:tc>
        <w:tc>
          <w:tcPr>
            <w:tcW w:type="dxa" w:w="238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删除首次/唯一/SOTA 表述</w:t>
            </w:r>
          </w:p>
        </w:tc>
      </w:tr>
      <w:tr>
        <w:trPr>
          <w:cantSplit/>
        </w:trPr>
        <w:tc>
          <w:tcPr>
            <w:tcW w:type="dxa" w:w="165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ARGUS (2026 preprint)</w:t>
            </w:r>
          </w:p>
        </w:tc>
        <w:tc>
          <w:tcPr>
            <w:tcW w:type="dxa" w:w="275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上下文依赖任务与 provenance-aware auditing</w:t>
            </w:r>
          </w:p>
        </w:tc>
        <w:tc>
          <w:tcPr>
            <w:tcW w:type="dxa" w:w="258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与上下文授权不确定性重叠</w:t>
            </w:r>
          </w:p>
        </w:tc>
        <w:tc>
          <w:tcPr>
            <w:tcW w:type="dxa" w:w="238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公共/自适应分析必须显式对照</w:t>
            </w:r>
          </w:p>
        </w:tc>
      </w:tr>
    </w:tbl>
    <w:p>
      <w:pPr>
        <w:spacing w:after="20"/>
      </w:pPr>
    </w:p>
    <w:p>
      <w:r>
        <w:rPr>
          <w:rFonts w:ascii="Calibri" w:hAnsi="Calibri" w:eastAsia="Microsoft YaHei"/>
        </w:rPr>
        <w:t>M3 目前最可信的差异点不是“参数级来源追踪首创”，而是把 evaluator/gold 泄漏、授权 regime、权限单调、ALLOW/ASK/DENY、确认负担、效用非劣和完整审计链放进同一配对实验。是否形成足够创新，取决于公共矩阵和自适应攻击能否显示这些评估维度会改变对防御优劣的判断。</w:t>
      </w:r>
    </w:p>
    <w:p>
      <w:pPr>
        <w:pStyle w:val="Heading1"/>
      </w:pPr>
      <w:r>
        <w:t>14. 当前完成度与达到 80% 的真实算术</w:t>
      </w:r>
    </w:p>
    <w:p>
      <w:pPr>
        <w:pStyle w:val="Caption"/>
      </w:pPr>
      <w:r>
        <w:rPr>
          <w:rFonts w:ascii="Calibri" w:hAnsi="Calibri" w:eastAsia="Microsoft YaHei"/>
          <w:b/>
          <w:color w:val="1F4D78"/>
          <w:sz w:val="19"/>
        </w:rPr>
        <w:t>图 5  工程、科学证据与投稿就绪度</w:t>
      </w:r>
    </w:p>
    <w:p>
      <w:pPr>
        <w:keepLines/>
        <w:spacing w:before="0" w:after="40"/>
        <w:jc w:val="center"/>
      </w:pPr>
      <w:r>
        <w:drawing>
          <wp:inline xmlns:a="http://schemas.openxmlformats.org/drawingml/2006/main" xmlns:pic="http://schemas.openxmlformats.org/drawingml/2006/picture">
            <wp:extent cx="5623560" cy="3280410"/>
            <wp:docPr id="5" name="Picture 5" title="图 5  工程、科学证据与投稿就绪度" descr="工程就绪度 99%，科学证据完成度 62.75%，投稿就绪度 60%，目标线 80%。"/>
            <wp:cNvGraphicFramePr>
              <a:graphicFrameLocks noChangeAspect="1"/>
            </wp:cNvGraphicFramePr>
            <a:graphic>
              <a:graphicData uri="http://schemas.openxmlformats.org/drawingml/2006/picture">
                <pic:pic>
                  <pic:nvPicPr>
                    <pic:cNvPr id="0" name="figure_2_readiness.png"/>
                    <pic:cNvPicPr/>
                  </pic:nvPicPr>
                  <pic:blipFill>
                    <a:blip r:embed="rId17"/>
                    <a:stretch>
                      <a:fillRect/>
                    </a:stretch>
                  </pic:blipFill>
                  <pic:spPr>
                    <a:xfrm>
                      <a:off x="0" y="0"/>
                      <a:ext cx="5623560" cy="3280410"/>
                    </a:xfrm>
                    <a:prstGeom prst="rect"/>
                  </pic:spPr>
                </pic:pic>
              </a:graphicData>
            </a:graphic>
          </wp:inline>
        </w:drawing>
      </w:r>
    </w:p>
    <w:p>
      <w:pPr>
        <w:pStyle w:val="ReportSource"/>
      </w:pPr>
      <w:r>
        <w:rPr>
          <w:rFonts w:ascii="Calibri" w:hAnsi="Calibri" w:eastAsia="Microsoft YaHei"/>
          <w:color w:val="596579"/>
          <w:sz w:val="17"/>
        </w:rPr>
        <w:t>来源：completion_scorecard_v1.json；Public-v4 工程进展尚未提前增加科学分。</w:t>
      </w:r>
    </w:p>
    <w:p>
      <w:pPr>
        <w:pStyle w:val="Caption"/>
      </w:pPr>
      <w:r>
        <w:rPr>
          <w:rFonts w:ascii="Calibri" w:hAnsi="Calibri" w:eastAsia="Microsoft YaHei"/>
          <w:b/>
          <w:color w:val="1F4D78"/>
          <w:sz w:val="19"/>
        </w:rPr>
        <w:t>图 6  从 753/1200 到 968/1200 的目标增量</w:t>
      </w:r>
    </w:p>
    <w:p>
      <w:pPr>
        <w:keepLines/>
        <w:spacing w:before="0" w:after="40"/>
        <w:jc w:val="center"/>
      </w:pPr>
      <w:r>
        <w:drawing>
          <wp:inline xmlns:a="http://schemas.openxmlformats.org/drawingml/2006/main" xmlns:pic="http://schemas.openxmlformats.org/drawingml/2006/picture">
            <wp:extent cx="5623560" cy="3280410"/>
            <wp:docPr id="6" name="Picture 6" title="图 6  从 753/1200 到 968/1200 的目标增量" descr="当前 62.75%，公共矩阵目标增加 90 分，自适应攻击增加 100 分，论文主表与正文增加 25 分，目标达到 80.67%。"/>
            <wp:cNvGraphicFramePr>
              <a:graphicFrameLocks noChangeAspect="1"/>
            </wp:cNvGraphicFramePr>
            <a:graphic>
              <a:graphicData uri="http://schemas.openxmlformats.org/drawingml/2006/picture">
                <pic:pic>
                  <pic:nvPicPr>
                    <pic:cNvPr id="0" name="figure_6_evidence_80_roadmap.png"/>
                    <pic:cNvPicPr/>
                  </pic:nvPicPr>
                  <pic:blipFill>
                    <a:blip r:embed="rId18"/>
                    <a:stretch>
                      <a:fillRect/>
                    </a:stretch>
                  </pic:blipFill>
                  <pic:spPr>
                    <a:xfrm>
                      <a:off x="0" y="0"/>
                      <a:ext cx="5623560" cy="3280410"/>
                    </a:xfrm>
                    <a:prstGeom prst="rect"/>
                  </pic:spPr>
                </pic:pic>
              </a:graphicData>
            </a:graphic>
          </wp:inline>
        </w:drawing>
      </w:r>
    </w:p>
    <w:p>
      <w:pPr>
        <w:pStyle w:val="ReportSource"/>
      </w:pPr>
      <w:r>
        <w:rPr>
          <w:rFonts w:ascii="Calibri" w:hAnsi="Calibri" w:eastAsia="Microsoft YaHei"/>
          <w:color w:val="596579"/>
          <w:sz w:val="17"/>
        </w:rPr>
        <w:t>来源：evidence-80 roadmap v3；增量仅在独立准入后计入。</w:t>
      </w:r>
    </w:p>
    <w:tbl>
      <w:tblPr>
        <w:tblW w:type="dxa" w:w="9360"/>
        <w:tblLayout w:type="fixed"/>
        <w:tblLook w:firstColumn="1" w:firstRow="1" w:lastColumn="0" w:lastRow="0" w:noHBand="0" w:noVBand="1" w:val="04A0"/>
        <w:jc w:val="left"/>
        <w:tblInd w:type="dxa" w:w="120"/>
        <w:tblCellMar>
          <w:top w:w="100" w:type="dxa"/>
          <w:bottom w:w="100" w:type="dxa"/>
          <w:start w:w="120" w:type="dxa"/>
          <w:end w:w="120" w:type="dxa"/>
        </w:tblCellMar>
      </w:tblPr>
      <w:tblGrid>
        <w:gridCol w:w="1950"/>
        <w:gridCol w:w="1100"/>
        <w:gridCol w:w="1100"/>
        <w:gridCol w:w="1300"/>
        <w:gridCol w:w="3910"/>
      </w:tblGrid>
      <w:tr>
        <w:trPr>
          <w:tblHeader w:val="true"/>
          <w:cantSplit/>
        </w:trPr>
        <w:tc>
          <w:tcPr>
            <w:tcW w:type="dxa" w:w="1950"/>
            <w:vAlign w:val="center"/>
            <w:tcBorders>
              <w:top w:val="single" w:sz="6" w:color="D8DEE8"/>
              <w:left w:val="single" w:sz="6" w:color="D8DEE8"/>
              <w:bottom w:val="single" w:sz="6" w:color="D8DEE8"/>
              <w:right w:val="single" w:sz="6" w:color="D8DEE8"/>
              <w:insideH w:val="single" w:sz="6" w:color="D8DEE8"/>
              <w:insideV w:val="single" w:sz="6" w:color="D8DEE8"/>
            </w:tcBorders>
            <w:shd w:fill="F2F4F7" w:val="clear"/>
          </w:tcPr>
          <w:p>
            <w:pPr>
              <w:pStyle w:val="TableText"/>
              <w:jc w:val="center"/>
            </w:pPr>
            <w:r/>
            <w:r>
              <w:rPr>
                <w:rFonts w:ascii="Calibri" w:hAnsi="Calibri" w:eastAsia="Microsoft YaHei"/>
                <w:b/>
                <w:color w:val="0B2545"/>
                <w:sz w:val="18"/>
              </w:rPr>
              <w:t>工作流</w:t>
            </w:r>
          </w:p>
        </w:tc>
        <w:tc>
          <w:tcPr>
            <w:tcW w:type="dxa" w:w="1100"/>
            <w:vAlign w:val="center"/>
            <w:tcBorders>
              <w:top w:val="single" w:sz="6" w:color="D8DEE8"/>
              <w:left w:val="single" w:sz="6" w:color="D8DEE8"/>
              <w:bottom w:val="single" w:sz="6" w:color="D8DEE8"/>
              <w:right w:val="single" w:sz="6" w:color="D8DEE8"/>
              <w:insideH w:val="single" w:sz="6" w:color="D8DEE8"/>
              <w:insideV w:val="single" w:sz="6" w:color="D8DEE8"/>
            </w:tcBorders>
            <w:shd w:fill="F2F4F7" w:val="clear"/>
          </w:tcPr>
          <w:p>
            <w:pPr>
              <w:pStyle w:val="TableText"/>
              <w:jc w:val="center"/>
            </w:pPr>
            <w:r/>
            <w:r>
              <w:rPr>
                <w:rFonts w:ascii="Calibri" w:hAnsi="Calibri" w:eastAsia="Microsoft YaHei"/>
                <w:b/>
                <w:color w:val="0B2545"/>
                <w:sz w:val="18"/>
              </w:rPr>
              <w:t>当前分</w:t>
            </w:r>
          </w:p>
        </w:tc>
        <w:tc>
          <w:tcPr>
            <w:tcW w:type="dxa" w:w="1100"/>
            <w:vAlign w:val="center"/>
            <w:tcBorders>
              <w:top w:val="single" w:sz="6" w:color="D8DEE8"/>
              <w:left w:val="single" w:sz="6" w:color="D8DEE8"/>
              <w:bottom w:val="single" w:sz="6" w:color="D8DEE8"/>
              <w:right w:val="single" w:sz="6" w:color="D8DEE8"/>
              <w:insideH w:val="single" w:sz="6" w:color="D8DEE8"/>
              <w:insideV w:val="single" w:sz="6" w:color="D8DEE8"/>
            </w:tcBorders>
            <w:shd w:fill="F2F4F7" w:val="clear"/>
          </w:tcPr>
          <w:p>
            <w:pPr>
              <w:pStyle w:val="TableText"/>
              <w:jc w:val="center"/>
            </w:pPr>
            <w:r/>
            <w:r>
              <w:rPr>
                <w:rFonts w:ascii="Calibri" w:hAnsi="Calibri" w:eastAsia="Microsoft YaHei"/>
                <w:b/>
                <w:color w:val="0B2545"/>
                <w:sz w:val="18"/>
              </w:rPr>
              <w:t>目标分</w:t>
            </w:r>
          </w:p>
        </w:tc>
        <w:tc>
          <w:tcPr>
            <w:tcW w:type="dxa" w:w="1300"/>
            <w:vAlign w:val="center"/>
            <w:tcBorders>
              <w:top w:val="single" w:sz="6" w:color="D8DEE8"/>
              <w:left w:val="single" w:sz="6" w:color="D8DEE8"/>
              <w:bottom w:val="single" w:sz="6" w:color="D8DEE8"/>
              <w:right w:val="single" w:sz="6" w:color="D8DEE8"/>
              <w:insideH w:val="single" w:sz="6" w:color="D8DEE8"/>
              <w:insideV w:val="single" w:sz="6" w:color="D8DEE8"/>
            </w:tcBorders>
            <w:shd w:fill="F2F4F7" w:val="clear"/>
          </w:tcPr>
          <w:p>
            <w:pPr>
              <w:pStyle w:val="TableText"/>
              <w:jc w:val="center"/>
            </w:pPr>
            <w:r/>
            <w:r>
              <w:rPr>
                <w:rFonts w:ascii="Calibri" w:hAnsi="Calibri" w:eastAsia="Microsoft YaHei"/>
                <w:b/>
                <w:color w:val="0B2545"/>
                <w:sz w:val="18"/>
              </w:rPr>
              <w:t>潜在增量</w:t>
            </w:r>
          </w:p>
        </w:tc>
        <w:tc>
          <w:tcPr>
            <w:tcW w:type="dxa" w:w="3910"/>
            <w:vAlign w:val="center"/>
            <w:tcBorders>
              <w:top w:val="single" w:sz="6" w:color="D8DEE8"/>
              <w:left w:val="single" w:sz="6" w:color="D8DEE8"/>
              <w:bottom w:val="single" w:sz="6" w:color="D8DEE8"/>
              <w:right w:val="single" w:sz="6" w:color="D8DEE8"/>
              <w:insideH w:val="single" w:sz="6" w:color="D8DEE8"/>
              <w:insideV w:val="single" w:sz="6" w:color="D8DEE8"/>
            </w:tcBorders>
            <w:shd w:fill="F2F4F7" w:val="clear"/>
          </w:tcPr>
          <w:p>
            <w:pPr>
              <w:pStyle w:val="TableText"/>
              <w:jc w:val="center"/>
            </w:pPr>
            <w:r/>
            <w:r>
              <w:rPr>
                <w:rFonts w:ascii="Calibri" w:hAnsi="Calibri" w:eastAsia="Microsoft YaHei"/>
                <w:b/>
                <w:color w:val="0B2545"/>
                <w:sz w:val="18"/>
              </w:rPr>
              <w:t>计分门</w:t>
            </w:r>
          </w:p>
        </w:tc>
      </w:tr>
      <w:tr>
        <w:trPr>
          <w:cantSplit/>
        </w:trPr>
        <w:tc>
          <w:tcPr>
            <w:tcW w:type="dxa" w:w="195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正式公共基准</w:t>
            </w:r>
          </w:p>
        </w:tc>
        <w:tc>
          <w:tcPr>
            <w:tcW w:type="dxa" w:w="11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10</w:t>
            </w:r>
          </w:p>
        </w:tc>
        <w:tc>
          <w:tcPr>
            <w:tcW w:type="dxa" w:w="11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100</w:t>
            </w:r>
          </w:p>
        </w:tc>
        <w:tc>
          <w:tcPr>
            <w:tcW w:type="dxa" w:w="13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+90</w:t>
            </w:r>
          </w:p>
        </w:tc>
        <w:tc>
          <w:tcPr>
            <w:tcW w:type="dxa" w:w="391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center"/>
            </w:pPr>
            <w:r/>
            <w:r>
              <w:rPr>
                <w:rFonts w:ascii="Calibri" w:hAnsi="Calibri" w:eastAsia="Microsoft YaHei"/>
                <w:b/>
                <w:color w:val="111827"/>
                <w:sz w:val="18"/>
              </w:rPr>
              <w:t>6,873 全终态 + 独立结果准入</w:t>
            </w:r>
          </w:p>
        </w:tc>
      </w:tr>
      <w:tr>
        <w:trPr>
          <w:cantSplit/>
        </w:trPr>
        <w:tc>
          <w:tcPr>
            <w:tcW w:type="dxa" w:w="195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自适应攻击</w:t>
            </w:r>
          </w:p>
        </w:tc>
        <w:tc>
          <w:tcPr>
            <w:tcW w:type="dxa" w:w="11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0</w:t>
            </w:r>
          </w:p>
        </w:tc>
        <w:tc>
          <w:tcPr>
            <w:tcW w:type="dxa" w:w="11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100</w:t>
            </w:r>
          </w:p>
        </w:tc>
        <w:tc>
          <w:tcPr>
            <w:tcW w:type="dxa" w:w="13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+100</w:t>
            </w:r>
          </w:p>
        </w:tc>
        <w:tc>
          <w:tcPr>
            <w:tcW w:type="dxa" w:w="391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center"/>
            </w:pPr>
            <w:r/>
            <w:r>
              <w:rPr>
                <w:rFonts w:ascii="Calibri" w:hAnsi="Calibri" w:eastAsia="Microsoft YaHei"/>
                <w:b/>
                <w:color w:val="111827"/>
                <w:sz w:val="18"/>
              </w:rPr>
              <w:t>40/20 + hardest-20 或预注册早停</w:t>
            </w:r>
          </w:p>
        </w:tc>
      </w:tr>
      <w:tr>
        <w:trPr>
          <w:cantSplit/>
        </w:trPr>
        <w:tc>
          <w:tcPr>
            <w:tcW w:type="dxa" w:w="195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论文正文/主表</w:t>
            </w:r>
          </w:p>
        </w:tc>
        <w:tc>
          <w:tcPr>
            <w:tcW w:type="dxa" w:w="11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45</w:t>
            </w:r>
          </w:p>
        </w:tc>
        <w:tc>
          <w:tcPr>
            <w:tcW w:type="dxa" w:w="11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70</w:t>
            </w:r>
          </w:p>
        </w:tc>
        <w:tc>
          <w:tcPr>
            <w:tcW w:type="dxa" w:w="13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+25</w:t>
            </w:r>
          </w:p>
        </w:tc>
        <w:tc>
          <w:tcPr>
            <w:tcW w:type="dxa" w:w="391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center"/>
            </w:pPr>
            <w:r/>
            <w:r>
              <w:rPr>
                <w:rFonts w:ascii="Calibri" w:hAnsi="Calibri" w:eastAsia="Microsoft YaHei"/>
                <w:b/>
                <w:color w:val="111827"/>
                <w:sz w:val="18"/>
              </w:rPr>
              <w:t>公共/自适应表和完整引用审计</w:t>
            </w:r>
          </w:p>
        </w:tc>
      </w:tr>
      <w:tr>
        <w:trPr>
          <w:cantSplit/>
        </w:trPr>
        <w:tc>
          <w:tcPr>
            <w:tcW w:type="dxa" w:w="195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其余九项</w:t>
            </w:r>
          </w:p>
        </w:tc>
        <w:tc>
          <w:tcPr>
            <w:tcW w:type="dxa" w:w="11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698</w:t>
            </w:r>
          </w:p>
        </w:tc>
        <w:tc>
          <w:tcPr>
            <w:tcW w:type="dxa" w:w="11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698</w:t>
            </w:r>
          </w:p>
        </w:tc>
        <w:tc>
          <w:tcPr>
            <w:tcW w:type="dxa" w:w="13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+0</w:t>
            </w:r>
          </w:p>
        </w:tc>
        <w:tc>
          <w:tcPr>
            <w:tcW w:type="dxa" w:w="391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center"/>
            </w:pPr>
            <w:r/>
            <w:r>
              <w:rPr>
                <w:rFonts w:ascii="Calibri" w:hAnsi="Calibri" w:eastAsia="Microsoft YaHei"/>
                <w:b/>
                <w:color w:val="111827"/>
                <w:sz w:val="18"/>
              </w:rPr>
              <w:t>保持已准入证据</w:t>
            </w:r>
          </w:p>
        </w:tc>
      </w:tr>
      <w:tr>
        <w:trPr>
          <w:cantSplit/>
        </w:trPr>
        <w:tc>
          <w:tcPr>
            <w:tcW w:type="dxa" w:w="195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合计</w:t>
            </w:r>
          </w:p>
        </w:tc>
        <w:tc>
          <w:tcPr>
            <w:tcW w:type="dxa" w:w="11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753</w:t>
            </w:r>
          </w:p>
        </w:tc>
        <w:tc>
          <w:tcPr>
            <w:tcW w:type="dxa" w:w="11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968</w:t>
            </w:r>
          </w:p>
        </w:tc>
        <w:tc>
          <w:tcPr>
            <w:tcW w:type="dxa" w:w="13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+215</w:t>
            </w:r>
          </w:p>
        </w:tc>
        <w:tc>
          <w:tcPr>
            <w:tcW w:type="dxa" w:w="391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center"/>
            </w:pPr>
            <w:r/>
            <w:r>
              <w:rPr>
                <w:rFonts w:ascii="Calibri" w:hAnsi="Calibri" w:eastAsia="Microsoft YaHei"/>
                <w:b/>
                <w:color w:val="111827"/>
                <w:sz w:val="18"/>
              </w:rPr>
              <w:t>968/1200 = 80.67%</w:t>
            </w:r>
          </w:p>
        </w:tc>
      </w:tr>
    </w:tbl>
    <w:p>
      <w:pPr>
        <w:spacing w:after="20"/>
      </w:pPr>
    </w:p>
    <w:p>
      <w:pPr>
        <w:pStyle w:val="Heading1"/>
      </w:pPr>
      <w:r>
        <w:t>15. 报告之后的实验执行方案</w:t>
      </w:r>
    </w:p>
    <w:p>
      <w:pPr>
        <w:pStyle w:val="ListNumber"/>
      </w:pPr>
      <w:r>
        <w:rPr>
          <w:rFonts w:ascii="Calibri" w:hAnsi="Calibri" w:eastAsia="Microsoft YaHei"/>
        </w:rPr>
        <w:t>为四个 primary continuation shard 分别生成 single-use admission，逐一验证 candidate、exact command、模型、预算、输出根和未存在状态；任何 admission 漂移都在读取凭据前拒绝。</w:t>
      </w:r>
    </w:p>
    <w:p>
      <w:pPr>
        <w:pStyle w:val="ListNumber"/>
      </w:pPr>
      <w:r>
        <w:rPr>
          <w:rFonts w:ascii="Calibri" w:hAnsi="Calibri" w:eastAsia="Microsoft YaHei"/>
        </w:rPr>
        <w:t>四片并行执行 5,058 条 primary 记录。每片独立 CNY 4.9 fuse，自动重试 0；首个 429、身份不符、开放 attempt 或 evidence-chain 异常由该片 fail closed，不影响其他片的账本完整性。</w:t>
      </w:r>
    </w:p>
    <w:p>
      <w:pPr>
        <w:pStyle w:val="ListNumber"/>
      </w:pPr>
      <w:r>
        <w:rPr>
          <w:rFonts w:ascii="Calibri" w:hAnsi="Calibri" w:eastAsia="Microsoft YaHei"/>
        </w:rPr>
        <w:t>四片自然结束后只做 outcome-blind technical merge：验证 24 条 canary + 5,058 continuation 正好覆盖 5,082 primary rows，没有重复、缺失、未知 key、开放 attempt 或未绑定 provider call。</w:t>
      </w:r>
    </w:p>
    <w:p>
      <w:pPr>
        <w:pStyle w:val="ListNumber"/>
      </w:pPr>
      <w:r>
        <w:rPr>
          <w:rFonts w:ascii="Calibri" w:hAnsi="Calibri" w:eastAsia="Microsoft YaHei"/>
        </w:rPr>
        <w:t>冻结并执行 second / deepseek-v4-flash 的 12 条 technical canary；通过后再执行 1,779 条 remaining second rows，并保持单独 CNY 5 角色上限。</w:t>
      </w:r>
    </w:p>
    <w:p>
      <w:pPr>
        <w:pStyle w:val="ListNumber"/>
      </w:pPr>
      <w:r>
        <w:rPr>
          <w:rFonts w:ascii="Calibri" w:hAnsi="Calibri" w:eastAsia="Microsoft YaHei"/>
        </w:rPr>
        <w:t>在 6,873 条全部终态后运行公共 result admission，再执行预注册统计；失败和 diagnostics 留在 ITT。只有这一阶段可以打开条件效果并更新论文得分。</w:t>
      </w:r>
    </w:p>
    <w:p>
      <w:pPr>
        <w:pStyle w:val="ListNumber"/>
      </w:pPr>
      <w:r>
        <w:rPr>
          <w:rFonts w:ascii="Calibri" w:hAnsi="Calibri" w:eastAsia="Microsoft YaHei"/>
        </w:rPr>
        <w:t>根据公共结果选择自适应攻击路径：先跑 8×50 成本 canary，技术门和成本投影通过后执行 primary 40 tasks（50/200/500），最难 20 tasks 追加 2,000；second 20 tasks 跑 50/200。</w:t>
      </w:r>
    </w:p>
    <w:p>
      <w:pPr>
        <w:pStyle w:val="ListNumber"/>
      </w:pPr>
      <w:r>
        <w:rPr>
          <w:rFonts w:ascii="Calibri" w:hAnsi="Calibri" w:eastAsia="Microsoft YaHei"/>
        </w:rPr>
        <w:t>最后回填论文主表、Results、Discussion、claim–evidence ledger、局限性与 JISA 格式；完成方法审查和 Devil’s Advocate 审查。</w:t>
      </w:r>
    </w:p>
    <w:p>
      <w:pPr>
        <w:pStyle w:val="Heading1"/>
      </w:pPr>
      <w:r>
        <w:t>16. 后续实验的时间、成本与停止条件</w:t>
      </w:r>
    </w:p>
    <w:tbl>
      <w:tblPr>
        <w:tblW w:type="dxa" w:w="9360"/>
        <w:tblLayout w:type="fixed"/>
        <w:tblLook w:firstColumn="1" w:firstRow="1" w:lastColumn="0" w:lastRow="0" w:noHBand="0" w:noVBand="1" w:val="04A0"/>
        <w:jc w:val="left"/>
        <w:tblInd w:type="dxa" w:w="120"/>
        <w:tblCellMar>
          <w:top w:w="100" w:type="dxa"/>
          <w:bottom w:w="100" w:type="dxa"/>
          <w:start w:w="120" w:type="dxa"/>
          <w:end w:w="120" w:type="dxa"/>
        </w:tblCellMar>
      </w:tblPr>
      <w:tblGrid>
        <w:gridCol w:w="1700"/>
        <w:gridCol w:w="1750"/>
        <w:gridCol w:w="2950"/>
        <w:gridCol w:w="2960"/>
      </w:tblGrid>
      <w:tr>
        <w:trPr>
          <w:tblHeader w:val="true"/>
          <w:cantSplit/>
        </w:trPr>
        <w:tc>
          <w:tcPr>
            <w:tcW w:type="dxa" w:w="1700"/>
            <w:vAlign w:val="center"/>
            <w:tcBorders>
              <w:top w:val="single" w:sz="6" w:color="D8DEE8"/>
              <w:left w:val="single" w:sz="6" w:color="D8DEE8"/>
              <w:bottom w:val="single" w:sz="6" w:color="D8DEE8"/>
              <w:right w:val="single" w:sz="6" w:color="D8DEE8"/>
              <w:insideH w:val="single" w:sz="6" w:color="D8DEE8"/>
              <w:insideV w:val="single" w:sz="6" w:color="D8DEE8"/>
            </w:tcBorders>
            <w:shd w:fill="F2F4F7" w:val="clear"/>
          </w:tcPr>
          <w:p>
            <w:pPr>
              <w:pStyle w:val="TableText"/>
              <w:jc w:val="center"/>
            </w:pPr>
            <w:r/>
            <w:r>
              <w:rPr>
                <w:rFonts w:ascii="Calibri" w:hAnsi="Calibri" w:eastAsia="Microsoft YaHei"/>
                <w:b/>
                <w:color w:val="0B2545"/>
                <w:sz w:val="18"/>
              </w:rPr>
              <w:t>阶段</w:t>
            </w:r>
          </w:p>
        </w:tc>
        <w:tc>
          <w:tcPr>
            <w:tcW w:type="dxa" w:w="1750"/>
            <w:vAlign w:val="center"/>
            <w:tcBorders>
              <w:top w:val="single" w:sz="6" w:color="D8DEE8"/>
              <w:left w:val="single" w:sz="6" w:color="D8DEE8"/>
              <w:bottom w:val="single" w:sz="6" w:color="D8DEE8"/>
              <w:right w:val="single" w:sz="6" w:color="D8DEE8"/>
              <w:insideH w:val="single" w:sz="6" w:color="D8DEE8"/>
              <w:insideV w:val="single" w:sz="6" w:color="D8DEE8"/>
            </w:tcBorders>
            <w:shd w:fill="F2F4F7" w:val="clear"/>
          </w:tcPr>
          <w:p>
            <w:pPr>
              <w:pStyle w:val="TableText"/>
              <w:jc w:val="center"/>
            </w:pPr>
            <w:r/>
            <w:r>
              <w:rPr>
                <w:rFonts w:ascii="Calibri" w:hAnsi="Calibri" w:eastAsia="Microsoft YaHei"/>
                <w:b/>
                <w:color w:val="0B2545"/>
                <w:sz w:val="18"/>
              </w:rPr>
              <w:t>预计墙钟时间</w:t>
            </w:r>
          </w:p>
        </w:tc>
        <w:tc>
          <w:tcPr>
            <w:tcW w:type="dxa" w:w="2950"/>
            <w:vAlign w:val="center"/>
            <w:tcBorders>
              <w:top w:val="single" w:sz="6" w:color="D8DEE8"/>
              <w:left w:val="single" w:sz="6" w:color="D8DEE8"/>
              <w:bottom w:val="single" w:sz="6" w:color="D8DEE8"/>
              <w:right w:val="single" w:sz="6" w:color="D8DEE8"/>
              <w:insideH w:val="single" w:sz="6" w:color="D8DEE8"/>
              <w:insideV w:val="single" w:sz="6" w:color="D8DEE8"/>
            </w:tcBorders>
            <w:shd w:fill="F2F4F7" w:val="clear"/>
          </w:tcPr>
          <w:p>
            <w:pPr>
              <w:pStyle w:val="TableText"/>
              <w:jc w:val="center"/>
            </w:pPr>
            <w:r/>
            <w:r>
              <w:rPr>
                <w:rFonts w:ascii="Calibri" w:hAnsi="Calibri" w:eastAsia="Microsoft YaHei"/>
                <w:b/>
                <w:color w:val="0B2545"/>
                <w:sz w:val="18"/>
              </w:rPr>
              <w:t>主要成本边界</w:t>
            </w:r>
          </w:p>
        </w:tc>
        <w:tc>
          <w:tcPr>
            <w:tcW w:type="dxa" w:w="2960"/>
            <w:vAlign w:val="center"/>
            <w:tcBorders>
              <w:top w:val="single" w:sz="6" w:color="D8DEE8"/>
              <w:left w:val="single" w:sz="6" w:color="D8DEE8"/>
              <w:bottom w:val="single" w:sz="6" w:color="D8DEE8"/>
              <w:right w:val="single" w:sz="6" w:color="D8DEE8"/>
              <w:insideH w:val="single" w:sz="6" w:color="D8DEE8"/>
              <w:insideV w:val="single" w:sz="6" w:color="D8DEE8"/>
            </w:tcBorders>
            <w:shd w:fill="F2F4F7" w:val="clear"/>
          </w:tcPr>
          <w:p>
            <w:pPr>
              <w:pStyle w:val="TableText"/>
              <w:jc w:val="center"/>
            </w:pPr>
            <w:r/>
            <w:r>
              <w:rPr>
                <w:rFonts w:ascii="Calibri" w:hAnsi="Calibri" w:eastAsia="Microsoft YaHei"/>
                <w:b/>
                <w:color w:val="0B2545"/>
                <w:sz w:val="18"/>
              </w:rPr>
              <w:t>停止/转向条件</w:t>
            </w:r>
          </w:p>
        </w:tc>
      </w:tr>
      <w:tr>
        <w:trPr>
          <w:cantSplit/>
        </w:trPr>
        <w:tc>
          <w:tcPr>
            <w:tcW w:type="dxa" w:w="17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Primary 四分片</w:t>
            </w:r>
          </w:p>
        </w:tc>
        <w:tc>
          <w:tcPr>
            <w:tcW w:type="dxa" w:w="175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4–6 小时</w:t>
            </w:r>
          </w:p>
        </w:tc>
        <w:tc>
          <w:tcPr>
            <w:tcW w:type="dxa" w:w="295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≤¥19.6 continuation；加 canary 仍在 primary ¥20 内</w:t>
            </w:r>
          </w:p>
        </w:tc>
        <w:tc>
          <w:tcPr>
            <w:tcW w:type="dxa" w:w="296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首个 429/身份/链异常：该片停止，不自动重试</w:t>
            </w:r>
          </w:p>
        </w:tc>
      </w:tr>
      <w:tr>
        <w:trPr>
          <w:cantSplit/>
        </w:trPr>
        <w:tc>
          <w:tcPr>
            <w:tcW w:type="dxa" w:w="17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Second 矩阵</w:t>
            </w:r>
          </w:p>
        </w:tc>
        <w:tc>
          <w:tcPr>
            <w:tcW w:type="dxa" w:w="175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2–4 小时</w:t>
            </w:r>
          </w:p>
        </w:tc>
        <w:tc>
          <w:tcPr>
            <w:tcW w:type="dxa" w:w="295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≤¥5</w:t>
            </w:r>
          </w:p>
        </w:tc>
        <w:tc>
          <w:tcPr>
            <w:tcW w:type="dxa" w:w="296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Flash 身份或效用异常则收缩为 cross-model 限定</w:t>
            </w:r>
          </w:p>
        </w:tc>
      </w:tr>
      <w:tr>
        <w:trPr>
          <w:cantSplit/>
        </w:trPr>
        <w:tc>
          <w:tcPr>
            <w:tcW w:type="dxa" w:w="17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Public merge + 统计</w:t>
            </w:r>
          </w:p>
        </w:tc>
        <w:tc>
          <w:tcPr>
            <w:tcW w:type="dxa" w:w="175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1–3 小时</w:t>
            </w:r>
          </w:p>
        </w:tc>
        <w:tc>
          <w:tcPr>
            <w:tcW w:type="dxa" w:w="295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本地计算</w:t>
            </w:r>
          </w:p>
        </w:tc>
        <w:tc>
          <w:tcPr>
            <w:tcW w:type="dxa" w:w="296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不完整覆盖或开放 attempt：不准入</w:t>
            </w:r>
          </w:p>
        </w:tc>
      </w:tr>
      <w:tr>
        <w:trPr>
          <w:cantSplit/>
        </w:trPr>
        <w:tc>
          <w:tcPr>
            <w:tcW w:type="dxa" w:w="17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Adaptive</w:t>
            </w:r>
          </w:p>
        </w:tc>
        <w:tc>
          <w:tcPr>
            <w:tcW w:type="dxa" w:w="175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12–24 小时，最坏可跨数日</w:t>
            </w:r>
          </w:p>
        </w:tc>
        <w:tc>
          <w:tcPr>
            <w:tcW w:type="dxa" w:w="295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先 ¥5 cost canary；正式预算按新 gate</w:t>
            </w:r>
          </w:p>
        </w:tc>
        <w:tc>
          <w:tcPr>
            <w:tcW w:type="dxa" w:w="296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成本投影超限、攻击未收敛或证据链异常</w:t>
            </w:r>
          </w:p>
        </w:tc>
      </w:tr>
      <w:tr>
        <w:trPr>
          <w:cantSplit/>
        </w:trPr>
        <w:tc>
          <w:tcPr>
            <w:tcW w:type="dxa" w:w="17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论文回填与完整性审查</w:t>
            </w:r>
          </w:p>
        </w:tc>
        <w:tc>
          <w:tcPr>
            <w:tcW w:type="dxa" w:w="175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4–8 小时</w:t>
            </w:r>
          </w:p>
        </w:tc>
        <w:tc>
          <w:tcPr>
            <w:tcW w:type="dxa" w:w="295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本地计算</w:t>
            </w:r>
          </w:p>
        </w:tc>
        <w:tc>
          <w:tcPr>
            <w:tcW w:type="dxa" w:w="296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发现 claim 无证据即删除或降级</w:t>
            </w:r>
          </w:p>
        </w:tc>
      </w:tr>
      <w:tr>
        <w:trPr>
          <w:cantSplit/>
        </w:trPr>
        <w:tc>
          <w:tcPr>
            <w:tcW w:type="dxa" w:w="17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达到 ≥80% 的总估计</w:t>
            </w:r>
          </w:p>
        </w:tc>
        <w:tc>
          <w:tcPr>
            <w:tcW w:type="dxa" w:w="175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1–3 天</w:t>
            </w:r>
          </w:p>
        </w:tc>
        <w:tc>
          <w:tcPr>
            <w:tcW w:type="dxa" w:w="295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取决于 API 稳定和自适应早停</w:t>
            </w:r>
          </w:p>
        </w:tc>
        <w:tc>
          <w:tcPr>
            <w:tcW w:type="dxa" w:w="296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不是承诺；任何门失败都保持真实分数</w:t>
            </w:r>
          </w:p>
        </w:tc>
      </w:tr>
    </w:tbl>
    <w:p>
      <w:pPr>
        <w:spacing w:after="20"/>
      </w:pPr>
    </w:p>
    <w:p>
      <w:pPr>
        <w:pStyle w:val="Heading1"/>
      </w:pPr>
      <w:r>
        <w:t>17. 统计分析与主表计划</w:t>
      </w:r>
    </w:p>
    <w:tbl>
      <w:tblPr>
        <w:tblW w:type="dxa" w:w="9360"/>
        <w:tblLayout w:type="fixed"/>
        <w:tblLook w:firstColumn="1" w:firstRow="1" w:lastColumn="0" w:lastRow="0" w:noHBand="0" w:noVBand="1" w:val="04A0"/>
        <w:jc w:val="left"/>
        <w:tblInd w:type="dxa" w:w="120"/>
        <w:tblCellMar>
          <w:top w:w="100" w:type="dxa"/>
          <w:bottom w:w="100" w:type="dxa"/>
          <w:start w:w="120" w:type="dxa"/>
          <w:end w:w="120" w:type="dxa"/>
        </w:tblCellMar>
      </w:tblPr>
      <w:tblGrid>
        <w:gridCol w:w="1600"/>
        <w:gridCol w:w="2400"/>
        <w:gridCol w:w="2950"/>
        <w:gridCol w:w="2410"/>
      </w:tblGrid>
      <w:tr>
        <w:trPr>
          <w:tblHeader w:val="true"/>
          <w:cantSplit/>
        </w:trPr>
        <w:tc>
          <w:tcPr>
            <w:tcW w:type="dxa" w:w="1600"/>
            <w:vAlign w:val="center"/>
            <w:tcBorders>
              <w:top w:val="single" w:sz="6" w:color="D8DEE8"/>
              <w:left w:val="single" w:sz="6" w:color="D8DEE8"/>
              <w:bottom w:val="single" w:sz="6" w:color="D8DEE8"/>
              <w:right w:val="single" w:sz="6" w:color="D8DEE8"/>
              <w:insideH w:val="single" w:sz="6" w:color="D8DEE8"/>
              <w:insideV w:val="single" w:sz="6" w:color="D8DEE8"/>
            </w:tcBorders>
            <w:shd w:fill="F2F4F7" w:val="clear"/>
          </w:tcPr>
          <w:p>
            <w:pPr>
              <w:pStyle w:val="TableText"/>
              <w:jc w:val="center"/>
            </w:pPr>
            <w:r/>
            <w:r>
              <w:rPr>
                <w:rFonts w:ascii="Calibri" w:hAnsi="Calibri" w:eastAsia="Microsoft YaHei"/>
                <w:b/>
                <w:color w:val="0B2545"/>
                <w:sz w:val="18"/>
              </w:rPr>
              <w:t>层级</w:t>
            </w:r>
          </w:p>
        </w:tc>
        <w:tc>
          <w:tcPr>
            <w:tcW w:type="dxa" w:w="2400"/>
            <w:vAlign w:val="center"/>
            <w:tcBorders>
              <w:top w:val="single" w:sz="6" w:color="D8DEE8"/>
              <w:left w:val="single" w:sz="6" w:color="D8DEE8"/>
              <w:bottom w:val="single" w:sz="6" w:color="D8DEE8"/>
              <w:right w:val="single" w:sz="6" w:color="D8DEE8"/>
              <w:insideH w:val="single" w:sz="6" w:color="D8DEE8"/>
              <w:insideV w:val="single" w:sz="6" w:color="D8DEE8"/>
            </w:tcBorders>
            <w:shd w:fill="F2F4F7" w:val="clear"/>
          </w:tcPr>
          <w:p>
            <w:pPr>
              <w:pStyle w:val="TableText"/>
              <w:jc w:val="center"/>
            </w:pPr>
            <w:r/>
            <w:r>
              <w:rPr>
                <w:rFonts w:ascii="Calibri" w:hAnsi="Calibri" w:eastAsia="Microsoft YaHei"/>
                <w:b/>
                <w:color w:val="0B2545"/>
                <w:sz w:val="18"/>
              </w:rPr>
              <w:t>终点/方法</w:t>
            </w:r>
          </w:p>
        </w:tc>
        <w:tc>
          <w:tcPr>
            <w:tcW w:type="dxa" w:w="2950"/>
            <w:vAlign w:val="center"/>
            <w:tcBorders>
              <w:top w:val="single" w:sz="6" w:color="D8DEE8"/>
              <w:left w:val="single" w:sz="6" w:color="D8DEE8"/>
              <w:bottom w:val="single" w:sz="6" w:color="D8DEE8"/>
              <w:right w:val="single" w:sz="6" w:color="D8DEE8"/>
              <w:insideH w:val="single" w:sz="6" w:color="D8DEE8"/>
              <w:insideV w:val="single" w:sz="6" w:color="D8DEE8"/>
            </w:tcBorders>
            <w:shd w:fill="F2F4F7" w:val="clear"/>
          </w:tcPr>
          <w:p>
            <w:pPr>
              <w:pStyle w:val="TableText"/>
              <w:jc w:val="center"/>
            </w:pPr>
            <w:r/>
            <w:r>
              <w:rPr>
                <w:rFonts w:ascii="Calibri" w:hAnsi="Calibri" w:eastAsia="Microsoft YaHei"/>
                <w:b/>
                <w:color w:val="0B2545"/>
                <w:sz w:val="18"/>
              </w:rPr>
              <w:t>必须报告</w:t>
            </w:r>
          </w:p>
        </w:tc>
        <w:tc>
          <w:tcPr>
            <w:tcW w:type="dxa" w:w="2410"/>
            <w:vAlign w:val="center"/>
            <w:tcBorders>
              <w:top w:val="single" w:sz="6" w:color="D8DEE8"/>
              <w:left w:val="single" w:sz="6" w:color="D8DEE8"/>
              <w:bottom w:val="single" w:sz="6" w:color="D8DEE8"/>
              <w:right w:val="single" w:sz="6" w:color="D8DEE8"/>
              <w:insideH w:val="single" w:sz="6" w:color="D8DEE8"/>
              <w:insideV w:val="single" w:sz="6" w:color="D8DEE8"/>
            </w:tcBorders>
            <w:shd w:fill="F2F4F7" w:val="clear"/>
          </w:tcPr>
          <w:p>
            <w:pPr>
              <w:pStyle w:val="TableText"/>
              <w:jc w:val="center"/>
            </w:pPr>
            <w:r/>
            <w:r>
              <w:rPr>
                <w:rFonts w:ascii="Calibri" w:hAnsi="Calibri" w:eastAsia="Microsoft YaHei"/>
                <w:b/>
                <w:color w:val="0B2545"/>
                <w:sz w:val="18"/>
              </w:rPr>
              <w:t>禁止做法</w:t>
            </w:r>
          </w:p>
        </w:tc>
      </w:tr>
      <w:tr>
        <w:trPr>
          <w:cantSplit/>
        </w:trPr>
        <w:tc>
          <w:tcPr>
            <w:tcW w:type="dxa" w:w="16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主要安全终点</w:t>
            </w:r>
          </w:p>
        </w:tc>
        <w:tc>
          <w:tcPr>
            <w:tcW w:type="dxa" w:w="24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unsafe-effect rate；配对差</w:t>
            </w:r>
          </w:p>
        </w:tc>
        <w:tc>
          <w:tcPr>
            <w:tcW w:type="dxa" w:w="295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分子/分母、绝对差、相对差、Wilson CI</w:t>
            </w:r>
          </w:p>
        </w:tc>
        <w:tc>
          <w:tcPr>
            <w:tcW w:type="dxa" w:w="241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只报检测 recall 或挑选成功子集</w:t>
            </w:r>
          </w:p>
        </w:tc>
      </w:tr>
      <w:tr>
        <w:trPr>
          <w:cantSplit/>
        </w:trPr>
        <w:tc>
          <w:tcPr>
            <w:tcW w:type="dxa" w:w="16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主要效用终点</w:t>
            </w:r>
          </w:p>
        </w:tc>
        <w:tc>
          <w:tcPr>
            <w:tcW w:type="dxa" w:w="24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benign-tool TCR；−5pp 非劣</w:t>
            </w:r>
          </w:p>
        </w:tc>
        <w:tc>
          <w:tcPr>
            <w:tcW w:type="dxa" w:w="295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配对差、CI、是否跨非劣界限</w:t>
            </w:r>
          </w:p>
        </w:tc>
        <w:tc>
          <w:tcPr>
            <w:tcW w:type="dxa" w:w="241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把 deny-all 当成安全成功</w:t>
            </w:r>
          </w:p>
        </w:tc>
      </w:tr>
      <w:tr>
        <w:trPr>
          <w:cantSplit/>
        </w:trPr>
        <w:tc>
          <w:tcPr>
            <w:tcW w:type="dxa" w:w="16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模块贡献</w:t>
            </w:r>
          </w:p>
        </w:tc>
        <w:tc>
          <w:tcPr>
            <w:tcW w:type="dxa" w:w="24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M3-full vs policy-only</w:t>
            </w:r>
          </w:p>
        </w:tc>
        <w:tc>
          <w:tcPr>
            <w:tcW w:type="dxa" w:w="295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安全与效用两侧同时报告</w:t>
            </w:r>
          </w:p>
        </w:tc>
        <w:tc>
          <w:tcPr>
            <w:tcW w:type="dxa" w:w="241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只比较 full 与弱基线</w:t>
            </w:r>
          </w:p>
        </w:tc>
      </w:tr>
      <w:tr>
        <w:trPr>
          <w:cantSplit/>
        </w:trPr>
        <w:tc>
          <w:tcPr>
            <w:tcW w:type="dxa" w:w="16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显著性</w:t>
            </w:r>
          </w:p>
        </w:tc>
        <w:tc>
          <w:tcPr>
            <w:tcW w:type="dxa" w:w="24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exact McNemar + Holm</w:t>
            </w:r>
          </w:p>
        </w:tc>
        <w:tc>
          <w:tcPr>
            <w:tcW w:type="dxa" w:w="295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原始和校正 p 值、discordant pairs</w:t>
            </w:r>
          </w:p>
        </w:tc>
        <w:tc>
          <w:tcPr>
            <w:tcW w:type="dxa" w:w="241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以 p&lt;0.05 替代效应量</w:t>
            </w:r>
          </w:p>
        </w:tc>
      </w:tr>
      <w:tr>
        <w:trPr>
          <w:cantSplit/>
        </w:trPr>
        <w:tc>
          <w:tcPr>
            <w:tcW w:type="dxa" w:w="16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不确定性</w:t>
            </w:r>
          </w:p>
        </w:tc>
        <w:tc>
          <w:tcPr>
            <w:tcW w:type="dxa" w:w="24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10,000 次 cluster bootstrap</w:t>
            </w:r>
          </w:p>
        </w:tc>
        <w:tc>
          <w:tcPr>
            <w:tcW w:type="dxa" w:w="295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cluster 单位、seed、CI</w:t>
            </w:r>
          </w:p>
        </w:tc>
        <w:tc>
          <w:tcPr>
            <w:tcW w:type="dxa" w:w="241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忽略同一 case 的条件相关性</w:t>
            </w:r>
          </w:p>
        </w:tc>
      </w:tr>
      <w:tr>
        <w:trPr>
          <w:cantSplit/>
        </w:trPr>
        <w:tc>
          <w:tcPr>
            <w:tcW w:type="dxa" w:w="16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异质性</w:t>
            </w:r>
          </w:p>
        </w:tc>
        <w:tc>
          <w:tcPr>
            <w:tcW w:type="dxa" w:w="24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benchmark/regime/attack/language/model</w:t>
            </w:r>
          </w:p>
        </w:tc>
        <w:tc>
          <w:tcPr>
            <w:tcW w:type="dxa" w:w="295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预注册分层与交互方向</w:t>
            </w:r>
          </w:p>
        </w:tc>
        <w:tc>
          <w:tcPr>
            <w:tcW w:type="dxa" w:w="241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结果后新增无约束子组</w:t>
            </w:r>
          </w:p>
        </w:tc>
      </w:tr>
      <w:tr>
        <w:trPr>
          <w:cantSplit/>
        </w:trPr>
        <w:tc>
          <w:tcPr>
            <w:tcW w:type="dxa" w:w="16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运行失败</w:t>
            </w:r>
          </w:p>
        </w:tc>
        <w:tc>
          <w:tcPr>
            <w:tcW w:type="dxa" w:w="24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intention-to-treat</w:t>
            </w:r>
          </w:p>
        </w:tc>
        <w:tc>
          <w:tcPr>
            <w:tcW w:type="dxa" w:w="295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超时、解析、provider failure 全保留</w:t>
            </w:r>
          </w:p>
        </w:tc>
        <w:tc>
          <w:tcPr>
            <w:tcW w:type="dxa" w:w="241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删除失败或重新运行挑最好</w:t>
            </w:r>
          </w:p>
        </w:tc>
      </w:tr>
    </w:tbl>
    <w:p>
      <w:pPr>
        <w:spacing w:after="20"/>
      </w:pPr>
    </w:p>
    <w:p>
      <w:pPr>
        <w:pStyle w:val="Heading1"/>
      </w:pPr>
      <w:r>
        <w:t>18. 主要风险、缓解措施与需要外部协作的事项</w:t>
      </w:r>
    </w:p>
    <w:tbl>
      <w:tblPr>
        <w:tblW w:type="dxa" w:w="9360"/>
        <w:tblLayout w:type="fixed"/>
        <w:tblLook w:firstColumn="1" w:firstRow="1" w:lastColumn="0" w:lastRow="0" w:noHBand="0" w:noVBand="1" w:val="04A0"/>
        <w:jc w:val="left"/>
        <w:tblInd w:type="dxa" w:w="120"/>
        <w:tblCellMar>
          <w:top w:w="100" w:type="dxa"/>
          <w:bottom w:w="100" w:type="dxa"/>
          <w:start w:w="120" w:type="dxa"/>
          <w:end w:w="120" w:type="dxa"/>
        </w:tblCellMar>
      </w:tblPr>
      <w:tblGrid>
        <w:gridCol w:w="2130"/>
        <w:gridCol w:w="1300"/>
        <w:gridCol w:w="3220"/>
        <w:gridCol w:w="2710"/>
      </w:tblGrid>
      <w:tr>
        <w:trPr>
          <w:tblHeader w:val="true"/>
          <w:cantSplit/>
        </w:trPr>
        <w:tc>
          <w:tcPr>
            <w:tcW w:type="dxa" w:w="2130"/>
            <w:vAlign w:val="center"/>
            <w:tcBorders>
              <w:top w:val="single" w:sz="6" w:color="D8DEE8"/>
              <w:left w:val="single" w:sz="6" w:color="D8DEE8"/>
              <w:bottom w:val="single" w:sz="6" w:color="D8DEE8"/>
              <w:right w:val="single" w:sz="6" w:color="D8DEE8"/>
              <w:insideH w:val="single" w:sz="6" w:color="D8DEE8"/>
              <w:insideV w:val="single" w:sz="6" w:color="D8DEE8"/>
            </w:tcBorders>
            <w:shd w:fill="F2F4F7" w:val="clear"/>
          </w:tcPr>
          <w:p>
            <w:pPr>
              <w:pStyle w:val="TableText"/>
              <w:jc w:val="center"/>
            </w:pPr>
            <w:r/>
            <w:r>
              <w:rPr>
                <w:rFonts w:ascii="Calibri" w:hAnsi="Calibri" w:eastAsia="Microsoft YaHei"/>
                <w:b/>
                <w:color w:val="0B2545"/>
                <w:sz w:val="18"/>
              </w:rPr>
              <w:t>风险</w:t>
            </w:r>
          </w:p>
        </w:tc>
        <w:tc>
          <w:tcPr>
            <w:tcW w:type="dxa" w:w="1300"/>
            <w:vAlign w:val="center"/>
            <w:tcBorders>
              <w:top w:val="single" w:sz="6" w:color="D8DEE8"/>
              <w:left w:val="single" w:sz="6" w:color="D8DEE8"/>
              <w:bottom w:val="single" w:sz="6" w:color="D8DEE8"/>
              <w:right w:val="single" w:sz="6" w:color="D8DEE8"/>
              <w:insideH w:val="single" w:sz="6" w:color="D8DEE8"/>
              <w:insideV w:val="single" w:sz="6" w:color="D8DEE8"/>
            </w:tcBorders>
            <w:shd w:fill="F2F4F7" w:val="clear"/>
          </w:tcPr>
          <w:p>
            <w:pPr>
              <w:pStyle w:val="TableText"/>
              <w:jc w:val="center"/>
            </w:pPr>
            <w:r/>
            <w:r>
              <w:rPr>
                <w:rFonts w:ascii="Calibri" w:hAnsi="Calibri" w:eastAsia="Microsoft YaHei"/>
                <w:b/>
                <w:color w:val="0B2545"/>
                <w:sz w:val="18"/>
              </w:rPr>
              <w:t>概率/影响</w:t>
            </w:r>
          </w:p>
        </w:tc>
        <w:tc>
          <w:tcPr>
            <w:tcW w:type="dxa" w:w="3220"/>
            <w:vAlign w:val="center"/>
            <w:tcBorders>
              <w:top w:val="single" w:sz="6" w:color="D8DEE8"/>
              <w:left w:val="single" w:sz="6" w:color="D8DEE8"/>
              <w:bottom w:val="single" w:sz="6" w:color="D8DEE8"/>
              <w:right w:val="single" w:sz="6" w:color="D8DEE8"/>
              <w:insideH w:val="single" w:sz="6" w:color="D8DEE8"/>
              <w:insideV w:val="single" w:sz="6" w:color="D8DEE8"/>
            </w:tcBorders>
            <w:shd w:fill="F2F4F7" w:val="clear"/>
          </w:tcPr>
          <w:p>
            <w:pPr>
              <w:pStyle w:val="TableText"/>
              <w:jc w:val="center"/>
            </w:pPr>
            <w:r/>
            <w:r>
              <w:rPr>
                <w:rFonts w:ascii="Calibri" w:hAnsi="Calibri" w:eastAsia="Microsoft YaHei"/>
                <w:b/>
                <w:color w:val="0B2545"/>
                <w:sz w:val="18"/>
              </w:rPr>
              <w:t>当前缓解</w:t>
            </w:r>
          </w:p>
        </w:tc>
        <w:tc>
          <w:tcPr>
            <w:tcW w:type="dxa" w:w="2710"/>
            <w:vAlign w:val="center"/>
            <w:tcBorders>
              <w:top w:val="single" w:sz="6" w:color="D8DEE8"/>
              <w:left w:val="single" w:sz="6" w:color="D8DEE8"/>
              <w:bottom w:val="single" w:sz="6" w:color="D8DEE8"/>
              <w:right w:val="single" w:sz="6" w:color="D8DEE8"/>
              <w:insideH w:val="single" w:sz="6" w:color="D8DEE8"/>
              <w:insideV w:val="single" w:sz="6" w:color="D8DEE8"/>
            </w:tcBorders>
            <w:shd w:fill="F2F4F7" w:val="clear"/>
          </w:tcPr>
          <w:p>
            <w:pPr>
              <w:pStyle w:val="TableText"/>
              <w:jc w:val="center"/>
            </w:pPr>
            <w:r/>
            <w:r>
              <w:rPr>
                <w:rFonts w:ascii="Calibri" w:hAnsi="Calibri" w:eastAsia="Microsoft YaHei"/>
                <w:b/>
                <w:color w:val="0B2545"/>
                <w:sz w:val="18"/>
              </w:rPr>
              <w:t>需要的决定</w:t>
            </w:r>
          </w:p>
        </w:tc>
      </w:tr>
      <w:tr>
        <w:trPr>
          <w:cantSplit/>
        </w:trPr>
        <w:tc>
          <w:tcPr>
            <w:tcW w:type="dxa" w:w="213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Public-v4 长跑出现 429 或开放 attempt</w:t>
            </w:r>
          </w:p>
        </w:tc>
        <w:tc>
          <w:tcPr>
            <w:tcW w:type="dxa" w:w="13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center"/>
            </w:pPr>
            <w:r/>
            <w:r>
              <w:rPr>
                <w:rFonts w:ascii="Calibri" w:hAnsi="Calibri" w:eastAsia="Microsoft YaHei"/>
                <w:b/>
                <w:color w:val="111827"/>
                <w:sz w:val="18"/>
              </w:rPr>
              <w:t>中 / 高</w:t>
            </w:r>
          </w:p>
        </w:tc>
        <w:tc>
          <w:tcPr>
            <w:tcW w:type="dxa" w:w="322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四片隔离、零重试、append-only、结果门 fail closed</w:t>
            </w:r>
          </w:p>
        </w:tc>
        <w:tc>
          <w:tcPr>
            <w:tcW w:type="dxa" w:w="271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按新身份重建未启动 remainder，不修补旧片</w:t>
            </w:r>
          </w:p>
        </w:tc>
      </w:tr>
      <w:tr>
        <w:trPr>
          <w:cantSplit/>
        </w:trPr>
        <w:tc>
          <w:tcPr>
            <w:tcW w:type="dxa" w:w="213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公共结果仍显示效用严重下降</w:t>
            </w:r>
          </w:p>
        </w:tc>
        <w:tc>
          <w:tcPr>
            <w:tcW w:type="dxa" w:w="13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center"/>
            </w:pPr>
            <w:r/>
            <w:r>
              <w:rPr>
                <w:rFonts w:ascii="Calibri" w:hAnsi="Calibri" w:eastAsia="Microsoft YaHei"/>
                <w:b/>
                <w:color w:val="111827"/>
                <w:sz w:val="18"/>
              </w:rPr>
              <w:t>中 / 高</w:t>
            </w:r>
          </w:p>
        </w:tc>
        <w:tc>
          <w:tcPr>
            <w:tcW w:type="dxa" w:w="322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实证 fallback 已锁定，不强行恢复机制论文</w:t>
            </w:r>
          </w:p>
        </w:tc>
        <w:tc>
          <w:tcPr>
            <w:tcW w:type="dxa" w:w="271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把过度阻断作为核心负面发现</w:t>
            </w:r>
          </w:p>
        </w:tc>
      </w:tr>
      <w:tr>
        <w:trPr>
          <w:cantSplit/>
        </w:trPr>
        <w:tc>
          <w:tcPr>
            <w:tcW w:type="dxa" w:w="213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full 与 policy-only 继续无差异</w:t>
            </w:r>
          </w:p>
        </w:tc>
        <w:tc>
          <w:tcPr>
            <w:tcW w:type="dxa" w:w="13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center"/>
            </w:pPr>
            <w:r/>
            <w:r>
              <w:rPr>
                <w:rFonts w:ascii="Calibri" w:hAnsi="Calibri" w:eastAsia="Microsoft YaHei"/>
                <w:b/>
                <w:color w:val="111827"/>
                <w:sz w:val="18"/>
              </w:rPr>
              <w:t>中 / 高</w:t>
            </w:r>
          </w:p>
        </w:tc>
        <w:tc>
          <w:tcPr>
            <w:tcW w:type="dxa" w:w="322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保留 provenance/ASK 消融</w:t>
            </w:r>
          </w:p>
        </w:tc>
        <w:tc>
          <w:tcPr>
            <w:tcW w:type="dxa" w:w="271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机制只作为测量工具，不主张领先</w:t>
            </w:r>
          </w:p>
        </w:tc>
      </w:tr>
      <w:tr>
        <w:trPr>
          <w:cantSplit/>
        </w:trPr>
        <w:tc>
          <w:tcPr>
            <w:tcW w:type="dxa" w:w="213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Gemini 正式链不完整</w:t>
            </w:r>
          </w:p>
        </w:tc>
        <w:tc>
          <w:tcPr>
            <w:tcW w:type="dxa" w:w="13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center"/>
            </w:pPr>
            <w:r/>
            <w:r>
              <w:rPr>
                <w:rFonts w:ascii="Calibri" w:hAnsi="Calibri" w:eastAsia="Microsoft YaHei"/>
                <w:b/>
                <w:color w:val="111827"/>
                <w:sz w:val="18"/>
              </w:rPr>
              <w:t>高 / 中</w:t>
            </w:r>
          </w:p>
        </w:tc>
        <w:tc>
          <w:tcPr>
            <w:tcW w:type="dxa" w:w="322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DeepSeek Pro/Flash 支持 cross-model</w:t>
            </w:r>
          </w:p>
        </w:tc>
        <w:tc>
          <w:tcPr>
            <w:tcW w:type="dxa" w:w="271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跨提供商结论降级为 future work</w:t>
            </w:r>
          </w:p>
        </w:tc>
      </w:tr>
      <w:tr>
        <w:trPr>
          <w:cantSplit/>
        </w:trPr>
        <w:tc>
          <w:tcPr>
            <w:tcW w:type="dxa" w:w="213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独立盲测保管人缺失</w:t>
            </w:r>
          </w:p>
        </w:tc>
        <w:tc>
          <w:tcPr>
            <w:tcW w:type="dxa" w:w="13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center"/>
            </w:pPr>
            <w:r/>
            <w:r>
              <w:rPr>
                <w:rFonts w:ascii="Calibri" w:hAnsi="Calibri" w:eastAsia="Microsoft YaHei"/>
                <w:b/>
                <w:color w:val="111827"/>
                <w:sz w:val="18"/>
              </w:rPr>
              <w:t>高 / 中</w:t>
            </w:r>
          </w:p>
        </w:tc>
        <w:tc>
          <w:tcPr>
            <w:tcW w:type="dxa" w:w="322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内部封存测试不冒充 independent blind</w:t>
            </w:r>
          </w:p>
        </w:tc>
        <w:tc>
          <w:tcPr>
            <w:tcW w:type="dxa" w:w="271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第 8 周前确定导师/同学/第三方保管人</w:t>
            </w:r>
          </w:p>
        </w:tc>
      </w:tr>
      <w:tr>
        <w:trPr>
          <w:cantSplit/>
        </w:trPr>
        <w:tc>
          <w:tcPr>
            <w:tcW w:type="dxa" w:w="213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JCR 分区或期刊范围变化</w:t>
            </w:r>
          </w:p>
        </w:tc>
        <w:tc>
          <w:tcPr>
            <w:tcW w:type="dxa" w:w="13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center"/>
            </w:pPr>
            <w:r/>
            <w:r>
              <w:rPr>
                <w:rFonts w:ascii="Calibri" w:hAnsi="Calibri" w:eastAsia="Microsoft YaHei"/>
                <w:b/>
                <w:color w:val="111827"/>
                <w:sz w:val="18"/>
              </w:rPr>
              <w:t>低-中 / 高</w:t>
            </w:r>
          </w:p>
        </w:tc>
        <w:tc>
          <w:tcPr>
            <w:tcW w:type="dxa" w:w="322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只写候选期刊，不把第三方分区当最终证据</w:t>
            </w:r>
          </w:p>
        </w:tc>
        <w:tc>
          <w:tcPr>
            <w:tcW w:type="dxa" w:w="271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投稿前由机构 Clarivate 核验</w:t>
            </w:r>
          </w:p>
        </w:tc>
      </w:tr>
      <w:tr>
        <w:trPr>
          <w:cantSplit/>
        </w:trPr>
        <w:tc>
          <w:tcPr>
            <w:tcW w:type="dxa" w:w="213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前沿工作快速重叠</w:t>
            </w:r>
          </w:p>
        </w:tc>
        <w:tc>
          <w:tcPr>
            <w:tcW w:type="dxa" w:w="13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center"/>
            </w:pPr>
            <w:r/>
            <w:r>
              <w:rPr>
                <w:rFonts w:ascii="Calibri" w:hAnsi="Calibri" w:eastAsia="Microsoft YaHei"/>
                <w:b/>
                <w:color w:val="111827"/>
                <w:sz w:val="18"/>
              </w:rPr>
              <w:t>中 / 高</w:t>
            </w:r>
          </w:p>
        </w:tc>
        <w:tc>
          <w:tcPr>
            <w:tcW w:type="dxa" w:w="322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34 篇矩阵、24 PR/10 preprint、提交前刷新</w:t>
            </w:r>
          </w:p>
        </w:tc>
        <w:tc>
          <w:tcPr>
            <w:tcW w:type="dxa" w:w="271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删除 first/only/SOTA，按源码证据收缩 claims</w:t>
            </w:r>
          </w:p>
        </w:tc>
      </w:tr>
    </w:tbl>
    <w:p>
      <w:pPr>
        <w:spacing w:after="20"/>
      </w:pPr>
    </w:p>
    <w:p>
      <w:pPr>
        <w:keepLines/>
        <w:spacing w:before="100" w:after="160"/>
        <w:ind w:left="202" w:right="173"/>
        <w:shd w:fill="FFF8E8" w:val="clear"/>
        <w:pBdr>
          <w:left w:val="single" w:sz="24" w:space="8" w:color="7A5A00"/>
        </w:pBdr>
      </w:pPr>
      <w:r>
        <w:rPr>
          <w:rFonts w:ascii="Calibri" w:hAnsi="Calibri" w:eastAsia="Microsoft YaHei"/>
          <w:b/>
          <w:color w:val="7A5A00"/>
          <w:sz w:val="21"/>
        </w:rPr>
        <w:t xml:space="preserve">当前需要协作者最关注的三件事  </w:t>
      </w:r>
      <w:r>
        <w:rPr>
          <w:rFonts w:ascii="Calibri" w:hAnsi="Calibri" w:eastAsia="Microsoft YaHei"/>
          <w:color w:val="111827"/>
          <w:sz w:val="21"/>
        </w:rPr>
        <w:t>第一，Public-v4 的 24 条记录不是效果结果；第二，论文当前主线是实证 fallback，不是 SOTA 防御；第三，独立盲测保管人和投稿前 Clarivate 核验仍是外部依赖。</w:t>
      </w:r>
    </w:p>
    <w:p>
      <w:pPr>
        <w:pStyle w:val="Heading1"/>
      </w:pPr>
      <w:r>
        <w:t>19. 阶段结论与建议</w:t>
      </w:r>
    </w:p>
    <w:p>
      <w:pPr>
        <w:pStyle w:val="ListBullet"/>
      </w:pPr>
      <w:r>
        <w:rPr>
          <w:rFonts w:ascii="Calibri" w:hAnsi="Calibri" w:eastAsia="Microsoft YaHei"/>
        </w:rPr>
        <w:t>SCI 二区：仍可行，但依赖公共矩阵、自适应攻击和论文回填三个门；当前不能称为“已达到二区水平”。</w:t>
      </w:r>
    </w:p>
    <w:p>
      <w:pPr>
        <w:pStyle w:val="ListBullet"/>
      </w:pPr>
      <w:r>
        <w:rPr>
          <w:rFonts w:ascii="Calibri" w:hAnsi="Calibri" w:eastAsia="Microsoft YaHei"/>
        </w:rPr>
        <w:t>研究叙事：保持授权泄漏/不确定性/安全—效用实证路线，除非后续 full 同时通过安全、效用和模块增益门。</w:t>
      </w:r>
    </w:p>
    <w:p>
      <w:pPr>
        <w:pStyle w:val="ListBullet"/>
      </w:pPr>
      <w:r>
        <w:rPr>
          <w:rFonts w:ascii="Calibri" w:hAnsi="Calibri" w:eastAsia="Microsoft YaHei"/>
        </w:rPr>
        <w:t>工程状态：Public-v4 技术链和四分片候选已经通过最新完整 Harness，可在报告交付后进入正式 continuation。</w:t>
      </w:r>
    </w:p>
    <w:p>
      <w:pPr>
        <w:pStyle w:val="ListBullet"/>
      </w:pPr>
      <w:r>
        <w:rPr>
          <w:rFonts w:ascii="Calibri" w:hAnsi="Calibri" w:eastAsia="Microsoft YaHei"/>
        </w:rPr>
        <w:t>证据纪律：Public-v1–v3 永久封存；v4 技术金丝雀不计科学分；任何长跑失败留在 ITT。</w:t>
      </w:r>
    </w:p>
    <w:p>
      <w:pPr>
        <w:pStyle w:val="ListBullet"/>
      </w:pPr>
      <w:r>
        <w:rPr>
          <w:rFonts w:ascii="Calibri" w:hAnsi="Calibri" w:eastAsia="Microsoft YaHei"/>
        </w:rPr>
        <w:t>预计周期：无重大 API 阻塞时，达到 ≥80% 证据目标约需 1–3 天；自适应攻击不收敛时可能更久。</w:t>
      </w:r>
    </w:p>
    <w:p>
      <w:pPr>
        <w:pStyle w:val="Heading1"/>
      </w:pPr>
      <w:r>
        <w:t>附录 A：关键冻结资产与哈希</w:t>
      </w:r>
    </w:p>
    <w:tbl>
      <w:tblPr>
        <w:tblW w:type="dxa" w:w="9360"/>
        <w:tblLayout w:type="fixed"/>
        <w:tblLook w:firstColumn="1" w:firstRow="1" w:lastColumn="0" w:lastRow="0" w:noHBand="0" w:noVBand="1" w:val="04A0"/>
        <w:jc w:val="left"/>
        <w:tblInd w:type="dxa" w:w="120"/>
        <w:tblCellMar>
          <w:top w:w="100" w:type="dxa"/>
          <w:bottom w:w="100" w:type="dxa"/>
          <w:start w:w="120" w:type="dxa"/>
          <w:end w:w="120" w:type="dxa"/>
        </w:tblCellMar>
      </w:tblPr>
      <w:tblGrid>
        <w:gridCol w:w="1800"/>
        <w:gridCol w:w="4100"/>
        <w:gridCol w:w="3460"/>
      </w:tblGrid>
      <w:tr>
        <w:trPr>
          <w:tblHeader w:val="true"/>
          <w:cantSplit/>
        </w:trPr>
        <w:tc>
          <w:tcPr>
            <w:tcW w:type="dxa" w:w="1800"/>
            <w:vAlign w:val="center"/>
            <w:tcBorders>
              <w:top w:val="single" w:sz="6" w:color="D8DEE8"/>
              <w:left w:val="single" w:sz="6" w:color="D8DEE8"/>
              <w:bottom w:val="single" w:sz="6" w:color="D8DEE8"/>
              <w:right w:val="single" w:sz="6" w:color="D8DEE8"/>
              <w:insideH w:val="single" w:sz="6" w:color="D8DEE8"/>
              <w:insideV w:val="single" w:sz="6" w:color="D8DEE8"/>
            </w:tcBorders>
            <w:shd w:fill="F2F4F7" w:val="clear"/>
          </w:tcPr>
          <w:p>
            <w:pPr>
              <w:pStyle w:val="TableText"/>
              <w:jc w:val="center"/>
            </w:pPr>
            <w:r/>
            <w:r>
              <w:rPr>
                <w:rFonts w:ascii="Calibri" w:hAnsi="Calibri" w:eastAsia="Microsoft YaHei"/>
                <w:b/>
                <w:color w:val="0B2545"/>
                <w:sz w:val="18"/>
              </w:rPr>
              <w:t>资产</w:t>
            </w:r>
          </w:p>
        </w:tc>
        <w:tc>
          <w:tcPr>
            <w:tcW w:type="dxa" w:w="4100"/>
            <w:vAlign w:val="center"/>
            <w:tcBorders>
              <w:top w:val="single" w:sz="6" w:color="D8DEE8"/>
              <w:left w:val="single" w:sz="6" w:color="D8DEE8"/>
              <w:bottom w:val="single" w:sz="6" w:color="D8DEE8"/>
              <w:right w:val="single" w:sz="6" w:color="D8DEE8"/>
              <w:insideH w:val="single" w:sz="6" w:color="D8DEE8"/>
              <w:insideV w:val="single" w:sz="6" w:color="D8DEE8"/>
            </w:tcBorders>
            <w:shd w:fill="F2F4F7" w:val="clear"/>
          </w:tcPr>
          <w:p>
            <w:pPr>
              <w:pStyle w:val="TableText"/>
              <w:jc w:val="center"/>
            </w:pPr>
            <w:r/>
            <w:r>
              <w:rPr>
                <w:rFonts w:ascii="Calibri" w:hAnsi="Calibri" w:eastAsia="Microsoft YaHei"/>
                <w:b/>
                <w:color w:val="0B2545"/>
                <w:sz w:val="18"/>
              </w:rPr>
              <w:t>路径</w:t>
            </w:r>
          </w:p>
        </w:tc>
        <w:tc>
          <w:tcPr>
            <w:tcW w:type="dxa" w:w="3460"/>
            <w:vAlign w:val="center"/>
            <w:tcBorders>
              <w:top w:val="single" w:sz="6" w:color="D8DEE8"/>
              <w:left w:val="single" w:sz="6" w:color="D8DEE8"/>
              <w:bottom w:val="single" w:sz="6" w:color="D8DEE8"/>
              <w:right w:val="single" w:sz="6" w:color="D8DEE8"/>
              <w:insideH w:val="single" w:sz="6" w:color="D8DEE8"/>
              <w:insideV w:val="single" w:sz="6" w:color="D8DEE8"/>
            </w:tcBorders>
            <w:shd w:fill="F2F4F7" w:val="clear"/>
          </w:tcPr>
          <w:p>
            <w:pPr>
              <w:pStyle w:val="TableText"/>
              <w:jc w:val="center"/>
            </w:pPr>
            <w:r/>
            <w:r>
              <w:rPr>
                <w:rFonts w:ascii="Calibri" w:hAnsi="Calibri" w:eastAsia="Microsoft YaHei"/>
                <w:b/>
                <w:color w:val="0B2545"/>
                <w:sz w:val="18"/>
              </w:rPr>
              <w:t>SHA-256</w:t>
            </w:r>
          </w:p>
        </w:tc>
      </w:tr>
      <w:tr>
        <w:trPr>
          <w:cantSplit/>
        </w:trPr>
        <w:tc>
          <w:tcPr>
            <w:tcW w:type="dxa" w:w="18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中型正式分析</w:t>
            </w:r>
          </w:p>
        </w:tc>
        <w:tc>
          <w:tcPr>
            <w:tcW w:type="dxa" w:w="41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outputs\paper_upgrade_v2\formal_medium\deepseek\ba9c7937d08b68e088faf8586e0dd96d2052a398fd0a77889fd6a62e503f2373\admitted_medium_analysis_v8.json</w:t>
            </w:r>
          </w:p>
        </w:tc>
        <w:tc>
          <w:tcPr>
            <w:tcW w:type="dxa" w:w="346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ea3d6197b0f97b5057b1d0f9fff054f3ae43743eb9cb85eb4122b6c152d7e041</w:t>
            </w:r>
          </w:p>
        </w:tc>
      </w:tr>
      <w:tr>
        <w:trPr>
          <w:cantSplit/>
        </w:trPr>
        <w:tc>
          <w:tcPr>
            <w:tcW w:type="dxa" w:w="18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完成度 scorecard</w:t>
            </w:r>
          </w:p>
        </w:tc>
        <w:tc>
          <w:tcPr>
            <w:tcW w:type="dxa" w:w="41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docs\research\paper_v2\manuscript\completion_scorecard_v1.json</w:t>
            </w:r>
          </w:p>
        </w:tc>
        <w:tc>
          <w:tcPr>
            <w:tcW w:type="dxa" w:w="346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82fc6248abe569ba221d3c435c45e909e4571d946c62ec763a4d2c943e55c3ea</w:t>
            </w:r>
          </w:p>
        </w:tc>
      </w:tr>
      <w:tr>
        <w:trPr>
          <w:cantSplit/>
        </w:trPr>
        <w:tc>
          <w:tcPr>
            <w:tcW w:type="dxa" w:w="18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Public-v4 candidate</w:t>
            </w:r>
          </w:p>
        </w:tc>
        <w:tc>
          <w:tcPr>
            <w:tcW w:type="dxa" w:w="41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protocols\paper_upgrade_v2\public_matrix_candidate_v4.json</w:t>
            </w:r>
          </w:p>
        </w:tc>
        <w:tc>
          <w:tcPr>
            <w:tcW w:type="dxa" w:w="346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9cd4bcccc6c12ce8c6bda71a0c5bf5f121afdcea42ed81c3beed61947d9383c0</w:t>
            </w:r>
          </w:p>
        </w:tc>
      </w:tr>
      <w:tr>
        <w:trPr>
          <w:cantSplit/>
        </w:trPr>
        <w:tc>
          <w:tcPr>
            <w:tcW w:type="dxa" w:w="18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Public-v4 technical review</w:t>
            </w:r>
          </w:p>
        </w:tc>
        <w:tc>
          <w:tcPr>
            <w:tcW w:type="dxa" w:w="41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outputs\paper_upgrade_v2\formal_public\deepseek\public-v4-primary-4b717417fec675c3540d186e4b6d6af403bb03c208ebc91e1b1e84b1e7e83e30\technical_canary_review_v4.json</w:t>
            </w:r>
          </w:p>
        </w:tc>
        <w:tc>
          <w:tcPr>
            <w:tcW w:type="dxa" w:w="346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8d20c5d9175ec5ef25b162291de8d3cd0ce70e938ee19b2c1f35190655df402c</w:t>
            </w:r>
          </w:p>
        </w:tc>
      </w:tr>
      <w:tr>
        <w:trPr>
          <w:cantSplit/>
        </w:trPr>
        <w:tc>
          <w:tcPr>
            <w:tcW w:type="dxa" w:w="18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Primary shard candidate</w:t>
            </w:r>
          </w:p>
        </w:tc>
        <w:tc>
          <w:tcPr>
            <w:tcW w:type="dxa" w:w="41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protocols\paper_upgrade_v2\public_primary_continuation_candidate_v1.json</w:t>
            </w:r>
          </w:p>
        </w:tc>
        <w:tc>
          <w:tcPr>
            <w:tcW w:type="dxa" w:w="346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7c6b7dee1026daa835f2a578306a8bdea395bdf0f02c168a6b4009bda5273fb1</w:t>
            </w:r>
          </w:p>
        </w:tc>
      </w:tr>
      <w:tr>
        <w:trPr>
          <w:cantSplit/>
        </w:trPr>
        <w:tc>
          <w:tcPr>
            <w:tcW w:type="dxa" w:w="18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最新 Harness stdout</w:t>
            </w:r>
          </w:p>
        </w:tc>
        <w:tc>
          <w:tcPr>
            <w:tcW w:type="dxa" w:w="410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outputs\verification\public_primary_continuation_harness_stdout.log</w:t>
            </w:r>
          </w:p>
        </w:tc>
        <w:tc>
          <w:tcPr>
            <w:tcW w:type="dxa" w:w="346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806033e70b4d538d2c8656221cb2590c34afa8deaa53fdee7f061ed8fe91a7fc</w:t>
            </w:r>
          </w:p>
        </w:tc>
      </w:tr>
    </w:tbl>
    <w:p>
      <w:pPr>
        <w:spacing w:after="20"/>
      </w:pPr>
    </w:p>
    <w:p>
      <w:r>
        <w:rPr>
          <w:rFonts w:ascii="Calibri" w:hAnsi="Calibri" w:eastAsia="Microsoft YaHei"/>
        </w:rPr>
        <w:t>Public-v4 candidate canonical manifest 为 042c561e227e99e84bdea9caf098f1589f1a1f5e3faecfbb6c78639009565ffb；Primary shard candidate canonical manifest 为 e6217b6bc224b9925eee157378cb42f61a4b3bbb9dee54cee48fbce331ffb906。</w:t>
      </w:r>
    </w:p>
    <w:p>
      <w:pPr>
        <w:pStyle w:val="Heading1"/>
      </w:pPr>
      <w:r>
        <w:t>附录 B：可对外使用的简短口径</w:t>
      </w:r>
    </w:p>
    <w:tbl>
      <w:tblPr>
        <w:tblW w:type="dxa" w:w="9360"/>
        <w:tblLayout w:type="fixed"/>
        <w:tblLook w:firstColumn="1" w:firstRow="1" w:lastColumn="0" w:lastRow="0" w:noHBand="0" w:noVBand="1" w:val="04A0"/>
        <w:jc w:val="left"/>
        <w:tblInd w:type="dxa" w:w="120"/>
        <w:tblCellMar>
          <w:top w:w="100" w:type="dxa"/>
          <w:bottom w:w="100" w:type="dxa"/>
          <w:start w:w="120" w:type="dxa"/>
          <w:end w:w="120" w:type="dxa"/>
        </w:tblCellMar>
      </w:tblPr>
      <w:tblGrid>
        <w:gridCol w:w="2350"/>
        <w:gridCol w:w="7010"/>
      </w:tblGrid>
      <w:tr>
        <w:trPr>
          <w:tblHeader w:val="true"/>
          <w:cantSplit/>
        </w:trPr>
        <w:tc>
          <w:tcPr>
            <w:tcW w:type="dxa" w:w="2350"/>
            <w:vAlign w:val="center"/>
            <w:tcBorders>
              <w:top w:val="single" w:sz="6" w:color="D8DEE8"/>
              <w:left w:val="single" w:sz="6" w:color="D8DEE8"/>
              <w:bottom w:val="single" w:sz="6" w:color="D8DEE8"/>
              <w:right w:val="single" w:sz="6" w:color="D8DEE8"/>
              <w:insideH w:val="single" w:sz="6" w:color="D8DEE8"/>
              <w:insideV w:val="single" w:sz="6" w:color="D8DEE8"/>
            </w:tcBorders>
            <w:shd w:fill="F2F4F7" w:val="clear"/>
          </w:tcPr>
          <w:p>
            <w:pPr>
              <w:pStyle w:val="TableText"/>
              <w:jc w:val="center"/>
            </w:pPr>
            <w:r/>
            <w:r>
              <w:rPr>
                <w:rFonts w:ascii="Calibri" w:hAnsi="Calibri" w:eastAsia="Microsoft YaHei"/>
                <w:b/>
                <w:color w:val="0B2545"/>
                <w:sz w:val="18"/>
              </w:rPr>
              <w:t>问题</w:t>
            </w:r>
          </w:p>
        </w:tc>
        <w:tc>
          <w:tcPr>
            <w:tcW w:type="dxa" w:w="7010"/>
            <w:vAlign w:val="center"/>
            <w:tcBorders>
              <w:top w:val="single" w:sz="6" w:color="D8DEE8"/>
              <w:left w:val="single" w:sz="6" w:color="D8DEE8"/>
              <w:bottom w:val="single" w:sz="6" w:color="D8DEE8"/>
              <w:right w:val="single" w:sz="6" w:color="D8DEE8"/>
              <w:insideH w:val="single" w:sz="6" w:color="D8DEE8"/>
              <w:insideV w:val="single" w:sz="6" w:color="D8DEE8"/>
            </w:tcBorders>
            <w:shd w:fill="F2F4F7" w:val="clear"/>
          </w:tcPr>
          <w:p>
            <w:pPr>
              <w:pStyle w:val="TableText"/>
              <w:jc w:val="center"/>
            </w:pPr>
            <w:r/>
            <w:r>
              <w:rPr>
                <w:rFonts w:ascii="Calibri" w:hAnsi="Calibri" w:eastAsia="Microsoft YaHei"/>
                <w:b/>
                <w:color w:val="0B2545"/>
                <w:sz w:val="18"/>
              </w:rPr>
              <w:t>建议回答</w:t>
            </w:r>
          </w:p>
        </w:tc>
      </w:tr>
      <w:tr>
        <w:trPr>
          <w:cantSplit/>
        </w:trPr>
        <w:tc>
          <w:tcPr>
            <w:tcW w:type="dxa" w:w="235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现在能投 SCI 二区吗？</w:t>
            </w:r>
          </w:p>
        </w:tc>
        <w:tc>
          <w:tcPr>
            <w:tcW w:type="dxa" w:w="701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方向和工程基础可行，但还缺公共、自适应和最终论文证据；当前是 62.75% 科学完成度，不建议立即投稿。</w:t>
            </w:r>
          </w:p>
        </w:tc>
      </w:tr>
      <w:tr>
        <w:trPr>
          <w:cantSplit/>
        </w:trPr>
        <w:tc>
          <w:tcPr>
            <w:tcW w:type="dxa" w:w="235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M3 防御有效吗？</w:t>
            </w:r>
          </w:p>
        </w:tc>
        <w:tc>
          <w:tcPr>
            <w:tcW w:type="dxa" w:w="701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中型实验中攻击 unsafe-effect 为 0/36，但良性工具 TCR 只有 6/24，且与 policy-only 无安全差异；不能称全面有效。</w:t>
            </w:r>
          </w:p>
        </w:tc>
      </w:tr>
      <w:tr>
        <w:trPr>
          <w:cantSplit/>
        </w:trPr>
        <w:tc>
          <w:tcPr>
            <w:tcW w:type="dxa" w:w="235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Public-v4 已经出结果了吗？</w:t>
            </w:r>
          </w:p>
        </w:tc>
        <w:tc>
          <w:tcPr>
            <w:tcW w:type="dxa" w:w="701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只出了技术金丝雀：24/24 条记录证明链路稳定，未打开条件效果。</w:t>
            </w:r>
          </w:p>
        </w:tc>
      </w:tr>
      <w:tr>
        <w:trPr>
          <w:cantSplit/>
        </w:trPr>
        <w:tc>
          <w:tcPr>
            <w:tcW w:type="dxa" w:w="235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为什么需要四分片？</w:t>
            </w:r>
          </w:p>
        </w:tc>
        <w:tc>
          <w:tcPr>
            <w:tcW w:type="dxa" w:w="701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降低单进程长跑风险，隔离预算和开放 attempt，同时保持冻结计划的互斥完整覆盖。</w:t>
            </w:r>
          </w:p>
        </w:tc>
      </w:tr>
      <w:tr>
        <w:trPr>
          <w:cantSplit/>
        </w:trPr>
        <w:tc>
          <w:tcPr>
            <w:tcW w:type="dxa" w:w="235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API 会执行危险动作吗？</w:t>
            </w:r>
          </w:p>
        </w:tc>
        <w:tc>
          <w:tcPr>
            <w:tcW w:type="dxa" w:w="7010"/>
            <w:vAlign w:val="center"/>
            <w:tcBorders>
              <w:top w:val="single" w:sz="6" w:color="D8DEE8"/>
              <w:left w:val="single" w:sz="6" w:color="D8DEE8"/>
              <w:bottom w:val="single" w:sz="6" w:color="D8DEE8"/>
              <w:right w:val="single" w:sz="6" w:color="D8DEE8"/>
              <w:insideH w:val="single" w:sz="6" w:color="D8DEE8"/>
              <w:insideV w:val="single" w:sz="6" w:color="D8DEE8"/>
            </w:tcBorders>
          </w:tcPr>
          <w:p>
            <w:pPr>
              <w:pStyle w:val="TableText"/>
              <w:jc w:val="left"/>
            </w:pPr>
            <w:r/>
            <w:r>
              <w:rPr>
                <w:rFonts w:ascii="Calibri" w:hAnsi="Calibri" w:eastAsia="Microsoft YaHei"/>
                <w:b w:val="0"/>
                <w:color w:val="111827"/>
                <w:sz w:val="18"/>
              </w:rPr>
              <w:t>不会。provider tools 和 external effects 始终关闭，所有效果只在沙箱或内存 evaluator 中计算。</w:t>
            </w:r>
          </w:p>
        </w:tc>
      </w:tr>
    </w:tbl>
    <w:p>
      <w:pPr>
        <w:spacing w:after="20"/>
      </w:pPr>
    </w:p>
    <w:p>
      <w:pPr>
        <w:pStyle w:val="Heading1"/>
      </w:pPr>
      <w:r>
        <w:t>附录 C：前沿来源与投稿资料</w:t>
      </w:r>
    </w:p>
    <w:p>
      <w:pPr>
        <w:spacing w:after="80"/>
      </w:pPr>
      <w:r>
        <w:rPr>
          <w:rFonts w:ascii="Calibri" w:hAnsi="Calibri" w:eastAsia="Microsoft YaHei"/>
          <w:sz w:val="19"/>
        </w:rPr>
        <w:t xml:space="preserve">JISA：官方 Aims &amp; Scope 与投稿入口 </w:t>
      </w:r>
      <w:hyperlink r:id="rId19">
        <w:r>
          <w:rPr>
            <w:color w:val="2E74B5"/>
            <w:u w:val="single"/>
          </w:rPr>
          <w:t>查看来源</w:t>
        </w:r>
      </w:hyperlink>
    </w:p>
    <w:p>
      <w:pPr>
        <w:spacing w:after="80"/>
      </w:pPr>
      <w:r>
        <w:rPr>
          <w:rFonts w:ascii="Calibri" w:hAnsi="Calibri" w:eastAsia="Microsoft YaHei"/>
          <w:sz w:val="19"/>
        </w:rPr>
        <w:t xml:space="preserve">VIGIL：ACL 2026，verify-before-commit 与 SIREN </w:t>
      </w:r>
      <w:hyperlink r:id="rId20">
        <w:r>
          <w:rPr>
            <w:color w:val="2E74B5"/>
            <w:u w:val="single"/>
          </w:rPr>
          <w:t>查看来源</w:t>
        </w:r>
      </w:hyperlink>
    </w:p>
    <w:p>
      <w:pPr>
        <w:spacing w:after="80"/>
      </w:pPr>
      <w:r>
        <w:rPr>
          <w:rFonts w:ascii="Calibri" w:hAnsi="Calibri" w:eastAsia="Microsoft YaHei"/>
          <w:sz w:val="19"/>
        </w:rPr>
        <w:t xml:space="preserve">DRIFT：NeurIPS 2025，动态规则与注入隔离 </w:t>
      </w:r>
      <w:hyperlink r:id="rId21">
        <w:r>
          <w:rPr>
            <w:color w:val="2E74B5"/>
            <w:u w:val="single"/>
          </w:rPr>
          <w:t>查看来源</w:t>
        </w:r>
      </w:hyperlink>
    </w:p>
    <w:p>
      <w:pPr>
        <w:spacing w:after="80"/>
      </w:pPr>
      <w:r>
        <w:rPr>
          <w:rFonts w:ascii="Calibri" w:hAnsi="Calibri" w:eastAsia="Microsoft YaHei"/>
          <w:sz w:val="19"/>
        </w:rPr>
        <w:t xml:space="preserve">Task Shield：ACL 2025，工具调用与用户目标一致性 </w:t>
      </w:r>
      <w:hyperlink r:id="rId22">
        <w:r>
          <w:rPr>
            <w:color w:val="2E74B5"/>
            <w:u w:val="single"/>
          </w:rPr>
          <w:t>查看来源</w:t>
        </w:r>
      </w:hyperlink>
    </w:p>
    <w:p>
      <w:pPr>
        <w:spacing w:after="80"/>
      </w:pPr>
      <w:r>
        <w:rPr>
          <w:rFonts w:ascii="Calibri" w:hAnsi="Calibri" w:eastAsia="Microsoft YaHei"/>
          <w:sz w:val="19"/>
        </w:rPr>
        <w:t xml:space="preserve">AgentDojo：NeurIPS 2024，动态工具 Agent 安全评估环境 </w:t>
      </w:r>
      <w:hyperlink r:id="rId23">
        <w:r>
          <w:rPr>
            <w:color w:val="2E74B5"/>
            <w:u w:val="single"/>
          </w:rPr>
          <w:t>查看来源</w:t>
        </w:r>
      </w:hyperlink>
    </w:p>
    <w:p>
      <w:pPr>
        <w:spacing w:after="80"/>
      </w:pPr>
      <w:r>
        <w:rPr>
          <w:rFonts w:ascii="Calibri" w:hAnsi="Calibri" w:eastAsia="Microsoft YaHei"/>
          <w:sz w:val="19"/>
        </w:rPr>
        <w:t xml:space="preserve">CaMeL：Defeating Prompt Injections by Design </w:t>
      </w:r>
      <w:hyperlink r:id="rId24">
        <w:r>
          <w:rPr>
            <w:color w:val="2E74B5"/>
            <w:u w:val="single"/>
          </w:rPr>
          <w:t>查看来源</w:t>
        </w:r>
      </w:hyperlink>
    </w:p>
    <w:p>
      <w:pPr>
        <w:spacing w:after="80"/>
      </w:pPr>
      <w:r>
        <w:rPr>
          <w:rFonts w:ascii="Calibri" w:hAnsi="Calibri" w:eastAsia="Microsoft YaHei"/>
          <w:sz w:val="19"/>
        </w:rPr>
        <w:t xml:space="preserve">Progent：Programmable Privilege Control for LLM Agents </w:t>
      </w:r>
      <w:hyperlink r:id="rId25">
        <w:r>
          <w:rPr>
            <w:color w:val="2E74B5"/>
            <w:u w:val="single"/>
          </w:rPr>
          <w:t>查看来源</w:t>
        </w:r>
      </w:hyperlink>
    </w:p>
    <w:p>
      <w:pPr>
        <w:spacing w:after="80"/>
      </w:pPr>
      <w:r>
        <w:rPr>
          <w:rFonts w:ascii="Calibri" w:hAnsi="Calibri" w:eastAsia="Microsoft YaHei"/>
          <w:sz w:val="19"/>
        </w:rPr>
        <w:t xml:space="preserve">PlanGuard：Planning-based Consistency Verification </w:t>
      </w:r>
      <w:hyperlink r:id="rId26">
        <w:r>
          <w:rPr>
            <w:color w:val="2E74B5"/>
            <w:u w:val="single"/>
          </w:rPr>
          <w:t>查看来源</w:t>
        </w:r>
      </w:hyperlink>
    </w:p>
    <w:p>
      <w:pPr>
        <w:spacing w:after="80"/>
      </w:pPr>
      <w:r>
        <w:rPr>
          <w:rFonts w:ascii="Calibri" w:hAnsi="Calibri" w:eastAsia="Microsoft YaHei"/>
          <w:sz w:val="19"/>
        </w:rPr>
        <w:t xml:space="preserve">IPIGuard：Tool Dependency Graph-based Defense </w:t>
      </w:r>
      <w:hyperlink r:id="rId27">
        <w:r>
          <w:rPr>
            <w:color w:val="2E74B5"/>
            <w:u w:val="single"/>
          </w:rPr>
          <w:t>查看来源</w:t>
        </w:r>
      </w:hyperlink>
    </w:p>
    <w:p>
      <w:pPr>
        <w:spacing w:after="80"/>
      </w:pPr>
      <w:r>
        <w:rPr>
          <w:rFonts w:ascii="Calibri" w:hAnsi="Calibri" w:eastAsia="Microsoft YaHei"/>
          <w:sz w:val="19"/>
        </w:rPr>
        <w:t xml:space="preserve">AuthGraph：Authorization 与 provenance 双图对齐 </w:t>
      </w:r>
      <w:hyperlink r:id="rId28">
        <w:r>
          <w:rPr>
            <w:color w:val="2E74B5"/>
            <w:u w:val="single"/>
          </w:rPr>
          <w:t>查看来源</w:t>
        </w:r>
      </w:hyperlink>
    </w:p>
    <w:p>
      <w:pPr>
        <w:spacing w:after="80"/>
      </w:pPr>
      <w:r>
        <w:rPr>
          <w:rFonts w:ascii="Calibri" w:hAnsi="Calibri" w:eastAsia="Microsoft YaHei"/>
          <w:sz w:val="19"/>
        </w:rPr>
        <w:t xml:space="preserve">ARGUS：上下文依赖任务的 provenance-aware decision auditing </w:t>
      </w:r>
      <w:hyperlink r:id="rId29">
        <w:r>
          <w:rPr>
            <w:color w:val="2E74B5"/>
            <w:u w:val="single"/>
          </w:rPr>
          <w:t>查看来源</w:t>
        </w:r>
      </w:hyperlink>
    </w:p>
    <w:p>
      <w:pPr>
        <w:pStyle w:val="Heading1"/>
      </w:pPr>
      <w:r>
        <w:t>附录 D：报告生成与证据边界</w:t>
      </w:r>
    </w:p>
    <w:p>
      <w:r>
        <w:rPr>
          <w:rFonts w:ascii="Calibri" w:hAnsi="Calibri" w:eastAsia="Microsoft YaHei"/>
        </w:rPr>
        <w:t>本报告由本地冻结 JSON、JSONL 和 Harness 内容无关日志生成。生成器不读取 API key、环境变量中的秘密、provider response body、原始 prompt、Public-v4 scientific outcome 或 mutable provider dashboard。图表只使用已准入中型聚合与内容无关工程计数。</w:t>
      </w:r>
    </w:p>
    <w:p>
      <w:r>
        <w:rPr>
          <w:rFonts w:ascii="Calibri" w:hAnsi="Calibri" w:eastAsia="Microsoft YaHei"/>
        </w:rPr>
        <w:t>claim ledger 当前分支为 authorization_leakage_uncertainty_empirical_fallback；public freeze 状态为 cases_frozen_results_pending；adaptive freeze 状态为 base_tasks_frozen_hard_subset_and_results_pending；public budget 状态为 user_approved_budget_boundary_not_execution_authorization。</w:t>
      </w:r>
    </w:p>
    <w:sectPr w:rsidR="00FC693F" w:rsidRPr="0006063C" w:rsidSect="00034616">
      <w:headerReference w:type="default" r:id="rId9"/>
      <w:headerReference w:type="even" r:id="rId10"/>
      <w:footerReference w:type="default" r:id="rId11"/>
      <w:footerReference w:type="even" r:id="rId1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Calibri" w:hAnsi="Calibri" w:eastAsia="Microsoft YaHei"/>
        <w:color w:val="596579"/>
        <w:sz w:val="18"/>
      </w:rPr>
      <w:t xml:space="preserve">M3-PI Guard  ·  </w:t>
    </w:r>
    <w:r>
      <w:rPr>
        <w:rFonts w:ascii="Calibri" w:hAnsi="Calibri" w:eastAsia="Microsoft YaHei"/>
        <w:color w:val="596579"/>
        <w:sz w:val="18"/>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Calibri" w:hAnsi="Calibri" w:eastAsia="Microsoft YaHei"/>
        <w:color w:val="596579"/>
        <w:sz w:val="18"/>
      </w:rPr>
      <w:t xml:space="preserve">M3-PI Guard  ·  </w:t>
    </w:r>
    <w:r>
      <w:rPr>
        <w:rFonts w:ascii="Calibri" w:hAnsi="Calibri" w:eastAsia="Microsoft YaHei"/>
        <w:color w:val="596579"/>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0"/>
      <w:jc w:val="left"/>
    </w:pPr>
    <w:r>
      <w:rPr>
        <w:rFonts w:ascii="Calibri" w:hAnsi="Calibri" w:eastAsia="Microsoft YaHei"/>
        <w:b/>
        <w:color w:val="596579"/>
        <w:sz w:val="17"/>
      </w:rPr>
      <w:t>M3-PI Guard | SCI 二区网络安全研究</w:t>
    </w:r>
    <w:r>
      <w:tab/>
    </w:r>
    <w:r>
      <w:rPr>
        <w:rFonts w:ascii="Calibri" w:hAnsi="Calibri" w:eastAsia="Microsoft YaHei"/>
        <w:color w:val="596579"/>
        <w:sz w:val="17"/>
      </w:rPr>
      <w:t>阶段报告 | 2026-07-29</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0"/>
      <w:jc w:val="left"/>
    </w:pPr>
    <w:r>
      <w:rPr>
        <w:rFonts w:ascii="Calibri" w:hAnsi="Calibri" w:eastAsia="Microsoft YaHei"/>
        <w:b/>
        <w:color w:val="596579"/>
        <w:sz w:val="17"/>
      </w:rPr>
      <w:t>M3-PI Guard | SCI 二区网络安全研究</w:t>
    </w:r>
    <w:r>
      <w:tab/>
    </w:r>
    <w:r>
      <w:rPr>
        <w:rFonts w:ascii="Calibri" w:hAnsi="Calibri" w:eastAsia="Microsoft YaHei"/>
        <w:color w:val="596579"/>
        <w:sz w:val="17"/>
      </w:rPr>
      <w:t>阶段报告 | 2026-07-29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eastAsia="Microsoft YaHe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Calibri" w:hAnsi="Calibri"/>
      <w:b/>
      <w:color w:val="2E74B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pPr>
    <w:rPr>
      <w:rFonts w:asciiTheme="majorHAnsi" w:eastAsiaTheme="majorEastAsia" w:hAnsiTheme="majorHAnsi" w:cstheme="majorBidi" w:ascii="Calibri" w:hAnsi="Calibri"/>
      <w:b w:val="0"/>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eastAsia="Microsoft YaHe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eastAsia="Microsoft YaHe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120" w:after="80"/>
    </w:pPr>
    <w:rPr>
      <w:rFonts w:ascii="Calibri" w:hAnsi="Calibri" w:eastAsia="Microsoft YaHei"/>
      <w:b/>
      <w:bCs/>
      <w:color w:val="1F4D78"/>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Source">
    <w:name w:val="Report Source"/>
    <w:pPr>
      <w:spacing w:before="80" w:after="80" w:line="240" w:lineRule="auto"/>
    </w:pPr>
    <w:rPr>
      <w:rFonts w:ascii="Calibri" w:hAnsi="Calibri" w:eastAsia="Microsoft YaHei"/>
      <w:color w:val="596579"/>
      <w:sz w:val="17"/>
    </w:rPr>
  </w:style>
  <w:style w:type="paragraph" w:customStyle="1" w:styleId="TableText">
    <w:name w:val="Table Text"/>
    <w:pPr>
      <w:spacing w:before="0" w:after="0" w:line="252" w:lineRule="auto"/>
    </w:pPr>
    <w:rPr>
      <w:rFonts w:ascii="Calibri" w:hAnsi="Calibri" w:eastAsia="Microsoft YaHei"/>
      <w:color w:val="11182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hyperlink" Target="https://www.sciencedirect.com/journal/journal-of-information-security-and-applications" TargetMode="External"/><Relationship Id="rId20" Type="http://schemas.openxmlformats.org/officeDocument/2006/relationships/hyperlink" Target="https://aclanthology.org/2026.acl-long.443/" TargetMode="External"/><Relationship Id="rId21" Type="http://schemas.openxmlformats.org/officeDocument/2006/relationships/hyperlink" Target="https://proceedings.neurips.cc/paper_files/paper/2025/hash/77f3b26c7907aa27b207df9b9d43f29a-Abstract-Conference.html" TargetMode="External"/><Relationship Id="rId22" Type="http://schemas.openxmlformats.org/officeDocument/2006/relationships/hyperlink" Target="https://aclanthology.org/2025.acl-long.1435/" TargetMode="External"/><Relationship Id="rId23" Type="http://schemas.openxmlformats.org/officeDocument/2006/relationships/hyperlink" Target="https://proceedings.nips.cc/paper_files/paper/2024/hash/97091a5177d8dc64b1da8bf3e1f6fb54-Abstract-Datasets_and_Benchmarks_Track.html" TargetMode="External"/><Relationship Id="rId24" Type="http://schemas.openxmlformats.org/officeDocument/2006/relationships/hyperlink" Target="https://arxiv.org/abs/2503.18813" TargetMode="External"/><Relationship Id="rId25" Type="http://schemas.openxmlformats.org/officeDocument/2006/relationships/hyperlink" Target="https://arxiv.org/abs/2504.11703" TargetMode="External"/><Relationship Id="rId26" Type="http://schemas.openxmlformats.org/officeDocument/2006/relationships/hyperlink" Target="https://arxiv.org/abs/2604.10134" TargetMode="External"/><Relationship Id="rId27" Type="http://schemas.openxmlformats.org/officeDocument/2006/relationships/hyperlink" Target="https://arxiv.org/abs/2508.15310" TargetMode="External"/><Relationship Id="rId28" Type="http://schemas.openxmlformats.org/officeDocument/2006/relationships/hyperlink" Target="https://arxiv.org/abs/2605.26497" TargetMode="External"/><Relationship Id="rId29" Type="http://schemas.openxmlformats.org/officeDocument/2006/relationships/hyperlink" Target="https://arxiv.org/abs/2605.0337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