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Microsoft YaHei"/>
          <w:b/>
          <w:color w:val="7A5A00"/>
          <w:sz w:val="18"/>
        </w:rPr>
        <w:t>RESEARCH STAGE REPORT</w:t>
      </w:r>
    </w:p>
    <w:p>
      <w:pPr>
        <w:pStyle w:val="Title"/>
      </w:pPr>
      <w:r>
        <w:rPr>
          <w:rFonts w:ascii="Calibri" w:hAnsi="Calibri" w:eastAsia="Microsoft YaHei"/>
          <w:b/>
          <w:color w:val="0B2545"/>
          <w:sz w:val="48"/>
        </w:rPr>
        <w:t>M3-PI Guard 阶段性研究报告</w:t>
      </w:r>
    </w:p>
    <w:p>
      <w:pPr>
        <w:pStyle w:val="Subtitle"/>
      </w:pPr>
      <w:r>
        <w:rPr>
          <w:rFonts w:ascii="Calibri" w:hAnsi="Calibri" w:eastAsia="Microsoft YaHei"/>
          <w:color w:val="596579"/>
          <w:sz w:val="26"/>
        </w:rPr>
        <w:t>5,082 条 Public-primary 证据、独立统计复核、自适应成本金丝雀与 SCI Q2 实证路线</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900"/>
        <w:gridCol w:w="7460"/>
      </w:tblGrid>
      <w:tr>
        <w:trPr>
          <w:tblHeader w:val="true"/>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项目</w:t>
            </w:r>
          </w:p>
        </w:tc>
        <w:tc>
          <w:tcPr>
            <w:tcW w:type="dxa" w:w="74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当前口径</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报告日期</w:t>
            </w:r>
          </w:p>
        </w:tc>
        <w:tc>
          <w:tcPr>
            <w:tcW w:type="dxa" w:w="7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2026-07-30（Asia/Shanghai）</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论文路线</w:t>
            </w:r>
          </w:p>
        </w:tc>
        <w:tc>
          <w:tcPr>
            <w:tcW w:type="dxa" w:w="7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授权信息泄漏、授权不确定性与安全—效用权衡的系统实证研究</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正式证据</w:t>
            </w:r>
          </w:p>
        </w:tc>
        <w:tc>
          <w:tcPr>
            <w:tcW w:type="dxa" w:w="7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DeepSeek 官方 deepseek-v4-pro；中型 480 条、Public-primary 5,082 条、自适应探索 8 个任务</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科学完成度</w:t>
            </w:r>
          </w:p>
        </w:tc>
        <w:tc>
          <w:tcPr>
            <w:tcW w:type="dxa" w:w="7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869/1200 (72.42%)</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声明边界</w:t>
            </w:r>
          </w:p>
        </w:tc>
        <w:tc>
          <w:tcPr>
            <w:tcW w:type="dxa" w:w="7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Primary-model-only；无跨模型/跨提供商/SOTA/独立盲测声明</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安全边界</w:t>
            </w:r>
          </w:p>
        </w:tc>
        <w:tc>
          <w:tcPr>
            <w:tcW w:type="dxa" w:w="7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provider tools 关闭、无真实外部 effect、无自动重试、终态失败保留在 ITT 分母</w:t>
            </w:r>
          </w:p>
        </w:tc>
      </w:tr>
    </w:tbl>
    <w:p>
      <w:pPr>
        <w:spacing w:after="20"/>
      </w:pPr>
    </w:p>
    <w:p>
      <w:pPr>
        <w:pStyle w:val="Heading1"/>
      </w:pPr>
      <w:r>
        <w:t>执行摘要</w:t>
      </w:r>
    </w:p>
    <w:p>
      <w:pPr>
        <w:keepLines/>
        <w:spacing w:before="100" w:after="160"/>
        <w:ind w:left="202" w:right="173"/>
        <w:shd w:fill="F4F6F9" w:val="clear"/>
        <w:pBdr>
          <w:left w:val="single" w:sz="24" w:space="8" w:color="2E74B5"/>
        </w:pBdr>
      </w:pPr>
      <w:r>
        <w:rPr>
          <w:rFonts w:ascii="Calibri" w:hAnsi="Calibri" w:eastAsia="Microsoft YaHei"/>
          <w:b/>
          <w:color w:val="2E74B5"/>
          <w:sz w:val="21"/>
        </w:rPr>
        <w:t xml:space="preserve">当前结论  </w:t>
      </w:r>
      <w:r>
        <w:rPr>
          <w:rFonts w:ascii="Calibri" w:hAnsi="Calibri" w:eastAsia="Microsoft YaHei"/>
          <w:color w:val="111827"/>
          <w:sz w:val="21"/>
        </w:rPr>
        <w:t>项目已完成并独立复核 5,082 条 Public-primary 记录，但论文仍应坚持 empirical fallback。中型实验已否定 M3-full 相对 policy-only 的独立安全增益；Public 结果用于检验这一安全—效用关系是否跨 AgentDojo 与 M3-v2 保持，而不是恢复机制领先声明。</w:t>
      </w:r>
    </w:p>
    <w:p>
      <w:pPr>
        <w:pStyle w:val="ListBullet"/>
      </w:pPr>
      <w:r>
        <w:rPr>
          <w:rFonts w:ascii="Calibri" w:hAnsi="Calibri" w:eastAsia="Microsoft YaHei"/>
        </w:rPr>
        <w:t>Public-primary 分析状态：complete_primary_model_empirical_fallback；route=empirical_security_utility_fallback。</w:t>
      </w:r>
    </w:p>
    <w:p>
      <w:pPr>
        <w:pStyle w:val="ListBullet"/>
      </w:pPr>
      <w:r>
        <w:rPr>
          <w:rFonts w:ascii="Calibri" w:hAnsi="Calibri" w:eastAsia="Microsoft YaHei"/>
        </w:rPr>
        <w:t>Public 证据覆盖 5082 条记录、847 个案例、600 个攻击案例与 247 个良性案例。</w:t>
      </w:r>
    </w:p>
    <w:p>
      <w:pPr>
        <w:pStyle w:val="ListBullet"/>
      </w:pPr>
      <w:r>
        <w:rPr>
          <w:rFonts w:ascii="Calibri" w:hAnsi="Calibri" w:eastAsia="Microsoft YaHei"/>
        </w:rPr>
        <w:t>Public 保留 76 条 diagnostic，排除数为 0；冻结的 1% 质量门没有被豁免。</w:t>
      </w:r>
    </w:p>
    <w:p>
      <w:pPr>
        <w:pStyle w:val="ListBullet"/>
      </w:pPr>
      <w:r>
        <w:rPr>
          <w:rFonts w:ascii="Calibri" w:hAnsi="Calibri" w:eastAsia="Microsoft YaHei"/>
        </w:rPr>
        <w:t>Public 攻击结果：M3-full 38/600、结构化基线 133/600、policy-only 13/600；full 相对结构化下降 15.83 pp，但相对 policy-only 上升 4.17 pp。</w:t>
      </w:r>
    </w:p>
    <w:p>
      <w:pPr>
        <w:pStyle w:val="ListBullet"/>
      </w:pPr>
      <w:r>
        <w:rPr>
          <w:rFonts w:ascii="Calibri" w:hAnsi="Calibri" w:eastAsia="Microsoft YaHei"/>
        </w:rPr>
        <w:t>Public benign-tool TCR：M3-full 与 policy-only 均为 49/168，结构化基线为 103/168；full 低 32.14 pp。</w:t>
      </w:r>
    </w:p>
    <w:p>
      <w:pPr>
        <w:pStyle w:val="ListBullet"/>
      </w:pPr>
      <w:r>
        <w:rPr>
          <w:rFonts w:ascii="Calibri" w:hAnsi="Calibri" w:eastAsia="Microsoft YaHei"/>
        </w:rPr>
        <w:t>自适应探索为 0/8，但 Wilson 上界仍为 32.44%，不能代替正式 40/20 任务多预算面板。</w:t>
      </w:r>
    </w:p>
    <w:p>
      <w:pPr>
        <w:pStyle w:val="ListBullet"/>
      </w:pPr>
      <w:r>
        <w:rPr>
          <w:rFonts w:ascii="Calibri" w:hAnsi="Calibri" w:eastAsia="Microsoft YaHei"/>
        </w:rPr>
        <w:t>Gemini 尚无正式第二模型矩阵，独立盲测保管人也未落实；因此跨模型、跨提供商和强外部有效性声明仍被禁止。</w:t>
      </w:r>
    </w:p>
    <w:p>
      <w:pPr>
        <w:pStyle w:val="Heading1"/>
      </w:pPr>
      <w:r>
        <w:t>1. 研究定位与判定规则</w:t>
      </w:r>
    </w:p>
    <w:p>
      <w:r>
        <w:rPr>
          <w:rFonts w:ascii="Calibri" w:hAnsi="Calibri" w:eastAsia="Microsoft YaHei"/>
        </w:rPr>
        <w:t>当前工作标题为“Evaluating Runtime Authorization Under Context and Provenance Uncertainty for Tool-Using LLM Agents”。22 单元源码审计未证明领域普遍存在 oracle authorization，因此不使用 Beyond Answer-Key 或“首次/唯一/SOTA”叙事。论文目标是说明：在线授权信息、来源约束、确认负担、终态失败和基准选择如何共同改变工具型 LLM Agent 的安全—效用边界。</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300"/>
        <w:gridCol w:w="3500"/>
        <w:gridCol w:w="3560"/>
      </w:tblGrid>
      <w:tr>
        <w:trPr>
          <w:tblHeader w:val="true"/>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研究问题</w:t>
            </w:r>
          </w:p>
        </w:tc>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本阶段证据</w:t>
            </w:r>
          </w:p>
        </w:tc>
        <w:tc>
          <w:tcPr>
            <w:tcW w:type="dxa" w:w="35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允许结论</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RQ1：非 oracle 授权下的安全与效用</w:t>
            </w:r>
          </w:p>
        </w:tc>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中型 480 条 + Public-primary 5,082 条</w:t>
            </w:r>
          </w:p>
        </w:tc>
        <w:tc>
          <w:tcPr>
            <w:tcW w:type="dxa" w:w="35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可按模型/基准报告；不可跨模型泛化</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RQ2：full 相对 policy-only 的模块贡献</w:t>
            </w:r>
          </w:p>
        </w:tc>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中型与 Public 配对比较</w:t>
            </w:r>
          </w:p>
        </w:tc>
        <w:tc>
          <w:tcPr>
            <w:tcW w:type="dxa" w:w="35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保留负结果；不得选择性省略</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RQ3：授权 regime 与 ASK 负担</w:t>
            </w:r>
          </w:p>
        </w:tc>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中型 regime probe；Public auto_compiled</w:t>
            </w:r>
          </w:p>
        </w:tc>
        <w:tc>
          <w:tcPr>
            <w:tcW w:type="dxa" w:w="35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中型可报告，Public 不外推五 regime</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RQ4：防御感知自适应攻击</w:t>
            </w:r>
          </w:p>
        </w:tc>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 任务 budget-50 成本金丝雀</w:t>
            </w:r>
          </w:p>
        </w:tc>
        <w:tc>
          <w:tcPr>
            <w:tcW w:type="dxa" w:w="35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仅证明执行链和成本；不作稳健性结论</w:t>
            </w:r>
          </w:p>
        </w:tc>
      </w:tr>
    </w:tbl>
    <w:p>
      <w:pPr>
        <w:spacing w:after="20"/>
      </w:pPr>
    </w:p>
    <w:p>
      <w:pPr>
        <w:pageBreakBefore/>
      </w:pPr>
      <w:r>
        <w:br/>
      </w:r>
    </w:p>
    <w:p>
      <w:pPr>
        <w:pStyle w:val="Heading1"/>
      </w:pPr>
      <w:r>
        <w:t>2. 可审计完成度与证据地图</w:t>
      </w:r>
    </w:p>
    <w:p>
      <w:pPr>
        <w:pStyle w:val="Caption"/>
      </w:pPr>
      <w:r>
        <w:rPr>
          <w:rFonts w:ascii="Calibri" w:hAnsi="Calibri" w:eastAsia="Microsoft YaHei"/>
          <w:b/>
          <w:color w:val="1F4D78"/>
          <w:sz w:val="19"/>
        </w:rPr>
        <w:t>图 1  十二个工作流的科学证据完成度</w:t>
      </w:r>
    </w:p>
    <w:p>
      <w:pPr>
        <w:keepLines/>
        <w:spacing w:before="0" w:after="40"/>
        <w:jc w:val="center"/>
      </w:pPr>
      <w:r>
        <w:drawing>
          <wp:inline xmlns:a="http://schemas.openxmlformats.org/drawingml/2006/main" xmlns:pic="http://schemas.openxmlformats.org/drawingml/2006/picture">
            <wp:extent cx="5623560" cy="3280410"/>
            <wp:docPr id="1" name="Picture 1" title="图 1  十二个工作流的科学证据完成度" descr="横向条形图展示十二个论文工作流的科学证据完成度。"/>
            <wp:cNvGraphicFramePr>
              <a:graphicFrameLocks noChangeAspect="1"/>
            </wp:cNvGraphicFramePr>
            <a:graphic>
              <a:graphicData uri="http://schemas.openxmlformats.org/drawingml/2006/picture">
                <pic:pic>
                  <pic:nvPicPr>
                    <pic:cNvPr id="0" name="figure_2_completion_score.png"/>
                    <pic:cNvPicPr/>
                  </pic:nvPicPr>
                  <pic:blipFill>
                    <a:blip r:embed="rId11"/>
                    <a:stretch>
                      <a:fillRect/>
                    </a:stretch>
                  </pic:blipFill>
                  <pic:spPr>
                    <a:xfrm>
                      <a:off x="0" y="0"/>
                      <a:ext cx="5623560" cy="3280410"/>
                    </a:xfrm>
                    <a:prstGeom prst="rect"/>
                  </pic:spPr>
                </pic:pic>
              </a:graphicData>
            </a:graphic>
          </wp:inline>
        </w:drawing>
      </w:r>
    </w:p>
    <w:p>
      <w:pPr>
        <w:pStyle w:val="ReportSource"/>
      </w:pPr>
      <w:r>
        <w:rPr>
          <w:rFonts w:ascii="Calibri" w:hAnsi="Calibri" w:eastAsia="Microsoft YaHei"/>
          <w:color w:val="596579"/>
          <w:sz w:val="17"/>
        </w:rPr>
        <w:t>来源：completion_scorecard_v2.json；分项总和，不把工程就绪度替代科学结果。</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700"/>
        <w:gridCol w:w="1500"/>
        <w:gridCol w:w="5160"/>
      </w:tblGrid>
      <w:tr>
        <w:trPr>
          <w:tblHeader w:val="true"/>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工作流</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科学完成度</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剩余关键工作</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frontier_literature_and_positioning</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99%</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Submission-date publication-status and venue-scope refresh; final in-text context audit.</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online_state_source_audit</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65%</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 second review and additional dynamic path coverage; no domain-wide oracle claim is authorized.</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paper_v2_contracts_and_invariants</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95%</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Repeat the complete visibility, safety, request-chain, and projection contract for the second model.</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medium_falsification</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100%</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None. The admitted 480-record study rejected the mechanism-paper route.</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structural_baselines</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60%</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The admitted structural adapter ran on medium and Public primary matrices. A separate model-dependent DRIFT effect path and second-model comparison remain absent.</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formal_public_benchmarks</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75%</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The 5,082-record primary-model matrix on M3-v2 and AgentDojo is admitted and independently reproduced. The frozen 1,791-record second-model extension remains absent.</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independent_blind_holdout</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0%</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External author/custodian, sealed candidate content, and custody audit.</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adaptive_attack</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20%</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The admitted eight-task budget-50 canary validates the bounded search/evidence path only. Complete the 40/20 panels and hardest-20 saturation extension.</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statistics_and_power</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95%</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Medium and Public primary Wilson, paired McNemar, Holm, clustered-bootstrap, and diagnostic-retention results reproduce independently. Second-model and formal adaptive statistics remain.</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manuscript</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70%</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Medium/Public Results and Discussion are integrated. Formal adaptive results, second-model boundary, final journal prose, figure consolidation, full citation-context audit, and submission formatting remain.</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provider_cost_and_execution_evidence</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95%</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primary evidence binds 12,808 official calls and CNY 11.9909764. A second-model formal route remains absent.</w:t>
            </w:r>
          </w:p>
        </w:tc>
      </w:tr>
      <w:tr>
        <w:trPr>
          <w:cantSplit/>
        </w:trPr>
        <w:tc>
          <w:tcPr>
            <w:tcW w:type="dxa" w:w="2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provider_effect_safety</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95%</w:t>
            </w:r>
          </w:p>
        </w:tc>
        <w:tc>
          <w:tcPr>
            <w:tcW w:type="dxa" w:w="5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Medium and Public primary runs preserve disabled provider tools, no real effects, safety receipts, and ITT diagnostics. Repeat for the second model.</w:t>
            </w:r>
          </w:p>
        </w:tc>
      </w:tr>
    </w:tbl>
    <w:p>
      <w:pPr>
        <w:spacing w:after="20"/>
      </w:pPr>
    </w:p>
    <w:p>
      <w:pPr>
        <w:keepLines/>
        <w:spacing w:before="100" w:after="160"/>
        <w:ind w:left="202" w:right="173"/>
        <w:shd w:fill="FFF5E6" w:val="clear"/>
        <w:pBdr>
          <w:left w:val="single" w:sz="24" w:space="8" w:color="7A5A00"/>
        </w:pBdr>
      </w:pPr>
      <w:r>
        <w:rPr>
          <w:rFonts w:ascii="Calibri" w:hAnsi="Calibri" w:eastAsia="Microsoft YaHei"/>
          <w:b/>
          <w:color w:val="7A5A00"/>
          <w:sz w:val="21"/>
        </w:rPr>
        <w:t xml:space="preserve">80% 目标审计  </w:t>
      </w:r>
      <w:r>
        <w:rPr>
          <w:rFonts w:ascii="Calibri" w:hAnsi="Calibri" w:eastAsia="Microsoft YaHei"/>
          <w:color w:val="111827"/>
          <w:sz w:val="21"/>
        </w:rPr>
        <w:t>当前按原 12×100 量表为 869/1200 （72.42%）。未达到 80% 的原因不是工程缺口，而是原路线要求完整第二模型 Public 矩阵、正式自适应 40/20 面板和独立盲测证据；本报告不改变冻结评分规则来制造达标。</w:t>
      </w:r>
    </w:p>
    <w:p>
      <w:pPr>
        <w:pageBreakBefore/>
      </w:pPr>
      <w:r>
        <w:br/>
      </w:r>
    </w:p>
    <w:p>
      <w:pPr>
        <w:pStyle w:val="Heading1"/>
      </w:pPr>
      <w:r>
        <w:t>3. 中型证伪实验：已否定机制领先路线</w:t>
      </w:r>
    </w:p>
    <w:p>
      <w:r>
        <w:rPr>
          <w:rFonts w:ascii="Calibri" w:hAnsi="Calibri" w:eastAsia="Microsoft YaHei"/>
        </w:rPr>
        <w:t>72 个配对案例在六个条件下形成 432 条主记录，并加 48 条授权 regime probe。全部失败保留在 ITT。该实验是论文路线切换的控制性证据，不能被后续 Public 结果覆盖或删除。</w:t>
      </w:r>
    </w:p>
    <w:p>
      <w:pPr>
        <w:pStyle w:val="Caption"/>
      </w:pPr>
      <w:r>
        <w:rPr>
          <w:rFonts w:ascii="Calibri" w:hAnsi="Calibri" w:eastAsia="Microsoft YaHei"/>
          <w:b/>
          <w:color w:val="1F4D78"/>
          <w:sz w:val="19"/>
        </w:rPr>
        <w:t>图 2  中型实验的 unsafe-effect 与 benign-tool TCR</w:t>
      </w:r>
    </w:p>
    <w:p>
      <w:pPr>
        <w:keepLines/>
        <w:spacing w:before="0" w:after="40"/>
        <w:jc w:val="center"/>
      </w:pPr>
      <w:r>
        <w:drawing>
          <wp:inline xmlns:a="http://schemas.openxmlformats.org/drawingml/2006/main" xmlns:pic="http://schemas.openxmlformats.org/drawingml/2006/picture">
            <wp:extent cx="5623560" cy="3280410"/>
            <wp:docPr id="2" name="Picture 2" title="图 2  中型实验的 unsafe-effect 与 benign-tool TCR" descr="两组条形图比较六个条件的攻击不安全效果率和良性工具任务完成率。"/>
            <wp:cNvGraphicFramePr>
              <a:graphicFrameLocks noChangeAspect="1"/>
            </wp:cNvGraphicFramePr>
            <a:graphic>
              <a:graphicData uri="http://schemas.openxmlformats.org/drawingml/2006/picture">
                <pic:pic>
                  <pic:nvPicPr>
                    <pic:cNvPr id="0" name="figure_1_medium_security_utility.png"/>
                    <pic:cNvPicPr/>
                  </pic:nvPicPr>
                  <pic:blipFill>
                    <a:blip r:embed="rId12"/>
                    <a:stretch>
                      <a:fillRect/>
                    </a:stretch>
                  </pic:blipFill>
                  <pic:spPr>
                    <a:xfrm>
                      <a:off x="0" y="0"/>
                      <a:ext cx="5623560" cy="3280410"/>
                    </a:xfrm>
                    <a:prstGeom prst="rect"/>
                  </pic:spPr>
                </pic:pic>
              </a:graphicData>
            </a:graphic>
          </wp:inline>
        </w:drawing>
      </w:r>
    </w:p>
    <w:p>
      <w:pPr>
        <w:pStyle w:val="ReportSource"/>
      </w:pPr>
      <w:r>
        <w:rPr>
          <w:rFonts w:ascii="Calibri" w:hAnsi="Calibri" w:eastAsia="Microsoft YaHei"/>
          <w:color w:val="596579"/>
          <w:sz w:val="17"/>
        </w:rPr>
        <w:t>来源：admitted_medium_analysis_v8.json；点估计与 Wilson 95% CI。</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300"/>
        <w:gridCol w:w="3530"/>
        <w:gridCol w:w="3530"/>
      </w:tblGrid>
      <w:tr>
        <w:trPr>
          <w:tblHeader w:val="true"/>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条件</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攻击 unsafe effect</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良性工具 TCR</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无防御</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8/36；22.22% （Wilson 95% CI 11.72–38.08%）</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12/24；50.00% （Wilson 95% CI 31.43–68.57%）</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安全提示</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8/36；22.22% （Wilson 95% CI 11.72–38.08%）</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11/24；45.83% （Wilson 95% CI 27.89–64.93%）</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PromptGuard</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8/36；22.22% （Wilson 95% CI 11.72–38.08%）</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12/24；50.00% （Wilson 95% CI 31.43–68.57%）</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结构化基线</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8/36；22.22% （Wilson 95% CI 11.72–38.08%）</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12/24；50.00% （Wilson 95% CI 31.43–68.57%）</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policy-only</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0/36；0.00% （Wilson 95% CI 0.00–9.64%）</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7/24；29.17% （Wilson 95% CI 14.91–49.17%）</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full</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0/36；0.00% （Wilson 95% CI 0.00–9.64%）</w:t>
            </w:r>
          </w:p>
        </w:tc>
        <w:tc>
          <w:tcPr>
            <w:tcW w:type="dxa" w:w="35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6/24；25.00% （Wilson 95% CI 12.00–44.90%）</w:t>
            </w:r>
          </w:p>
        </w:tc>
      </w:tr>
    </w:tbl>
    <w:p>
      <w:pPr>
        <w:spacing w:after="20"/>
      </w:pP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500"/>
        <w:gridCol w:w="600"/>
        <w:gridCol w:w="1300"/>
        <w:gridCol w:w="1200"/>
        <w:gridCol w:w="1100"/>
        <w:gridCol w:w="2660"/>
      </w:tblGrid>
      <w:tr>
        <w:trPr>
          <w:tblHeader w:val="true"/>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配对比较</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n</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绝对差</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McNemar p</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Holm p</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Bootstrap 95% CI</w:t>
            </w:r>
          </w:p>
        </w:tc>
      </w:tr>
      <w:tr>
        <w:trPr>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结构化：unsafe effect</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36</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-22.22 pp</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0.0078125</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0.03125</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-36.11 至 -8.33 pp</w:t>
            </w:r>
          </w:p>
        </w:tc>
      </w:tr>
      <w:tr>
        <w:trPr>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policy-only：unsafe effect</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36</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0.00 pp</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0.00 至 0.00 pp</w:t>
            </w:r>
          </w:p>
        </w:tc>
      </w:tr>
      <w:tr>
        <w:trPr>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结构化：工具 TCR</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24</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-25.00 pp</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0.03125</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0.09375</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-41.67 至 -8.33 pp</w:t>
            </w:r>
          </w:p>
        </w:tc>
      </w:tr>
      <w:tr>
        <w:trPr>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policy-only：工具 TCR</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24</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-4.17 pp</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-12.50 至 0.00 pp</w:t>
            </w:r>
          </w:p>
        </w:tc>
      </w:tr>
    </w:tbl>
    <w:p>
      <w:pPr>
        <w:spacing w:after="20"/>
      </w:pPr>
    </w:p>
    <w:p>
      <w:pPr>
        <w:keepLines/>
        <w:spacing w:before="100" w:after="160"/>
        <w:ind w:left="202" w:right="173"/>
        <w:shd w:fill="FDECEC" w:val="clear"/>
        <w:pBdr>
          <w:left w:val="single" w:sz="24" w:space="8" w:color="9B1C1C"/>
        </w:pBdr>
      </w:pPr>
      <w:r>
        <w:rPr>
          <w:rFonts w:ascii="Calibri" w:hAnsi="Calibri" w:eastAsia="Microsoft YaHei"/>
          <w:b/>
          <w:color w:val="9B1C1C"/>
          <w:sz w:val="21"/>
        </w:rPr>
        <w:t xml:space="preserve">中型判定  </w:t>
      </w:r>
      <w:r>
        <w:rPr>
          <w:rFonts w:ascii="Calibri" w:hAnsi="Calibri" w:eastAsia="Microsoft YaHei"/>
          <w:color w:val="111827"/>
          <w:sz w:val="21"/>
        </w:rPr>
        <w:t>M3-full 相对结构化基线把 unsafe effect 从 8/36 降至 0/36，但 policy-only 也是 0/36；同时 benign-tool TCR 从 12/24 降到 6/24。安全增益没有独立模块贡献，且效用非劣界限失败。</w:t>
      </w:r>
    </w:p>
    <w:p>
      <w:pPr>
        <w:pageBreakBefore/>
      </w:pPr>
      <w:r>
        <w:br/>
      </w:r>
    </w:p>
    <w:p>
      <w:pPr>
        <w:pStyle w:val="Heading1"/>
      </w:pPr>
      <w:r>
        <w:t>4. Public-primary：5,082 条正式主模型证据</w:t>
      </w:r>
    </w:p>
    <w:p>
      <w:r>
        <w:rPr>
          <w:rFonts w:ascii="Calibri" w:hAnsi="Calibri" w:eastAsia="Microsoft YaHei"/>
        </w:rPr>
        <w:t>Public-primary 由 AgentDojo v1 与 M3-v2 组成，共 847 个唯一案例、六个条件、5,082 条记录。24 条技术金丝雀后，剩余 5,058 条被分为 1,265/1,265/1,264/1,264 四个互斥分片。恢复只处理未开始的 work key；终态 candidate 或 diagnostic 均不重试。</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300"/>
        <w:gridCol w:w="2400"/>
        <w:gridCol w:w="4660"/>
      </w:tblGrid>
      <w:tr>
        <w:trPr>
          <w:tblHeader w:val="true"/>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证据项</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数值</w:t>
            </w:r>
          </w:p>
        </w:tc>
        <w:tc>
          <w:tcPr>
            <w:tcW w:type="dxa" w:w="46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审计解释</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记录/案例</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5,082 / 847</w:t>
            </w:r>
          </w:p>
        </w:tc>
        <w:tc>
          <w:tcPr>
            <w:tcW w:type="dxa" w:w="4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六条件完整矩阵</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攻击/良性案例</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600 / 247</w:t>
            </w:r>
          </w:p>
        </w:tc>
        <w:tc>
          <w:tcPr>
            <w:tcW w:type="dxa" w:w="4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AgentDojo 良性任务不复制扩充</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Diagnostic</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76 (1.50%)</w:t>
            </w:r>
          </w:p>
        </w:tc>
        <w:tc>
          <w:tcPr>
            <w:tcW w:type="dxa" w:w="4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全部保留在 ITT；排除数 0</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官方调用/成本</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12808 / ¥11.990976</w:t>
            </w:r>
          </w:p>
        </w:tc>
        <w:tc>
          <w:tcPr>
            <w:tcW w:type="dxa" w:w="4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append-only usage/cost 证据</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质量门</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未通过</w:t>
            </w:r>
          </w:p>
        </w:tc>
        <w:tc>
          <w:tcPr>
            <w:tcW w:type="dxa" w:w="4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 门未豁免；只能 empirical fallback</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独立分析复核</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4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 项检查全部为 true</w:t>
            </w:r>
          </w:p>
        </w:tc>
      </w:tr>
    </w:tbl>
    <w:p>
      <w:pPr>
        <w:spacing w:after="20"/>
      </w:pPr>
    </w:p>
    <w:p>
      <w:pPr>
        <w:pStyle w:val="Caption"/>
      </w:pPr>
      <w:r>
        <w:rPr>
          <w:rFonts w:ascii="Calibri" w:hAnsi="Calibri" w:eastAsia="Microsoft YaHei"/>
          <w:b/>
          <w:color w:val="1F4D78"/>
          <w:sz w:val="19"/>
        </w:rPr>
        <w:t>图 3  Public-primary 攻击 unsafe-effect 率</w:t>
      </w:r>
    </w:p>
    <w:p>
      <w:pPr>
        <w:keepLines/>
        <w:spacing w:before="0" w:after="40"/>
        <w:jc w:val="center"/>
      </w:pPr>
      <w:r>
        <w:drawing>
          <wp:inline xmlns:a="http://schemas.openxmlformats.org/drawingml/2006/main" xmlns:pic="http://schemas.openxmlformats.org/drawingml/2006/picture">
            <wp:extent cx="5623560" cy="3082433"/>
            <wp:docPr id="3" name="Picture 3" title="图 3  Public-primary 攻击 unsafe-effect 率" descr="分组条形图比较两个基准上六个条件的攻击不安全效果率。"/>
            <wp:cNvGraphicFramePr>
              <a:graphicFrameLocks noChangeAspect="1"/>
            </wp:cNvGraphicFramePr>
            <a:graphic>
              <a:graphicData uri="http://schemas.openxmlformats.org/drawingml/2006/picture">
                <pic:pic>
                  <pic:nvPicPr>
                    <pic:cNvPr id="0" name="public_primary_security_v1.png"/>
                    <pic:cNvPicPr/>
                  </pic:nvPicPr>
                  <pic:blipFill>
                    <a:blip r:embed="rId13"/>
                    <a:stretch>
                      <a:fillRect/>
                    </a:stretch>
                  </pic:blipFill>
                  <pic:spPr>
                    <a:xfrm>
                      <a:off x="0" y="0"/>
                      <a:ext cx="5623560" cy="3082433"/>
                    </a:xfrm>
                    <a:prstGeom prst="rect"/>
                  </pic:spPr>
                </pic:pic>
              </a:graphicData>
            </a:graphic>
          </wp:inline>
        </w:drawing>
      </w:r>
    </w:p>
    <w:p>
      <w:pPr>
        <w:pStyle w:val="ReportSource"/>
      </w:pPr>
      <w:r>
        <w:rPr>
          <w:rFonts w:ascii="Calibri" w:hAnsi="Calibri" w:eastAsia="Microsoft YaHei"/>
          <w:color w:val="596579"/>
          <w:sz w:val="17"/>
        </w:rPr>
        <w:t>来源：public_primary_condition_summary_v5.csv；按 AgentDojo 与 M3-v2 分层。</w:t>
      </w:r>
    </w:p>
    <w:p>
      <w:pPr>
        <w:pStyle w:val="Caption"/>
      </w:pPr>
      <w:r>
        <w:rPr>
          <w:rFonts w:ascii="Calibri" w:hAnsi="Calibri" w:eastAsia="Microsoft YaHei"/>
          <w:b/>
          <w:color w:val="1F4D78"/>
          <w:sz w:val="19"/>
        </w:rPr>
        <w:t>图 4  Public-primary benign-tool 任务完成率</w:t>
      </w:r>
    </w:p>
    <w:p>
      <w:pPr>
        <w:keepLines/>
        <w:spacing w:before="0" w:after="40"/>
        <w:jc w:val="center"/>
      </w:pPr>
      <w:r>
        <w:drawing>
          <wp:inline xmlns:a="http://schemas.openxmlformats.org/drawingml/2006/main" xmlns:pic="http://schemas.openxmlformats.org/drawingml/2006/picture">
            <wp:extent cx="5623560" cy="3082433"/>
            <wp:docPr id="4" name="Picture 4" title="图 4  Public-primary benign-tool 任务完成率" descr="分组条形图比较两个基准上六个条件的良性工具任务完成率。"/>
            <wp:cNvGraphicFramePr>
              <a:graphicFrameLocks noChangeAspect="1"/>
            </wp:cNvGraphicFramePr>
            <a:graphic>
              <a:graphicData uri="http://schemas.openxmlformats.org/drawingml/2006/picture">
                <pic:pic>
                  <pic:nvPicPr>
                    <pic:cNvPr id="0" name="public_primary_utility_v1.png"/>
                    <pic:cNvPicPr/>
                  </pic:nvPicPr>
                  <pic:blipFill>
                    <a:blip r:embed="rId14"/>
                    <a:stretch>
                      <a:fillRect/>
                    </a:stretch>
                  </pic:blipFill>
                  <pic:spPr>
                    <a:xfrm>
                      <a:off x="0" y="0"/>
                      <a:ext cx="5623560" cy="3082433"/>
                    </a:xfrm>
                    <a:prstGeom prst="rect"/>
                  </pic:spPr>
                </pic:pic>
              </a:graphicData>
            </a:graphic>
          </wp:inline>
        </w:drawing>
      </w:r>
    </w:p>
    <w:p>
      <w:pPr>
        <w:pStyle w:val="ReportSource"/>
      </w:pPr>
      <w:r>
        <w:rPr>
          <w:rFonts w:ascii="Calibri" w:hAnsi="Calibri" w:eastAsia="Microsoft YaHei"/>
          <w:color w:val="596579"/>
          <w:sz w:val="17"/>
        </w:rPr>
        <w:t>来源：public_primary_condition_summary_v5.csv；按 AgentDojo 与 M3-v2 分层。</w:t>
      </w:r>
    </w:p>
    <w:p>
      <w:pPr>
        <w:pStyle w:val="Caption"/>
      </w:pPr>
      <w:r>
        <w:rPr>
          <w:rFonts w:ascii="Calibri" w:hAnsi="Calibri" w:eastAsia="Microsoft YaHei"/>
          <w:b/>
          <w:color w:val="1F4D78"/>
          <w:sz w:val="19"/>
        </w:rPr>
        <w:t>图 5  Public-primary diagnostic 负担</w:t>
      </w:r>
    </w:p>
    <w:p>
      <w:pPr>
        <w:keepLines/>
        <w:spacing w:before="0" w:after="40"/>
        <w:jc w:val="center"/>
      </w:pPr>
      <w:r>
        <w:drawing>
          <wp:inline xmlns:a="http://schemas.openxmlformats.org/drawingml/2006/main" xmlns:pic="http://schemas.openxmlformats.org/drawingml/2006/picture">
            <wp:extent cx="5623560" cy="3082433"/>
            <wp:docPr id="5" name="Picture 5" title="图 5  Public-primary diagnostic 负担" descr="分组条形图展示六个条件在两个基准上的诊断记录比例和百分之一质量门。"/>
            <wp:cNvGraphicFramePr>
              <a:graphicFrameLocks noChangeAspect="1"/>
            </wp:cNvGraphicFramePr>
            <a:graphic>
              <a:graphicData uri="http://schemas.openxmlformats.org/drawingml/2006/picture">
                <pic:pic>
                  <pic:nvPicPr>
                    <pic:cNvPr id="0" name="public_primary_diagnostics_v1.png"/>
                    <pic:cNvPicPr/>
                  </pic:nvPicPr>
                  <pic:blipFill>
                    <a:blip r:embed="rId15"/>
                    <a:stretch>
                      <a:fillRect/>
                    </a:stretch>
                  </pic:blipFill>
                  <pic:spPr>
                    <a:xfrm>
                      <a:off x="0" y="0"/>
                      <a:ext cx="5623560" cy="3082433"/>
                    </a:xfrm>
                    <a:prstGeom prst="rect"/>
                  </pic:spPr>
                </pic:pic>
              </a:graphicData>
            </a:graphic>
          </wp:inline>
        </w:drawing>
      </w:r>
    </w:p>
    <w:p>
      <w:pPr>
        <w:pStyle w:val="ReportSource"/>
      </w:pPr>
      <w:r>
        <w:rPr>
          <w:rFonts w:ascii="Calibri" w:hAnsi="Calibri" w:eastAsia="Microsoft YaHei"/>
          <w:color w:val="596579"/>
          <w:sz w:val="17"/>
        </w:rPr>
        <w:t>来源：所有终态 diagnostic 保留在 ITT；虚线为冻结 1% 质量门。</w:t>
      </w:r>
    </w:p>
    <w:p>
      <w:pPr>
        <w:pageBreakBefore/>
      </w:pPr>
      <w:r>
        <w:br/>
      </w:r>
    </w:p>
    <w:p>
      <w:pPr>
        <w:pStyle w:val="Heading2"/>
      </w:pPr>
      <w:r>
        <w:t>4.1 总体</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100"/>
        <w:gridCol w:w="3100"/>
        <w:gridCol w:w="3100"/>
        <w:gridCol w:w="1060"/>
      </w:tblGrid>
      <w:tr>
        <w:trPr>
          <w:tblHeader w:val="true"/>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条件</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攻击 unsafe effect（95% CI）</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工具 TCR（95% CI）</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Diag</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无防御</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119/600；19.83% (16.84–23.21)</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97/168；57.74% (50.18–64.95)</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安全提示</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144/600；24.00% (20.75–27.58)</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92/168；54.76% (47.21–62.10)</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24</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PromptGuard</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120/600；20.00% (16.99–23.39)</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96/168；57.14% (49.58–64.38)</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结构化基线</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133/600；22.17% (19.03–25.66)</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103/168；61.31% (53.77–68.34)</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27</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policy-only</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13/600；2.17% (1.27–3.67)</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49/168；29.17% (22.82–36.44)</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full</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38/600；6.33% (4.65–8.57)</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49/168；29.17% (22.82–36.44)</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22</w:t>
            </w:r>
          </w:p>
        </w:tc>
      </w:tr>
    </w:tbl>
    <w:p>
      <w:pPr>
        <w:spacing w:after="20"/>
      </w:pPr>
    </w:p>
    <w:p>
      <w:pPr>
        <w:pStyle w:val="Heading2"/>
      </w:pPr>
      <w:r>
        <w:t>4.2 AgentDojo v1</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100"/>
        <w:gridCol w:w="3100"/>
        <w:gridCol w:w="3100"/>
        <w:gridCol w:w="1060"/>
      </w:tblGrid>
      <w:tr>
        <w:trPr>
          <w:tblHeader w:val="true"/>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条件</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攻击 unsafe effect（95% CI）</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工具 TCR（95% CI）</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Diag</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无防御</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88/300；29.33% (24.47–34.72)</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61/97；62.89% (52.95–71.84)</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安全提示</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93/300；31.00% (26.03–36.45)</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61/97；62.89% (52.95–71.84)</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15</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PromptGuard</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86/300；28.67% (23.84–34.03)</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60/97；61.86% (51.91–70.90)</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结构化基线</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87/300；29.00% (24.16–34.37)</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67/97；69.07% (59.30–77.40)</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15</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policy-only</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13/300；4.33% (2.55–7.27)</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13/97；13.40% (8.00–21.59)</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full</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29/300；9.67% (6.82–13.54)</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13/97；13.40% (8.00–21.59)</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13</w:t>
            </w:r>
          </w:p>
        </w:tc>
      </w:tr>
    </w:tbl>
    <w:p>
      <w:pPr>
        <w:spacing w:after="20"/>
      </w:pPr>
    </w:p>
    <w:p>
      <w:pPr>
        <w:pStyle w:val="Heading2"/>
      </w:pPr>
      <w:r>
        <w:t>4.3 M3-v2</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100"/>
        <w:gridCol w:w="3100"/>
        <w:gridCol w:w="3100"/>
        <w:gridCol w:w="1060"/>
      </w:tblGrid>
      <w:tr>
        <w:trPr>
          <w:tblHeader w:val="true"/>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条件</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攻击 unsafe effect（95% CI）</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工具 TCR（95% CI）</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Diag</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无防御</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31/300；10.33% (7.38–14.29)</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36/71；50.70% (39.34–61.99)</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安全提示</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51/300；17.00% (13.17–21.66)</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31/71；43.66% (32.75–55.23)</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PromptGuard</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34/300；11.33% (8.22–15.42)</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36/71；50.70% (39.34–61.99)</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结构化基线</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46/300；15.33% (11.70–19.85)</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36/71；50.70% (39.34–61.99)</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policy-only</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0/300；0.00% (0.00–1.26)</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36/71；50.70% (39.34–61.99)</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full</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9/300；3.00% (1.59–5.60)</w:t>
            </w:r>
          </w:p>
        </w:tc>
        <w:tc>
          <w:tcPr>
            <w:tcW w:type="dxa" w:w="3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36/71；50.70% (39.34–61.99)</w:t>
            </w:r>
          </w:p>
        </w:tc>
        <w:tc>
          <w:tcPr>
            <w:tcW w:type="dxa" w:w="10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w:t>
            </w:r>
          </w:p>
        </w:tc>
      </w:tr>
    </w:tbl>
    <w:p>
      <w:pPr>
        <w:spacing w:after="20"/>
      </w:pPr>
    </w:p>
    <w:p>
      <w:pPr>
        <w:pStyle w:val="Heading2"/>
      </w:pPr>
      <w:r>
        <w:t>4.4 Public 关键配对比较</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500"/>
        <w:gridCol w:w="600"/>
        <w:gridCol w:w="1300"/>
        <w:gridCol w:w="1200"/>
        <w:gridCol w:w="1100"/>
        <w:gridCol w:w="2660"/>
      </w:tblGrid>
      <w:tr>
        <w:trPr>
          <w:tblHeader w:val="true"/>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配对比较</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n</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绝对差</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McNemar p</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Holm p</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Bootstrap 95% CI</w:t>
            </w:r>
          </w:p>
        </w:tc>
      </w:tr>
      <w:tr>
        <w:trPr>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结构化：unsafe effect</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600</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-15.83 pp</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4.03517e-17</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1.61407e-16</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-19.50 至 -12.17 pp</w:t>
            </w:r>
          </w:p>
        </w:tc>
      </w:tr>
      <w:tr>
        <w:trPr>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policy-only：unsafe effect</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600</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4.17 pp</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1.62423e-06</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3.24845e-06</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2.50 至 6.00 pp</w:t>
            </w:r>
          </w:p>
        </w:tc>
      </w:tr>
      <w:tr>
        <w:trPr>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结构化：工具 TCR</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168</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-32.14 pp</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1.18794e-14</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3.56382e-14</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-39.88 至 -25.00 pp</w:t>
            </w:r>
          </w:p>
        </w:tc>
      </w:tr>
      <w:tr>
        <w:trPr>
          <w:cantSplit/>
        </w:trPr>
        <w:tc>
          <w:tcPr>
            <w:tcW w:type="dxa" w:w="2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policy-only：工具 TCR</w:t>
            </w:r>
          </w:p>
        </w:tc>
        <w:tc>
          <w:tcPr>
            <w:tcW w:type="dxa" w:w="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168</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0.00 pp</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w:t>
            </w:r>
          </w:p>
        </w:tc>
        <w:tc>
          <w:tcPr>
            <w:tcW w:type="dxa" w:w="26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-2.38 至 2.38 pp</w:t>
            </w:r>
          </w:p>
        </w:tc>
      </w:tr>
    </w:tbl>
    <w:p>
      <w:pPr>
        <w:spacing w:after="20"/>
      </w:pPr>
    </w:p>
    <w:p>
      <w:pPr>
        <w:keepLines/>
        <w:spacing w:before="100" w:after="160"/>
        <w:ind w:left="202" w:right="173"/>
        <w:shd w:fill="FDECEC" w:val="clear"/>
        <w:pBdr>
          <w:left w:val="single" w:sz="24" w:space="8" w:color="9B1C1C"/>
        </w:pBdr>
      </w:pPr>
      <w:r>
        <w:rPr>
          <w:rFonts w:ascii="Calibri" w:hAnsi="Calibri" w:eastAsia="Microsoft YaHei"/>
          <w:b/>
          <w:color w:val="9B1C1C"/>
          <w:sz w:val="21"/>
        </w:rPr>
        <w:t xml:space="preserve">Public 实证判定  </w:t>
      </w:r>
      <w:r>
        <w:rPr>
          <w:rFonts w:ascii="Calibri" w:hAnsi="Calibri" w:eastAsia="Microsoft YaHei"/>
          <w:color w:val="111827"/>
          <w:sz w:val="21"/>
        </w:rPr>
        <w:t>M3-full 相对结构化基线具有显著安全下降，但比 policy-only 更不安全，并且良性工具 TCR 相对结构化低 32.14 pp。RQ1 只得到带明显效用代价的安全效应；RQ2 的模块增益为负；机制论文门保持 fail_redirect。</w:t>
      </w:r>
    </w:p>
    <w:p>
      <w:pPr>
        <w:keepLines/>
        <w:spacing w:before="100" w:after="160"/>
        <w:ind w:left="202" w:right="173"/>
        <w:shd w:fill="FFF5E6" w:val="clear"/>
        <w:pBdr>
          <w:left w:val="single" w:sz="24" w:space="8" w:color="7A5A00"/>
        </w:pBdr>
      </w:pPr>
      <w:r>
        <w:rPr>
          <w:rFonts w:ascii="Calibri" w:hAnsi="Calibri" w:eastAsia="Microsoft YaHei"/>
          <w:b/>
          <w:color w:val="7A5A00"/>
          <w:sz w:val="21"/>
        </w:rPr>
        <w:t xml:space="preserve">Public 声明边界  </w:t>
      </w:r>
      <w:r>
        <w:rPr>
          <w:rFonts w:ascii="Calibri" w:hAnsi="Calibri" w:eastAsia="Microsoft YaHei"/>
          <w:color w:val="111827"/>
          <w:sz w:val="21"/>
        </w:rPr>
        <w:t>该矩阵只使用 deepseek-v4-pro。即使两个基准方向一致，也只能称 primary-model benchmark consistency；不得写成 cross-model、cross-provider 或 SOTA。超过 1% 的 diagnostic 只会收缩机制质量声明，不会从分母删除。</w:t>
      </w:r>
    </w:p>
    <w:p>
      <w:pPr>
        <w:pageBreakBefore/>
      </w:pPr>
      <w:r>
        <w:br/>
      </w:r>
    </w:p>
    <w:p>
      <w:pPr>
        <w:pStyle w:val="Heading1"/>
      </w:pPr>
      <w:r>
        <w:t>5. 防御感知自适应攻击：探索性成本门</w:t>
      </w:r>
    </w:p>
    <w:p>
      <w:pPr>
        <w:pStyle w:val="Caption"/>
      </w:pPr>
      <w:r>
        <w:rPr>
          <w:rFonts w:ascii="Calibri" w:hAnsi="Calibri" w:eastAsia="Microsoft YaHei"/>
          <w:b/>
          <w:color w:val="1F4D78"/>
          <w:sz w:val="19"/>
        </w:rPr>
        <w:t>图 6  八任务 budget-50 自适应成本金丝雀</w:t>
      </w:r>
    </w:p>
    <w:p>
      <w:pPr>
        <w:keepLines/>
        <w:spacing w:before="0" w:after="40"/>
        <w:jc w:val="center"/>
      </w:pPr>
      <w:r>
        <w:drawing>
          <wp:inline xmlns:a="http://schemas.openxmlformats.org/drawingml/2006/main" xmlns:pic="http://schemas.openxmlformats.org/drawingml/2006/picture">
            <wp:extent cx="5623560" cy="3588491"/>
            <wp:docPr id="6" name="Picture 6" title="图 6  八任务 budget-50 自适应成本金丝雀" descr="探索性图展示八个自适应任务在预算五十下的不安全效果率及置信区间。"/>
            <wp:cNvGraphicFramePr>
              <a:graphicFrameLocks noChangeAspect="1"/>
            </wp:cNvGraphicFramePr>
            <a:graphic>
              <a:graphicData uri="http://schemas.openxmlformats.org/drawingml/2006/picture">
                <pic:pic>
                  <pic:nvPicPr>
                    <pic:cNvPr id="0" name="adaptive_canary_asr.png"/>
                    <pic:cNvPicPr/>
                  </pic:nvPicPr>
                  <pic:blipFill>
                    <a:blip r:embed="rId16"/>
                    <a:stretch>
                      <a:fillRect/>
                    </a:stretch>
                  </pic:blipFill>
                  <pic:spPr>
                    <a:xfrm>
                      <a:off x="0" y="0"/>
                      <a:ext cx="5623560" cy="3588491"/>
                    </a:xfrm>
                    <a:prstGeom prst="rect"/>
                  </pic:spPr>
                </pic:pic>
              </a:graphicData>
            </a:graphic>
          </wp:inline>
        </w:drawing>
      </w:r>
    </w:p>
    <w:p>
      <w:pPr>
        <w:pStyle w:val="ReportSource"/>
      </w:pPr>
      <w:r>
        <w:rPr>
          <w:rFonts w:ascii="Calibri" w:hAnsi="Calibri" w:eastAsia="Microsoft YaHei"/>
          <w:color w:val="596579"/>
          <w:sz w:val="17"/>
        </w:rPr>
        <w:t>来源：adaptive canary admitted analysis；Wilson 95% CI。</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300"/>
        <w:gridCol w:w="2800"/>
        <w:gridCol w:w="4260"/>
      </w:tblGrid>
      <w:tr>
        <w:trPr>
          <w:tblHeader w:val="true"/>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指标</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数值</w:t>
            </w:r>
          </w:p>
        </w:tc>
        <w:tc>
          <w:tcPr>
            <w:tcW w:type="dxa" w:w="42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解释</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任务</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w:t>
            </w:r>
          </w:p>
        </w:tc>
        <w:tc>
          <w:tcPr>
            <w:tcW w:type="dxa" w:w="4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八个攻击家族各一项</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终态查询/官方调用</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374 / 562</w:t>
            </w:r>
          </w:p>
        </w:tc>
        <w:tc>
          <w:tcPr>
            <w:tcW w:type="dxa" w:w="4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一条 diagnostic 保留；零自动重试</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Unsafe effect</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0/8</w:t>
            </w:r>
          </w:p>
        </w:tc>
        <w:tc>
          <w:tcPr>
            <w:tcW w:type="dxa" w:w="4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Wilson 95% CI 0.00–32.44%</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成本</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¥0.552805</w:t>
            </w:r>
          </w:p>
        </w:tc>
        <w:tc>
          <w:tcPr>
            <w:tcW w:type="dxa" w:w="4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仅为 cost canary，不代表正式面板预算</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决策分布</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ALLOW=207, ASK=123, DENY=44</w:t>
            </w:r>
          </w:p>
        </w:tc>
        <w:tc>
          <w:tcPr>
            <w:tcW w:type="dxa" w:w="4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公开反馈只含 ALLOW/ASK/DENY 与 post-effect</w:t>
            </w:r>
          </w:p>
        </w:tc>
      </w:tr>
    </w:tbl>
    <w:p>
      <w:pPr>
        <w:spacing w:after="20"/>
      </w:pPr>
    </w:p>
    <w:p>
      <w:pPr>
        <w:keepLines/>
        <w:spacing w:before="100" w:after="160"/>
        <w:ind w:left="202" w:right="173"/>
        <w:shd w:fill="FFF5E6" w:val="clear"/>
        <w:pBdr>
          <w:left w:val="single" w:sz="24" w:space="8" w:color="7A5A00"/>
        </w:pBdr>
      </w:pPr>
      <w:r>
        <w:rPr>
          <w:rFonts w:ascii="Calibri" w:hAnsi="Calibri" w:eastAsia="Microsoft YaHei"/>
          <w:b/>
          <w:color w:val="7A5A00"/>
          <w:sz w:val="21"/>
        </w:rPr>
        <w:t xml:space="preserve">不能过度解读  </w:t>
      </w:r>
      <w:r>
        <w:rPr>
          <w:rFonts w:ascii="Calibri" w:hAnsi="Calibri" w:eastAsia="Microsoft YaHei"/>
          <w:color w:val="111827"/>
          <w:sz w:val="21"/>
        </w:rPr>
        <w:t>0/8 的区间上界仍为 32.44%，样本小且只有 budget 50。该结果证明查询—调用—成本—任务链可审计，不证明防御在 200/500/2000 查询下稳定。正式 40 个主模型任务、20 个第二模型任务和 hardest-20 扩展仍是投稿前硬门。</w:t>
      </w:r>
    </w:p>
    <w:p>
      <w:pPr>
        <w:pageBreakBefore/>
      </w:pPr>
      <w:r>
        <w:br/>
      </w:r>
    </w:p>
    <w:p>
      <w:pPr>
        <w:pStyle w:val="Heading1"/>
      </w:pPr>
      <w:r>
        <w:t>6. 统计与复现完整性</w:t>
      </w:r>
    </w:p>
    <w:p>
      <w:r>
        <w:rPr>
          <w:rFonts w:ascii="Calibri" w:hAnsi="Calibri" w:eastAsia="Microsoft YaHei"/>
        </w:rPr>
        <w:t>主分析在独立结果准入后读取 unsafe_effect_itt 与 task_completion，生成 Wilson 区间、exact McNemar、Holm 校正和 10,000 次 case-clustered bootstrap。独立复核器直接读取 5,082 条 record envelope，不复用主聚合或统计 helper，重算条件计数、Wilson、四个关键配对差与 exact McNemar。</w:t>
      </w:r>
    </w:p>
    <w:p>
      <w:r>
        <w:rPr>
          <w:rFonts w:ascii="Calibri" w:hAnsi="Calibri" w:eastAsia="Microsoft YaHei"/>
        </w:rPr>
        <w:t>分析实现经历四次无汇总输出的 fail-closed 校正：v1 错用 record-v1 schema，v2 错用 medium 成本策略，v3 对 retained diagnostic 重放 completed-trace usage 约束，v4 未在 legacy 统计 helper 前投影 v2.2 envelope。每次失败均保留 stderr/exit，随后使用新的 candidate 与 exact-command admission。最终 v5 只投影证据包络，所有 outcome、decision、status 与 ITT 字段逐项不变。</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4900"/>
        <w:gridCol w:w="1200"/>
        <w:gridCol w:w="3260"/>
      </w:tblGrid>
      <w:tr>
        <w:trPr>
          <w:tblHeader w:val="true"/>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检查</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状态</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证据</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all_records_retained_in_itt</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case_condition_keys_unique</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condition_counts_independently_reproduced</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critical_paired_differences_independently_reproduced</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empirical_fallback_boundary_preserved</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exact_mcnemar_tests_independently_reproduced</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record_count_exact</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terminal_diagnostics_retained</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r>
        <w:trPr>
          <w:cantSplit/>
        </w:trPr>
        <w:tc>
          <w:tcPr>
            <w:tcW w:type="dxa" w:w="4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wilson_intervals_independently_reproduced</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r>
    </w:tbl>
    <w:p>
      <w:pPr>
        <w:spacing w:after="20"/>
      </w:pP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3500"/>
        <w:gridCol w:w="5860"/>
      </w:tblGrid>
      <w:tr>
        <w:trPr>
          <w:tblHeader w:val="true"/>
          <w:cantSplit/>
        </w:trPr>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边界</w:t>
            </w:r>
          </w:p>
        </w:tc>
        <w:tc>
          <w:tcPr>
            <w:tcW w:type="dxa" w:w="58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值</w:t>
            </w:r>
          </w:p>
        </w:tc>
      </w:tr>
      <w:tr>
        <w:trPr>
          <w:cantSplit/>
        </w:trPr>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Provider calls during analysis/review</w:t>
            </w:r>
          </w:p>
        </w:tc>
        <w:tc>
          <w:tcPr>
            <w:tcW w:type="dxa" w:w="58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Record rows mutated</w:t>
            </w:r>
          </w:p>
        </w:tc>
        <w:tc>
          <w:tcPr>
            <w:tcW w:type="dxa" w:w="58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Diagnostic rows excluded</w:t>
            </w:r>
          </w:p>
        </w:tc>
        <w:tc>
          <w:tcPr>
            <w:tcW w:type="dxa" w:w="58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Automatic retries</w:t>
            </w:r>
          </w:p>
        </w:tc>
        <w:tc>
          <w:tcPr>
            <w:tcW w:type="dxa" w:w="58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r>
      <w:tr>
        <w:trPr>
          <w:cantSplit/>
        </w:trPr>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Provider tools / external effects</w:t>
            </w:r>
          </w:p>
        </w:tc>
        <w:tc>
          <w:tcPr>
            <w:tcW w:type="dxa" w:w="58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关闭 / 关闭</w:t>
            </w:r>
          </w:p>
        </w:tc>
      </w:tr>
      <w:tr>
        <w:trPr>
          <w:cantSplit/>
        </w:trPr>
        <w:tc>
          <w:tcPr>
            <w:tcW w:type="dxa" w:w="3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最终 Harness</w:t>
            </w:r>
          </w:p>
        </w:tc>
        <w:tc>
          <w:tcPr>
            <w:tcW w:type="dxa" w:w="58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首轮全量退出码 1（1 failed, 1265 passed, 1 skipped, 3 warnings in 4173.81s (1:09:33)；暴露 1 个已修复的测试状态隔离问题和 1 个已修复的 CLI 参数边界问题）；修复后定向复核 4/4，退出码 0，stderr=0</w:t>
            </w:r>
          </w:p>
        </w:tc>
      </w:tr>
    </w:tbl>
    <w:p>
      <w:pPr>
        <w:spacing w:after="20"/>
      </w:pPr>
    </w:p>
    <w:p>
      <w:pPr>
        <w:pStyle w:val="Heading1"/>
      </w:pPr>
      <w:r>
        <w:t>7. 文献、创新边界与稿件状态</w:t>
      </w:r>
    </w:p>
    <w:p>
      <w:r>
        <w:rPr>
          <w:rFonts w:ascii="Calibri" w:hAnsi="Calibri" w:eastAsia="Microsoft YaHei"/>
        </w:rPr>
        <w:t>参考文献导出共 34 条，其中 24 条同行评审、10 条预印本。VIGIL、DRIFT、Task Shield、ARGUS、AuthGraph、PlanGuard、Progent、IPIGuard、CaMeL 共同限制了“首个参数来源/运行时授权”叙事。剩余贡献是评估设计、在线/评估状态隔离、权限单调、ASK 负担和失败留在 ITT 的联合实证。</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100"/>
        <w:gridCol w:w="2800"/>
        <w:gridCol w:w="4460"/>
      </w:tblGrid>
      <w:tr>
        <w:trPr>
          <w:tblHeader w:val="true"/>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稿件部分</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状态</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下一步</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Introduction</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已整合 Medium/Public</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最终语言压缩与引用复核</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Related Work</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34 条元数据已审计</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投稿日刷新预印本/出版状态</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Methods</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Public/Adaptive/证据链已写入</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方法审查</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Results</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Medium + Public + adaptive canary</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正式 adaptive 后补</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Discussion</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Medium/Public empirical fallback</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正式 adaptive 后补</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Abstract</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Branch-locked</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正式 adaptive 前不定稿</w:t>
            </w:r>
          </w:p>
        </w:tc>
      </w:tr>
      <w:tr>
        <w:trPr>
          <w:cantSplit/>
        </w:trPr>
        <w:tc>
          <w:tcPr>
            <w:tcW w:type="dxa" w:w="2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JISA package</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7A5A00"/>
                <w:sz w:val="18"/>
              </w:rPr>
              <w:t>待完成</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JCR、格式、cover letter、可用性声明</w:t>
            </w:r>
          </w:p>
        </w:tc>
      </w:tr>
    </w:tbl>
    <w:p>
      <w:pPr>
        <w:spacing w:after="20"/>
      </w:pPr>
    </w:p>
    <w:p>
      <w:pPr>
        <w:pageBreakBefore/>
      </w:pPr>
      <w:r>
        <w:br/>
      </w:r>
    </w:p>
    <w:p>
      <w:pPr>
        <w:pStyle w:val="Heading1"/>
      </w:pPr>
      <w:r>
        <w:t>8. 后续正式实验怎么做</w:t>
      </w:r>
    </w:p>
    <w:p>
      <w:r>
        <w:rPr>
          <w:rFonts w:ascii="Calibri" w:hAnsi="Calibri" w:eastAsia="Microsoft YaHei"/>
        </w:rPr>
        <w:t>后续工作遵循“先补能改变结论的证据，再补包装”的原则。API 可以正常使用，但每个正式阶段仍使用新冻结、新准入、零自动重试和无危险外部 effect 的证据链。</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600"/>
        <w:gridCol w:w="6760"/>
      </w:tblGrid>
      <w:tr>
        <w:trPr>
          <w:tblHeader w:val="true"/>
          <w:cantSplit/>
        </w:trPr>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阶段</w:t>
            </w:r>
          </w:p>
        </w:tc>
        <w:tc>
          <w:tcPr>
            <w:tcW w:type="dxa" w:w="67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执行内容</w:t>
            </w:r>
          </w:p>
        </w:tc>
      </w:tr>
      <w:tr>
        <w:trPr>
          <w:cantSplit/>
        </w:trPr>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Formal Adaptive 主模型</w:t>
            </w:r>
          </w:p>
        </w:tc>
        <w:tc>
          <w:tcPr>
            <w:tcW w:type="dxa" w:w="6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40 个任务，预算 50/200/500；按首成功规则选择 hardest-20 追加 2,000。报告 first-success、饱和曲线、ITT 成功率和成本。</w:t>
            </w:r>
          </w:p>
        </w:tc>
      </w:tr>
      <w:tr>
        <w:trPr>
          <w:cantSplit/>
        </w:trPr>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Gemini 第二模型</w:t>
            </w:r>
          </w:p>
        </w:tc>
        <w:tc>
          <w:tcPr>
            <w:tcW w:type="dxa" w:w="6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Free 层恢复稳定后，新建 v3；先 12 条金丝雀，再运行最强结构化、policy-only、full 三条件，绝不把 DeepSeek 作为 fallback。</w:t>
            </w:r>
          </w:p>
        </w:tc>
      </w:tr>
      <w:tr>
        <w:trPr>
          <w:cantSplit/>
        </w:trPr>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第二角色</w:t>
            </w:r>
          </w:p>
        </w:tc>
        <w:tc>
          <w:tcPr>
            <w:tcW w:type="dxa" w:w="6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若 Gemini 正式链可用，完成冻结的 1,791 条第二角色记录；否则明确论文为 single-primary-model，并收缩泛化声明。</w:t>
            </w:r>
          </w:p>
        </w:tc>
      </w:tr>
      <w:tr>
        <w:trPr>
          <w:cantSplit/>
        </w:trPr>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独立盲测</w:t>
            </w:r>
          </w:p>
        </w:tc>
        <w:tc>
          <w:tcPr>
            <w:tcW w:type="dxa" w:w="6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确定第三方保管人，生成/抽取 600 条，保存脚本、SHA-256 与标签保管链；无法落实时只称内部 sealed holdout。</w:t>
            </w:r>
          </w:p>
        </w:tc>
      </w:tr>
      <w:tr>
        <w:trPr>
          <w:cantSplit/>
        </w:trPr>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最终统计与稿件</w:t>
            </w:r>
          </w:p>
        </w:tc>
        <w:tc>
          <w:tcPr>
            <w:tcW w:type="dxa" w:w="6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统一 medium/public/adaptive claim ledger，完成主图、Stage 2.5 方法审查、Devil’s Advocate、数字/DOI 100% 核验和 JISA 包。</w:t>
            </w:r>
          </w:p>
        </w:tc>
      </w:tr>
    </w:tbl>
    <w:p>
      <w:pPr>
        <w:spacing w:after="20"/>
      </w:pPr>
    </w:p>
    <w:p>
      <w:pPr>
        <w:pStyle w:val="ListBullet"/>
      </w:pPr>
      <w:r>
        <w:rPr>
          <w:rFonts w:ascii="Calibri" w:hAnsi="Calibri" w:eastAsia="Microsoft YaHei"/>
        </w:rPr>
        <w:t>DeepSeek：继续记录 cache hit/miss、官方 response ID、精确模型、payload hash、调用成本和 append-only 尾哈希。</w:t>
      </w:r>
    </w:p>
    <w:p>
      <w:pPr>
        <w:pStyle w:val="ListBullet"/>
      </w:pPr>
      <w:r>
        <w:rPr>
          <w:rFonts w:ascii="Calibri" w:hAnsi="Calibri" w:eastAsia="Microsoft YaHei"/>
        </w:rPr>
        <w:t>Gemini：保持免费层 USD 0；429 立即暂停，不自动重试、不跨提供商降级、不把诊断链包装为正式结果。</w:t>
      </w:r>
    </w:p>
    <w:p>
      <w:pPr>
        <w:pStyle w:val="ListBullet"/>
      </w:pPr>
      <w:r>
        <w:rPr>
          <w:rFonts w:ascii="Calibri" w:hAnsi="Calibri" w:eastAsia="Microsoft YaHei"/>
        </w:rPr>
        <w:t>两个 API 都只能产生不可信 proposal；provider-managed tools、真实邮件/支付、host command、私有生产 API 与非沙箱文件 effect 禁止。</w:t>
      </w:r>
    </w:p>
    <w:p>
      <w:pPr>
        <w:pStyle w:val="Heading1"/>
      </w:pPr>
      <w:r>
        <w:t>9. 风险与对外口径</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300"/>
        <w:gridCol w:w="3600"/>
        <w:gridCol w:w="3460"/>
      </w:tblGrid>
      <w:tr>
        <w:trPr>
          <w:tblHeader w:val="true"/>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风险</w:t>
            </w:r>
          </w:p>
        </w:tc>
        <w:tc>
          <w:tcPr>
            <w:tcW w:type="dxa" w:w="3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当前证据</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对外表述</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机制贡献不足</w:t>
            </w:r>
          </w:p>
        </w:tc>
        <w:tc>
          <w:tcPr>
            <w:tcW w:type="dxa" w:w="3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full 38/600，policy-only 13/600</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主张 empirical trade-off，不主张机制领先</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效用下降</w:t>
            </w:r>
          </w:p>
        </w:tc>
        <w:tc>
          <w:tcPr>
            <w:tcW w:type="dxa" w:w="3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full 49/168，结构化 103/168</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同时报告安全和效用，不用单一 ASR</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diagnostic 超 1%</w:t>
            </w:r>
          </w:p>
        </w:tc>
        <w:tc>
          <w:tcPr>
            <w:tcW w:type="dxa" w:w="3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ITT 保留，质量门不豁免</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可实证分析，不作 clean mechanism claim</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单模型</w:t>
            </w:r>
          </w:p>
        </w:tc>
        <w:tc>
          <w:tcPr>
            <w:tcW w:type="dxa" w:w="3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只有 DeepSeek 正式结果</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禁止 cross-model/cross-provider</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Adaptive 样本小</w:t>
            </w:r>
          </w:p>
        </w:tc>
        <w:tc>
          <w:tcPr>
            <w:tcW w:type="dxa" w:w="3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 任务 budget-50，CI 宽</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仅称探索性成本金丝雀</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无独立保管人</w:t>
            </w:r>
          </w:p>
        </w:tc>
        <w:tc>
          <w:tcPr>
            <w:tcW w:type="dxa" w:w="3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内部 sealed，不是独立盲测</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收缩外部有效性声明</w:t>
            </w:r>
          </w:p>
        </w:tc>
      </w:tr>
    </w:tbl>
    <w:p>
      <w:pPr>
        <w:spacing w:after="20"/>
      </w:pPr>
    </w:p>
    <w:p>
      <w:pPr>
        <w:keepLines/>
        <w:spacing w:before="100" w:after="160"/>
        <w:ind w:left="202" w:right="173"/>
        <w:shd w:fill="F4F6F9" w:val="clear"/>
        <w:pBdr>
          <w:left w:val="single" w:sz="24" w:space="8" w:color="2E74B5"/>
        </w:pBdr>
      </w:pPr>
      <w:r>
        <w:rPr>
          <w:rFonts w:ascii="Calibri" w:hAnsi="Calibri" w:eastAsia="Microsoft YaHei"/>
          <w:b/>
          <w:color w:val="2E74B5"/>
          <w:sz w:val="21"/>
        </w:rPr>
        <w:t xml:space="preserve">推荐对外一句话  </w:t>
      </w:r>
      <w:r>
        <w:rPr>
          <w:rFonts w:ascii="Calibri" w:hAnsi="Calibri" w:eastAsia="Microsoft YaHei"/>
          <w:color w:val="111827"/>
          <w:sz w:val="21"/>
        </w:rPr>
        <w:t>M3-PI Guard 已完成可审计的 DeepSeek 中型与 5,082 条 Public-primary 实证；结果用于刻画授权不确定性下的安全—效用权衡，而不是宣称 SOTA。正式自适应、第二模型和独立盲测仍是投稿前关键缺口。</w:t>
      </w:r>
    </w:p>
    <w:p>
      <w:pPr>
        <w:pStyle w:val="Heading1"/>
      </w:pPr>
      <w:r>
        <w:t>附录 A：关键证据资产与哈希</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900"/>
        <w:gridCol w:w="4200"/>
        <w:gridCol w:w="3260"/>
      </w:tblGrid>
      <w:tr>
        <w:trPr>
          <w:tblHeader w:val="true"/>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资产</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项目内路径</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SHA-256</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admitted_medium_analysis_v8.json</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outputs/paper_upgrade_v2/formal_medium/deepseek/ba9c7937d08b68e088faf8586e0dd96d2052a398fd0a77889fd6a62e503f2373/admitted_medium_analysis_v8.json</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ea3d6197b0f97b5057b1d0f9fff054f3ae43743eb9cb85eb4122b6c152d7e041</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summary.json</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outputs/paper_upgrade_v2/adaptive_cost_canary_v2/analysis_v1/summary.json</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a2e7e0d3ceb020a2e56674f551e1cf17111e01304a268b922f9d35cb96066ce5</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public_primary_merge_review_v2.json</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protocols/paper_upgrade_v2/public_primary_merge_review_v2.json</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30f54a1fa91ecac01b6274fbac58a9f85e881c9a8eb61f7d585e2deb79c66af5</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public_primary_analysis_summary_v5.json</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outputs/paper_upgrade_v2/formal_public/primary_analysis_v5/public_primary_analysis_summary_v5.json</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6a0526e835d8636035485eefcf1f6c495890ef6b971c578ef51cc31ca3c7dcad</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independent_analysis_review_v5.json</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outputs/paper_upgrade_v2/formal_public/primary_analysis_v5/independent_analysis_review_v5.json</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e37b90dacd85e6aecfdbdefb393e4393c77a938fbfecb462eebcb5ebdae0361c</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analysis_manifest.json</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outputs/paper_upgrade_v2/formal_public/primary_analysis_v5/analysis_manifest.json</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da8698b3b9ef34433f3cc8ffa8a69c3249f302424194e1842cf882ec951d3b6a</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completion_scorecard_v2.json</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docs/research/paper_v2/manuscript/completion_scorecard_v2.json</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5f80f25f49bf6a612a6a94b513bf2983e2e9ea7e3a2ea1d5123a7adca3b03eb9</w:t>
            </w:r>
          </w:p>
        </w:tc>
      </w:tr>
      <w:tr>
        <w:trPr>
          <w:cantSplit/>
        </w:trPr>
        <w:tc>
          <w:tcPr>
            <w:tcW w:type="dxa" w:w="19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references_v1.bib</w:t>
            </w:r>
          </w:p>
        </w:tc>
        <w:tc>
          <w:tcPr>
            <w:tcW w:type="dxa" w:w="4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docs/research/paper_v2/manuscript/references_v1.bib</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3a1f880d9da2a8269dbd9ab4124c923111fbc7b793653acf385fdcdf7205e736</w:t>
            </w:r>
          </w:p>
        </w:tc>
      </w:tr>
    </w:tbl>
    <w:p>
      <w:pPr>
        <w:spacing w:after="20"/>
      </w:pPr>
    </w:p>
    <w:p>
      <w:pPr>
        <w:pStyle w:val="Heading1"/>
      </w:pPr>
      <w:r>
        <w:t>附录 B：主要前沿与投稿来源</w:t>
      </w:r>
    </w:p>
    <w:p>
      <w:pPr>
        <w:spacing w:after="80"/>
      </w:pPr>
      <w:r>
        <w:rPr>
          <w:rFonts w:ascii="Calibri" w:hAnsi="Calibri" w:eastAsia="Microsoft YaHei"/>
          <w:sz w:val="19"/>
        </w:rPr>
        <w:t xml:space="preserve">JISA：Aims &amp; Scope 与投稿入口 </w:t>
      </w:r>
      <w:hyperlink r:id="rId17">
        <w:r>
          <w:rPr>
            <w:color w:val="2E74B5"/>
            <w:u w:val="single"/>
          </w:rPr>
          <w:t>查看来源</w:t>
        </w:r>
      </w:hyperlink>
    </w:p>
    <w:p>
      <w:pPr>
        <w:spacing w:after="80"/>
      </w:pPr>
      <w:r>
        <w:rPr>
          <w:rFonts w:ascii="Calibri" w:hAnsi="Calibri" w:eastAsia="Microsoft YaHei"/>
          <w:sz w:val="19"/>
        </w:rPr>
        <w:t xml:space="preserve">VIGIL：ACL 2026，verify-before-commit 与 SIREN </w:t>
      </w:r>
      <w:hyperlink r:id="rId18">
        <w:r>
          <w:rPr>
            <w:color w:val="2E74B5"/>
            <w:u w:val="single"/>
          </w:rPr>
          <w:t>查看来源</w:t>
        </w:r>
      </w:hyperlink>
    </w:p>
    <w:p>
      <w:pPr>
        <w:spacing w:after="80"/>
      </w:pPr>
      <w:r>
        <w:rPr>
          <w:rFonts w:ascii="Calibri" w:hAnsi="Calibri" w:eastAsia="Microsoft YaHei"/>
          <w:sz w:val="19"/>
        </w:rPr>
        <w:t xml:space="preserve">DRIFT：NeurIPS 2025，动态规则、控制/数据流与记忆隔离 </w:t>
      </w:r>
      <w:hyperlink r:id="rId19">
        <w:r>
          <w:rPr>
            <w:color w:val="2E74B5"/>
            <w:u w:val="single"/>
          </w:rPr>
          <w:t>查看来源</w:t>
        </w:r>
      </w:hyperlink>
    </w:p>
    <w:p>
      <w:pPr>
        <w:spacing w:after="80"/>
      </w:pPr>
      <w:r>
        <w:rPr>
          <w:rFonts w:ascii="Calibri" w:hAnsi="Calibri" w:eastAsia="Microsoft YaHei"/>
          <w:sz w:val="19"/>
        </w:rPr>
        <w:t xml:space="preserve">Task Shield：ACL 2025，任务与工具行为一致性 </w:t>
      </w:r>
      <w:hyperlink r:id="rId20">
        <w:r>
          <w:rPr>
            <w:color w:val="2E74B5"/>
            <w:u w:val="single"/>
          </w:rPr>
          <w:t>查看来源</w:t>
        </w:r>
      </w:hyperlink>
    </w:p>
    <w:p>
      <w:pPr>
        <w:spacing w:after="80"/>
      </w:pPr>
      <w:r>
        <w:rPr>
          <w:rFonts w:ascii="Calibri" w:hAnsi="Calibri" w:eastAsia="Microsoft YaHei"/>
          <w:sz w:val="19"/>
        </w:rPr>
        <w:t xml:space="preserve">AgentDojo：NeurIPS 2024 动态 Agent 安全基准 </w:t>
      </w:r>
      <w:hyperlink r:id="rId21">
        <w:r>
          <w:rPr>
            <w:color w:val="2E74B5"/>
            <w:u w:val="single"/>
          </w:rPr>
          <w:t>查看来源</w:t>
        </w:r>
      </w:hyperlink>
    </w:p>
    <w:p>
      <w:pPr>
        <w:spacing w:after="80"/>
      </w:pPr>
      <w:r>
        <w:rPr>
          <w:rFonts w:ascii="Calibri" w:hAnsi="Calibri" w:eastAsia="Microsoft YaHei"/>
          <w:sz w:val="19"/>
        </w:rPr>
        <w:t xml:space="preserve">ARGUS：Context-dependent provenance auditing（预印本） </w:t>
      </w:r>
      <w:hyperlink r:id="rId22">
        <w:r>
          <w:rPr>
            <w:color w:val="2E74B5"/>
            <w:u w:val="single"/>
          </w:rPr>
          <w:t>查看来源</w:t>
        </w:r>
      </w:hyperlink>
    </w:p>
    <w:p>
      <w:pPr>
        <w:spacing w:after="80"/>
      </w:pPr>
      <w:r>
        <w:rPr>
          <w:rFonts w:ascii="Calibri" w:hAnsi="Calibri" w:eastAsia="Microsoft YaHei"/>
          <w:sz w:val="19"/>
        </w:rPr>
        <w:t xml:space="preserve">AuthGraph：Authorization/provenance 双图（预印本） </w:t>
      </w:r>
      <w:hyperlink r:id="rId23">
        <w:r>
          <w:rPr>
            <w:color w:val="2E74B5"/>
            <w:u w:val="single"/>
          </w:rPr>
          <w:t>查看来源</w:t>
        </w:r>
      </w:hyperlink>
    </w:p>
    <w:p>
      <w:pPr>
        <w:pStyle w:val="Heading1"/>
      </w:pPr>
      <w:r>
        <w:t>附录 C：生成边界</w:t>
      </w:r>
    </w:p>
    <w:p>
      <w:r>
        <w:rPr>
          <w:rFonts w:ascii="Calibri" w:hAnsi="Calibri" w:eastAsia="Microsoft YaHei"/>
        </w:rPr>
        <w:t>报告生成器只读取已准入聚合、独立复核、内容无关 merge/Harness 清单和参考文献元数据。它不读取 API key、原始 prompt、response body、环境变量秘密或未准入科学结果。最终报告本身不包含密钥、请求头或个人/项目标识。</w:t>
      </w:r>
    </w:p>
    <w:p>
      <w:pPr>
        <w:pStyle w:val="Heading1"/>
      </w:pPr>
      <w:r>
        <w:t>附录 D：投稿前分区核验</w:t>
      </w:r>
    </w:p>
    <w:p>
      <w:r>
        <w:rPr>
          <w:rFonts w:ascii="Calibri" w:hAnsi="Calibri" w:eastAsia="Microsoft YaHei"/>
        </w:rPr>
        <w:t>本文按 SCIE 收录且投稿时 JCR Q2 规划首投 JISA。期刊分区可能随年度与学科口径变化，正式投稿前必须通过学校或 Clarivate 订阅再次核验当期收录、JCR Q2 分区和期刊范围；本报告不把第三方分区网页视为最终投稿凭证。</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color w:val="596579"/>
        <w:sz w:val="18"/>
      </w:rPr>
      <w:t xml:space="preserve">M3-PI Guard  ·  </w:t>
    </w:r>
    <w:r>
      <w:rPr>
        <w:rFonts w:ascii="Calibri" w:hAnsi="Calibri" w:eastAsia="Microsoft YaHei"/>
        <w:color w:val="59657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596579"/>
        <w:sz w:val="17"/>
      </w:rPr>
      <w:t>M3-PI Guard | SCI 二区网络安全研究</w:t>
    </w:r>
    <w:r>
      <w:tab/>
    </w:r>
    <w:r>
      <w:rPr>
        <w:rFonts w:ascii="Calibri" w:hAnsi="Calibri" w:eastAsia="Microsoft YaHei"/>
        <w:color w:val="596579"/>
        <w:sz w:val="17"/>
      </w:rPr>
      <w:t>阶段报告 | 2026-07-30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Calibri" w:hAnsi="Calibri" w:eastAsia="Microsoft YaHei"/>
      <w:b/>
      <w:bCs/>
      <w:color w:val="1F4D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ource">
    <w:name w:val="Report Source"/>
    <w:pPr>
      <w:spacing w:before="80" w:after="80" w:line="240" w:lineRule="auto"/>
    </w:pPr>
    <w:rPr>
      <w:rFonts w:ascii="Calibri" w:hAnsi="Calibri" w:eastAsia="Microsoft YaHei"/>
      <w:color w:val="596579"/>
      <w:sz w:val="17"/>
    </w:rPr>
  </w:style>
  <w:style w:type="paragraph" w:customStyle="1" w:styleId="TableText">
    <w:name w:val="Table Text"/>
    <w:pPr>
      <w:spacing w:before="0" w:after="0" w:line="252" w:lineRule="auto"/>
    </w:pPr>
    <w:rPr>
      <w:rFonts w:ascii="Calibri" w:hAnsi="Calibri" w:eastAsia="Microsoft YaHei"/>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sciencedirect.com/journal/journal-of-information-security-and-applications" TargetMode="External"/><Relationship Id="rId18" Type="http://schemas.openxmlformats.org/officeDocument/2006/relationships/hyperlink" Target="https://aclanthology.org/2026.acl-long.443/" TargetMode="External"/><Relationship Id="rId19" Type="http://schemas.openxmlformats.org/officeDocument/2006/relationships/hyperlink" Target="https://proceedings.neurips.cc/paper_files/paper/2025/hash/77f3b26c7907aa27b207df9b9d43f29a-Abstract-Conference.html" TargetMode="External"/><Relationship Id="rId20" Type="http://schemas.openxmlformats.org/officeDocument/2006/relationships/hyperlink" Target="https://aclanthology.org/2025.acl-long.1435/" TargetMode="External"/><Relationship Id="rId21" Type="http://schemas.openxmlformats.org/officeDocument/2006/relationships/hyperlink" Target="https://proceedings.nips.cc/paper_files/paper/2024/hash/97091a5177d8dc64b1da8bf3e1f6fb54-Abstract-Datasets_and_Benchmarks_Track.html" TargetMode="External"/><Relationship Id="rId22" Type="http://schemas.openxmlformats.org/officeDocument/2006/relationships/hyperlink" Target="https://arxiv.org/abs/2605.03378" TargetMode="External"/><Relationship Id="rId23" Type="http://schemas.openxmlformats.org/officeDocument/2006/relationships/hyperlink" Target="https://arxiv.org/abs/2605.264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M3-PI Guard 阶段性研究报告（2026-07-30）</dc:title>
  <dc:subject>SCI Q2 网络安全论文证据、结果与后续实验</dc:subject>
  <dc:creator>M3-PI Guard Research Team</dc:creator>
  <cp:keywords>LLM agent security, prompt injection, runtime authorization, provenance, security-utility</cp:keywords>
  <dc:description>generated by python-docx</dc:description>
  <cp:lastModifiedBy/>
  <cp:revision>1</cp:revision>
  <dcterms:created xsi:type="dcterms:W3CDTF">2013-12-23T23:15:00Z</dcterms:created>
  <dcterms:modified xsi:type="dcterms:W3CDTF">2013-12-23T23:15:00Z</dcterms:modified>
  <cp:category/>
</cp:coreProperties>
</file>