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Microsoft YaHei" w:hAnsi="Microsoft YaHei" w:eastAsia="Microsoft YaHei"/>
          <w:b/>
          <w:color w:val="2E74B5"/>
          <w:sz w:val="20"/>
        </w:rPr>
        <w:t>阶段技术状态报告</w:t>
      </w:r>
    </w:p>
    <w:p>
      <w:pPr>
        <w:pStyle w:val="Title"/>
        <w:keepNext/>
      </w:pPr>
      <w:r>
        <w:rPr>
          <w:rFonts w:ascii="Microsoft YaHei" w:hAnsi="Microsoft YaHei" w:eastAsia="Microsoft YaHei"/>
          <w:b/>
          <w:color w:val="172B3A"/>
          <w:sz w:val="54"/>
        </w:rPr>
        <w:t>M3-PI Guard</w:t>
      </w:r>
    </w:p>
    <w:p>
      <w:pPr>
        <w:pStyle w:val="Subtitle"/>
      </w:pPr>
      <w:r>
        <w:rPr>
          <w:rFonts w:ascii="Microsoft YaHei" w:hAnsi="Microsoft YaHei" w:eastAsia="Microsoft YaHei"/>
          <w:color w:val="5D6B78"/>
          <w:sz w:val="28"/>
        </w:rPr>
        <w:t>Fresh Harness v6 收口、现有实验覆盖与结项差距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2B3A"/>
          <w:sz w:val="20"/>
        </w:rPr>
        <w:t>报告日期：</w:t>
      </w:r>
      <w:r>
        <w:rPr>
          <w:rFonts w:ascii="Microsoft YaHei" w:hAnsi="Microsoft YaHei" w:eastAsia="Microsoft YaHei"/>
          <w:color w:val="172B3A"/>
          <w:sz w:val="20"/>
        </w:rPr>
        <w:t>2026年8月6日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2B3A"/>
          <w:sz w:val="20"/>
        </w:rPr>
        <w:t>证据截止：</w:t>
      </w:r>
      <w:r>
        <w:rPr>
          <w:rFonts w:ascii="Microsoft YaHei" w:hAnsi="Microsoft YaHei" w:eastAsia="Microsoft YaHei"/>
          <w:color w:val="172B3A"/>
          <w:sz w:val="20"/>
        </w:rPr>
        <w:t>2026年8月6日 03:40（Asia/Shanghai）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2B3A"/>
          <w:sz w:val="20"/>
        </w:rPr>
        <w:t>项目状态：</w:t>
      </w:r>
      <w:r>
        <w:rPr>
          <w:rFonts w:ascii="Microsoft YaHei" w:hAnsi="Microsoft YaHei" w:eastAsia="Microsoft YaHei"/>
          <w:color w:val="172B3A"/>
          <w:sz w:val="20"/>
        </w:rPr>
        <w:t>in_progress（工程基线绿色，实验未结项）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2B3A"/>
          <w:sz w:val="20"/>
        </w:rPr>
        <w:t>阅读对象：</w:t>
      </w:r>
      <w:r>
        <w:rPr>
          <w:rFonts w:ascii="Microsoft YaHei" w:hAnsi="Microsoft YaHei" w:eastAsia="Microsoft YaHei"/>
          <w:color w:val="172B3A"/>
          <w:sz w:val="20"/>
        </w:rPr>
        <w:t>项目负责人、研究合作者、后续执行者</w:t>
      </w:r>
    </w:p>
    <w:p>
      <w:pPr>
        <w:spacing w:after="60"/>
      </w:pPr>
      <w:r>
        <w:rPr>
          <w:rFonts w:ascii="Microsoft YaHei" w:hAnsi="Microsoft YaHei" w:eastAsia="Microsoft YaHei"/>
          <w:b/>
          <w:color w:val="172B3A"/>
          <w:sz w:val="20"/>
        </w:rPr>
        <w:t>本轮边界：</w:t>
      </w:r>
      <w:r>
        <w:rPr>
          <w:rFonts w:ascii="Microsoft YaHei" w:hAnsi="Microsoft YaHei" w:eastAsia="Microsoft YaHei"/>
          <w:color w:val="172B3A"/>
          <w:sz w:val="20"/>
        </w:rPr>
        <w:t>只读盘点与报告；无新API调用、无新provider admission</w:t>
      </w:r>
    </w:p>
    <w:p>
      <w:pPr>
        <w:spacing w:after="1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2E74B5"/>
                <w:sz w:val="22"/>
              </w:rPr>
              <w:t>结论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B3A"/>
                <w:sz w:val="20"/>
              </w:rPr>
              <w:t>当前工程与证据 Harness 已通过完整重放，可以安全恢复后续工作；但 Gemini 正式矩阵、三模型正式 Adaptive 和600条独立盲测尚未完成，因此本项目不能标记为实验结项。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4"/>
              </w:rPr>
              <w:t>13/13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7"/>
              </w:rPr>
              <w:t>Harness 阶段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D6B78"/>
                <w:sz w:val="14"/>
              </w:rPr>
              <w:t>Fresh v6 全部通过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4"/>
              </w:rPr>
              <w:t>1,538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7"/>
              </w:rPr>
              <w:t>pytest 通过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D6B78"/>
                <w:sz w:val="14"/>
              </w:rPr>
              <w:t>另1跳过、3已知警告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4"/>
              </w:rPr>
              <w:t>1,791/1,791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7"/>
              </w:rPr>
              <w:t>Flash 公共记录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D6B78"/>
                <w:sz w:val="14"/>
              </w:rPr>
              <w:t>物理闭包；结果仍封存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34"/>
              </w:rPr>
              <w:t>0</w:t>
            </w:r>
          </w:p>
          <w:p>
            <w:pPr>
              <w:spacing w:after="20"/>
              <w:jc w:val="center"/>
            </w:pPr>
            <w:r>
              <w:rPr>
                <w:rFonts w:ascii="Microsoft YaHei" w:hAnsi="Microsoft YaHei" w:eastAsia="Microsoft YaHei"/>
                <w:b/>
                <w:color w:val="172B3A"/>
                <w:sz w:val="17"/>
              </w:rPr>
              <w:t>活动正式进程</w:t>
            </w:r>
          </w:p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color w:val="5D6B78"/>
                <w:sz w:val="14"/>
              </w:rPr>
              <w:t>报告前只读检查</w:t>
            </w:r>
          </w:p>
        </w:tc>
      </w:tr>
    </w:tbl>
    <w:p>
      <w:pPr>
        <w:spacing w:after="40"/>
      </w:pP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/>
          <w:color w:val="5D6B78"/>
          <w:sz w:val="18"/>
        </w:rPr>
        <w:t>本报告只陈述证据闭包、执行覆盖与剩余门槛，不判断论文胜负，不把候选、探索性前缀或绿色 Harness 解释为科研结果。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技术摘要：工程基线已收口，实验仍未结项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Fresh Harness v6 已完整通过</w:t>
      </w:r>
      <w:r>
        <w:rPr>
          <w:rFonts w:ascii="Microsoft YaHei" w:hAnsi="Microsoft YaHei" w:eastAsia="Microsoft YaHei"/>
          <w:i w:val="0"/>
          <w:color w:val="172B3A"/>
          <w:sz w:val="21"/>
        </w:rPr>
        <w:t>，可以把当前工程基线视为绿色、可恢复、可审计。直接证据包括子进程 exit 0、13/13 聚合阶段通过、pytest 1,538 通过/1 跳过/3 条已知警告，以及唯一终态“Verification failed=0”。报告生成前的只读进程盘点未发现遗留正式实验进程。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这不等于实验结项。</w:t>
      </w:r>
      <w:r>
        <w:rPr>
          <w:rFonts w:ascii="Microsoft YaHei" w:hAnsi="Microsoft YaHei" w:eastAsia="Microsoft YaHei"/>
          <w:i w:val="0"/>
          <w:color w:val="172B3A"/>
          <w:sz w:val="21"/>
        </w:rPr>
        <w:t>DeepSeek Flash 的1,791条公共矩阵实现了物理证据闭包，但科研结果仍未独立准入；Gemini Public-v5仍是非授权候选；独立盲测只完成Day-1保管人登记；正式Adaptive仍只有8任务、预算50的探索性前缀。功能状态必须继续保持 in_progress。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本轮停止点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B3A"/>
                <w:sz w:val="20"/>
              </w:rPr>
              <w:t>没有创建新的 provider admission，没有调用 DeepSeek 或 Gemini，没有运行新的 Adaptive 或盲测，也没有读取密钥或案例级盲测标签。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v6 将验证基线从部分失败修复为完整绿色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 w:val="0"/>
          <w:color w:val="172B3A"/>
          <w:sz w:val="21"/>
        </w:rPr>
        <w:t>v5 的 pytest 本身通过，但13个聚合阶段中仅10个通过；后三个证据阶段因冻结 AgentDojo checkout 的 Git ownership 防护而失败。修复只为精确冻结路径加入进程作用域 safe.directory，没有写入 global 或 repository Git config。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title="Fresh Harness 聚合阶段对比" descr="柱状图：Fresh Harness v5通过10个阶段、失败3个阶段；v6通过13个阶段、失败0个阶段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ness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i/>
          <w:color w:val="5D6B78"/>
          <w:sz w:val="16"/>
        </w:rPr>
        <w:t>图1  Fresh Harness v5/v6 聚合阶段。来源：v6 receipt、v5 failure review 与冻结验证日志；13阶段为相同口径。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v6 达到13/13</w:t>
      </w:r>
      <w:r>
        <w:rPr>
          <w:rFonts w:ascii="Microsoft YaHei" w:hAnsi="Microsoft YaHei" w:eastAsia="Microsoft YaHei"/>
          <w:i w:val="0"/>
          <w:color w:val="172B3A"/>
          <w:sz w:val="21"/>
        </w:rPr>
        <w:t>，并保持 verifier/helper 运行前后哈希稳定、冻结 AgentDojo commit 精确匹配。其含义是当前验证基线能够在正确宿主身份下完整重放；它只修复验证环境和证据链，不增加实验结果，也不授权网络调用。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剩余结项缺口集中在 Gemini、正式 Adaptive 和盲测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 w:val="0"/>
          <w:color w:val="172B3A"/>
          <w:sz w:val="21"/>
        </w:rPr>
        <w:t>DeepSeek Flash 公共矩阵已覆盖1,791/1,791个唯一工作键，16条 diagnostic 全部保留在ITT，终态重试、provider tools和external effects均为零。但一个分片的冻结质量门仍因10条 diagnostic高于上限6而失败，因此该结果只能作为经验性安全—效用证据，不能被包装成干净机制质量。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99993"/>
            <wp:docPr id="2" name="Picture 2" title="正式工作流数量覆盖率" descr="横向进度图：Flash公共100%，Gemini公共约0.1%，Pro预算50为20%，Flash预算50、Gemini预算50和独立盲测均为0%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tream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99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rPr>
          <w:rFonts w:ascii="Microsoft YaHei" w:hAnsi="Microsoft YaHei" w:eastAsia="Microsoft YaHei"/>
          <w:i/>
          <w:color w:val="5D6B78"/>
          <w:sz w:val="16"/>
        </w:rPr>
        <w:t>图2  各正式工作流数量覆盖。不同工作流单位不同，仅用于排期判断；不用于比较模型安全效果。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图中最关键的三处空白是：</w:t>
      </w:r>
      <w:r>
        <w:rPr>
          <w:rFonts w:ascii="Microsoft YaHei" w:hAnsi="Microsoft YaHei" w:eastAsia="Microsoft YaHei"/>
          <w:i w:val="0"/>
          <w:color w:val="172B3A"/>
          <w:sz w:val="21"/>
        </w:rPr>
        <w:t>Gemini正式公共矩阵、三模型正式Adaptive面板，以及600条独立盲测。它们也是当前不能宣布实验结项的直接原因。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47"/>
        <w:gridCol w:w="1901"/>
        <w:gridCol w:w="1469"/>
        <w:gridCol w:w="2693"/>
        <w:gridCol w:w="2750"/>
      </w:tblGrid>
      <w:tr>
        <w:trPr>
          <w:tblHeader w:val="true"/>
        </w:trPr>
        <w:tc>
          <w:tcPr>
            <w:tcW w:type="dxa" w:w="5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序</w:t>
            </w:r>
          </w:p>
        </w:tc>
        <w:tc>
          <w:tcPr>
            <w:tcW w:type="dxa" w:w="19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工作流</w:t>
            </w:r>
          </w:p>
        </w:tc>
        <w:tc>
          <w:tcPr>
            <w:tcW w:type="dxa" w:w="14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覆盖</w:t>
            </w:r>
          </w:p>
        </w:tc>
        <w:tc>
          <w:tcPr>
            <w:tcW w:type="dxa" w:w="26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当前状态</w:t>
            </w:r>
          </w:p>
        </w:tc>
        <w:tc>
          <w:tcPr>
            <w:tcW w:type="dxa" w:w="2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下一门槛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1</w:t>
            </w:r>
          </w:p>
        </w:tc>
        <w:tc>
          <w:tcPr>
            <w:tcW w:type="dxa" w:w="19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历史 v7 失败审计</w:t>
            </w:r>
          </w:p>
        </w:tc>
        <w:tc>
          <w:tcPr>
            <w:tcW w:type="dxa" w:w="14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1/1 冻结审计</w:t>
            </w:r>
          </w:p>
        </w:tc>
        <w:tc>
          <w:tcPr>
            <w:tcW w:type="dxa" w:w="269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完成；旧运行不可恢复</w:t>
            </w:r>
          </w:p>
        </w:tc>
        <w:tc>
          <w:tcPr>
            <w:tcW w:type="dxa" w:w="275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只读保留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2</w:t>
            </w:r>
          </w:p>
        </w:tc>
        <w:tc>
          <w:tcPr>
            <w:tcW w:type="dxa" w:w="1901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DeepSeek Flash 公共矩阵</w:t>
            </w:r>
          </w:p>
        </w:tc>
        <w:tc>
          <w:tcPr>
            <w:tcW w:type="dxa" w:w="1469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1791/1791 记录</w:t>
            </w:r>
          </w:p>
        </w:tc>
        <w:tc>
          <w:tcPr>
            <w:tcW w:type="dxa" w:w="269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物理闭包；16 diagnostic；结果封存</w:t>
            </w:r>
          </w:p>
        </w:tc>
        <w:tc>
          <w:tcPr>
            <w:tcW w:type="dxa" w:w="2750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独立结果准入与复算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3</w:t>
            </w:r>
          </w:p>
        </w:tc>
        <w:tc>
          <w:tcPr>
            <w:tcW w:type="dxa" w:w="19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Gemini 公共矩阵</w:t>
            </w:r>
          </w:p>
        </w:tc>
        <w:tc>
          <w:tcPr>
            <w:tcW w:type="dxa" w:w="14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1/1791 记录</w:t>
            </w:r>
          </w:p>
        </w:tc>
        <w:tc>
          <w:tcPr>
            <w:tcW w:type="dxa" w:w="269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Public-v5候选；10个未触碰canary待执行</w:t>
            </w:r>
          </w:p>
        </w:tc>
        <w:tc>
          <w:tcPr>
            <w:tcW w:type="dxa" w:w="275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fresh gate + 单日段 admission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4</w:t>
            </w:r>
          </w:p>
        </w:tc>
        <w:tc>
          <w:tcPr>
            <w:tcW w:type="dxa" w:w="1901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Pro Adaptive</w:t>
            </w:r>
          </w:p>
        </w:tc>
        <w:tc>
          <w:tcPr>
            <w:tcW w:type="dxa" w:w="1469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8/40 任务@50</w:t>
            </w:r>
          </w:p>
        </w:tc>
        <w:tc>
          <w:tcPr>
            <w:tcW w:type="dxa" w:w="269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探索性前缀；非正式40任务面板</w:t>
            </w:r>
          </w:p>
        </w:tc>
        <w:tc>
          <w:tcPr>
            <w:tcW w:type="dxa" w:w="2750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按50→200→500顺序扩展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5</w:t>
            </w:r>
          </w:p>
        </w:tc>
        <w:tc>
          <w:tcPr>
            <w:tcW w:type="dxa" w:w="19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Flash Adaptive</w:t>
            </w:r>
          </w:p>
        </w:tc>
        <w:tc>
          <w:tcPr>
            <w:tcW w:type="dxa" w:w="14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0/20 任务@50/200</w:t>
            </w:r>
          </w:p>
        </w:tc>
        <w:tc>
          <w:tcPr>
            <w:tcW w:type="dxa" w:w="269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未执行</w:t>
            </w:r>
          </w:p>
        </w:tc>
        <w:tc>
          <w:tcPr>
            <w:tcW w:type="dxa" w:w="275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等待Pro hardest-20×2000完成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6</w:t>
            </w:r>
          </w:p>
        </w:tc>
        <w:tc>
          <w:tcPr>
            <w:tcW w:type="dxa" w:w="1901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Gemini Adaptive</w:t>
            </w:r>
          </w:p>
        </w:tc>
        <w:tc>
          <w:tcPr>
            <w:tcW w:type="dxa" w:w="1469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0/20 任务@50/200</w:t>
            </w:r>
          </w:p>
        </w:tc>
        <w:tc>
          <w:tcPr>
            <w:tcW w:type="dxa" w:w="269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未执行</w:t>
            </w:r>
          </w:p>
        </w:tc>
        <w:tc>
          <w:tcPr>
            <w:tcW w:type="dxa" w:w="2750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等待Flash 200完成且免费层可用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7</w:t>
            </w:r>
          </w:p>
        </w:tc>
        <w:tc>
          <w:tcPr>
            <w:tcW w:type="dxa" w:w="19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独立盲测成集</w:t>
            </w:r>
          </w:p>
        </w:tc>
        <w:tc>
          <w:tcPr>
            <w:tcW w:type="dxa" w:w="14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0/600 案例</w:t>
            </w:r>
          </w:p>
        </w:tc>
        <w:tc>
          <w:tcPr>
            <w:tcW w:type="dxa" w:w="269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Day-1登记通过；未收到候选或标签</w:t>
            </w:r>
          </w:p>
        </w:tc>
        <w:tc>
          <w:tcPr>
            <w:tcW w:type="dxa" w:w="275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保管人封存候选/标签/custody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8</w:t>
            </w:r>
          </w:p>
        </w:tc>
        <w:tc>
          <w:tcPr>
            <w:tcW w:type="dxa" w:w="1901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盲测六条件执行</w:t>
            </w:r>
          </w:p>
        </w:tc>
        <w:tc>
          <w:tcPr>
            <w:tcW w:type="dxa" w:w="1469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0/3600 记录</w:t>
            </w:r>
          </w:p>
        </w:tc>
        <w:tc>
          <w:tcPr>
            <w:tcW w:type="dxa" w:w="269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未授权</w:t>
            </w:r>
          </w:p>
        </w:tc>
        <w:tc>
          <w:tcPr>
            <w:tcW w:type="dxa" w:w="2750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开发者仅导入无标签执行集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9</w:t>
            </w:r>
          </w:p>
        </w:tc>
        <w:tc>
          <w:tcPr>
            <w:tcW w:type="dxa" w:w="1901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最终统计与哈希包</w:t>
            </w:r>
          </w:p>
        </w:tc>
        <w:tc>
          <w:tcPr>
            <w:tcW w:type="dxa" w:w="1469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0/1 结项包</w:t>
            </w:r>
          </w:p>
        </w:tc>
        <w:tc>
          <w:tcPr>
            <w:tcW w:type="dxa" w:w="269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未开始</w:t>
            </w:r>
          </w:p>
        </w:tc>
        <w:tc>
          <w:tcPr>
            <w:tcW w:type="dxa" w:w="2750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5"/>
              </w:rPr>
              <w:t>公共/Adaptive/盲测全部准入后执行</w:t>
            </w:r>
          </w:p>
        </w:tc>
      </w:tr>
    </w:tbl>
    <w:p>
      <w:pPr>
        <w:spacing w:after="40"/>
      </w:pPr>
    </w:p>
    <w:p>
      <w:pPr>
        <w:pStyle w:val="Caption"/>
        <w:keepNext w:val="0"/>
      </w:pPr>
      <w:r>
        <w:rPr>
          <w:rFonts w:ascii="Microsoft YaHei" w:hAnsi="Microsoft YaHei" w:eastAsia="Microsoft YaHei"/>
          <w:i/>
          <w:color w:val="5D6B78"/>
          <w:sz w:val="16"/>
        </w:rPr>
        <w:t>表1  结项工作流状态。覆盖表示数量闭包，不表示科研结果准入。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口径与方法：本报告衡量证据闭包，不衡量论文胜负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时间窗：</w:t>
      </w:r>
      <w:r>
        <w:rPr>
          <w:rFonts w:ascii="Microsoft YaHei" w:hAnsi="Microsoft YaHei" w:eastAsia="Microsoft YaHei"/>
          <w:i w:val="0"/>
          <w:color w:val="172B3A"/>
          <w:sz w:val="21"/>
        </w:rPr>
        <w:t>证据截至2026年8月6日03:40（Asia/Shanghai）。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物理终态记录：</w:t>
      </w:r>
      <w:r>
        <w:rPr>
          <w:rFonts w:ascii="Microsoft YaHei" w:hAnsi="Microsoft YaHei" w:eastAsia="Microsoft YaHei"/>
          <w:i w:val="0"/>
          <w:color w:val="172B3A"/>
          <w:sz w:val="21"/>
        </w:rPr>
        <w:t>工作键已进入不可变记录链且尝试状态闭合；它不自动等于科研结果准入。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数量覆盖率：</w:t>
      </w:r>
      <w:r>
        <w:rPr>
          <w:rFonts w:ascii="Microsoft YaHei" w:hAnsi="Microsoft YaHei" w:eastAsia="Microsoft YaHei"/>
          <w:i w:val="0"/>
          <w:color w:val="172B3A"/>
          <w:sz w:val="21"/>
        </w:rPr>
        <w:t>已完成单位除以计划单位。公共矩阵以记录计，Adaptive以到达预算节点的任务计，盲测以完成封存的案例计。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ITT：</w:t>
      </w:r>
      <w:r>
        <w:rPr>
          <w:rFonts w:ascii="Microsoft YaHei" w:hAnsi="Microsoft YaHei" w:eastAsia="Microsoft YaHei"/>
          <w:i w:val="0"/>
          <w:color w:val="172B3A"/>
          <w:sz w:val="21"/>
        </w:rPr>
        <w:t>超时、解析失败、拒答、provider failure和diagnostic均保留在intention-to-treat分母。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绿色 Harness：</w:t>
      </w:r>
      <w:r>
        <w:rPr>
          <w:rFonts w:ascii="Microsoft YaHei" w:hAnsi="Microsoft YaHei" w:eastAsia="Microsoft YaHei"/>
          <w:i w:val="0"/>
          <w:color w:val="172B3A"/>
          <w:sz w:val="21"/>
        </w:rPr>
        <w:t>说明该次工程、冻结输入与验证脚本通过；不授权网络调用、读取结果或跳过单独provider admission。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证据复核采用四层分离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172B3A"/>
          <w:sz w:val="20"/>
        </w:rPr>
        <w:t>工程完整性：进程退出码、阶段标记、日志哈希、源码运行前后哈希和冻结依赖身份。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172B3A"/>
          <w:sz w:val="20"/>
        </w:rPr>
        <w:t>执行完整性：工作键唯一性、attempt/record/budget/trace闭包、零终态重试，以及失败留在ITT。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172B3A"/>
          <w:sz w:val="20"/>
        </w:rPr>
        <w:t>安全边界：provider tools、外部连接和真实effect始终关闭；本轮provider/network authorization=false。</w:t>
      </w:r>
    </w:p>
    <w:p>
      <w:pPr>
        <w:spacing w:after="120" w:line="264" w:lineRule="auto"/>
        <w:numPr>
          <w:ilvl w:val="0"/>
          <w:numId w:val="10"/>
        </w:numPr>
      </w:pPr>
      <w:r>
        <w:rPr>
          <w:rFonts w:ascii="Microsoft YaHei" w:hAnsi="Microsoft YaHei" w:eastAsia="Microsoft YaHei"/>
          <w:color w:val="172B3A"/>
          <w:sz w:val="20"/>
        </w:rPr>
        <w:t>科研准入：工程与执行完整性通过后，仍需独立结果admission和统计复算；candidate或merge不能自我授权。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可核验证据链已绑定，但权限边界保持关闭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547"/>
        <w:gridCol w:w="2477"/>
        <w:gridCol w:w="3053"/>
        <w:gridCol w:w="3283"/>
      </w:tblGrid>
      <w:tr>
        <w:trPr>
          <w:tblHeader w:val="true"/>
        </w:trPr>
        <w:tc>
          <w:tcPr>
            <w:tcW w:type="dxa" w:w="5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序</w:t>
            </w:r>
          </w:p>
        </w:tc>
        <w:tc>
          <w:tcPr>
            <w:tcW w:type="dxa" w:w="24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证据</w:t>
            </w:r>
          </w:p>
        </w:tc>
        <w:tc>
          <w:tcPr>
            <w:tcW w:type="dxa" w:w="305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已证明</w:t>
            </w:r>
          </w:p>
        </w:tc>
        <w:tc>
          <w:tcPr>
            <w:tcW w:type="dxa" w:w="32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未授权/边界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1</w:t>
            </w:r>
          </w:p>
        </w:tc>
        <w:tc>
          <w:tcPr>
            <w:tcW w:type="dxa" w:w="247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Fresh Harness v6 receipt</w:t>
            </w:r>
          </w:p>
        </w:tc>
        <w:tc>
          <w:tcPr>
            <w:tcW w:type="dxa" w:w="30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exit 0；13/13；evidence gate PASS</w:t>
            </w:r>
          </w:p>
        </w:tc>
        <w:tc>
          <w:tcPr>
            <w:tcW w:type="dxa" w:w="328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零provider/network授权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2</w:t>
            </w:r>
          </w:p>
        </w:tc>
        <w:tc>
          <w:tcPr>
            <w:tcW w:type="dxa" w:w="247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v6 stdout</w:t>
            </w:r>
          </w:p>
        </w:tc>
        <w:tc>
          <w:tcPr>
            <w:tcW w:type="dxa" w:w="305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唯一 Verification failed=0</w:t>
            </w:r>
          </w:p>
        </w:tc>
        <w:tc>
          <w:tcPr>
            <w:tcW w:type="dxa" w:w="328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完整日志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3</w:t>
            </w:r>
          </w:p>
        </w:tc>
        <w:tc>
          <w:tcPr>
            <w:tcW w:type="dxa" w:w="247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v6 stderr</w:t>
            </w:r>
          </w:p>
        </w:tc>
        <w:tc>
          <w:tcPr>
            <w:tcW w:type="dxa" w:w="30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无traceback；183条预期删除阻断</w:t>
            </w:r>
          </w:p>
        </w:tc>
        <w:tc>
          <w:tcPr>
            <w:tcW w:type="dxa" w:w="328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无secret-format hit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4</w:t>
            </w:r>
          </w:p>
        </w:tc>
        <w:tc>
          <w:tcPr>
            <w:tcW w:type="dxa" w:w="247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v5 failure review</w:t>
            </w:r>
          </w:p>
        </w:tc>
        <w:tc>
          <w:tcPr>
            <w:tcW w:type="dxa" w:w="305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Git ownership宿主失败已冻结</w:t>
            </w:r>
          </w:p>
        </w:tc>
        <w:tc>
          <w:tcPr>
            <w:tcW w:type="dxa" w:w="328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旧v5不重跑不改写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5</w:t>
            </w:r>
          </w:p>
        </w:tc>
        <w:tc>
          <w:tcPr>
            <w:tcW w:type="dxa" w:w="247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Git process-scope qualification</w:t>
            </w:r>
          </w:p>
        </w:tc>
        <w:tc>
          <w:tcPr>
            <w:tcW w:type="dxa" w:w="30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精确safe.directory通过</w:t>
            </w:r>
          </w:p>
        </w:tc>
        <w:tc>
          <w:tcPr>
            <w:tcW w:type="dxa" w:w="328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global/repo config未修改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6</w:t>
            </w:r>
          </w:p>
        </w:tc>
        <w:tc>
          <w:tcPr>
            <w:tcW w:type="dxa" w:w="247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Flash second-role merge</w:t>
            </w:r>
          </w:p>
        </w:tc>
        <w:tc>
          <w:tcPr>
            <w:tcW w:type="dxa" w:w="305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1791条物理闭包；完整性通过</w:t>
            </w:r>
          </w:p>
        </w:tc>
        <w:tc>
          <w:tcPr>
            <w:tcW w:type="dxa" w:w="328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科研结果访问仍false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7</w:t>
            </w:r>
          </w:p>
        </w:tc>
        <w:tc>
          <w:tcPr>
            <w:tcW w:type="dxa" w:w="247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Gemini Public-v5 candidate</w:t>
            </w:r>
          </w:p>
        </w:tc>
        <w:tc>
          <w:tcPr>
            <w:tcW w:type="dxa" w:w="30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10个未触碰canary；7个免费层日段</w:t>
            </w:r>
          </w:p>
        </w:tc>
        <w:tc>
          <w:tcPr>
            <w:tcW w:type="dxa" w:w="328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执行/矩阵/结果准入均false</w:t>
            </w:r>
          </w:p>
        </w:tc>
      </w:tr>
      <w:tr>
        <w:trPr>
          <w:cantSplit w:val="true"/>
        </w:trPr>
        <w:tc>
          <w:tcPr>
            <w:tcW w:type="dxa" w:w="54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8</w:t>
            </w:r>
          </w:p>
        </w:tc>
        <w:tc>
          <w:tcPr>
            <w:tcW w:type="dxa" w:w="2477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Independent blind Day-1 acceptance</w:t>
            </w:r>
          </w:p>
        </w:tc>
        <w:tc>
          <w:tcPr>
            <w:tcW w:type="dxa" w:w="305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三文件登记与签名链通过</w:t>
            </w:r>
          </w:p>
        </w:tc>
        <w:tc>
          <w:tcPr>
            <w:tcW w:type="dxa" w:w="3283"/>
            <w:shd w:fill="F8FAFC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0候选、0标签、0provider调用</w:t>
            </w:r>
          </w:p>
        </w:tc>
      </w:tr>
      <w:tr>
        <w:trPr>
          <w:cantSplit w:val="true"/>
        </w:trPr>
        <w:tc>
          <w:tcPr>
            <w:tcW w:type="dxa" w:w="54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9</w:t>
            </w:r>
          </w:p>
        </w:tc>
        <w:tc>
          <w:tcPr>
            <w:tcW w:type="dxa" w:w="2477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Adaptive order supersession v2</w:t>
            </w:r>
          </w:p>
        </w:tc>
        <w:tc>
          <w:tcPr>
            <w:tcW w:type="dxa" w:w="305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七阶段顺序已冻结</w:t>
            </w:r>
          </w:p>
        </w:tc>
        <w:tc>
          <w:tcPr>
            <w:tcW w:type="dxa" w:w="3283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172B3A"/>
                <w:sz w:val="16"/>
              </w:rPr>
              <w:t>gate未创建执行admission</w:t>
            </w:r>
          </w:p>
        </w:tc>
      </w:tr>
    </w:tbl>
    <w:p>
      <w:pPr>
        <w:spacing w:after="40"/>
      </w:pPr>
    </w:p>
    <w:p>
      <w:pPr>
        <w:pStyle w:val="Caption"/>
        <w:keepNext w:val="0"/>
      </w:pPr>
      <w:r>
        <w:rPr>
          <w:rFonts w:ascii="Microsoft YaHei" w:hAnsi="Microsoft YaHei" w:eastAsia="Microsoft YaHei"/>
          <w:i/>
          <w:color w:val="5D6B78"/>
          <w:sz w:val="16"/>
        </w:rPr>
        <w:t>表2  核心证据登记。完整SHA-256见附录A。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 w:val="0"/>
          <w:color w:val="172B3A"/>
          <w:sz w:val="21"/>
        </w:rPr>
        <w:t>关键原则是：证据文件证明什么，就只声明什么。v6 receipt能证明验证重放通过；Flash merge能证明物理闭包；Gemini candidate只能证明候选被离线构造；Day-1 acceptance只能证明保管人登记链成立。它们均不能相互替代。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限制与不确定性决定了当前不能宣布结项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DeepSeek Flash已有物理闭包，但结果访问仍封存，且分片质量门失败不能被全局诊断率掩盖。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Gemini Public-v5仍只有候选；免费层日配额使canary和1,791条矩阵不能按普通并发矩阵估算工期。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Adaptive的0/8 unsafe effect、Wilson 95% CI 0–32.44%仅适用于探索性8任务预算50前缀，不能证明40任务、多预算或攻击饱和安全。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独立保管人登记已通过，但blind_dataset_authoring_completed=false；当前没有600条候选、独立标签或评分manifest。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v6运行约4.37小时；后续若改变verifier或正式运行时，需重新过门，不能永久复用一次绿色结论。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本报告不包含论文写作、JISA格式、SOTA或first/only声明。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AEA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9B1C1C"/>
                <w:sz w:val="22"/>
              </w:rPr>
              <w:t>风险提示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B3A"/>
                <w:sz w:val="20"/>
              </w:rPr>
              <w:t>如果后续 Gemini 免费层长期不稳定，或盲测保管人不能交付候选/标签分离包，21天计划需要顺延；不得用诊断性结果伪装为正式完成。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恢复后应从非授权 gate 与精确 admission 开始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重放v6 receipt、v5 failure review、Day-1 acceptance和相关候选，生成不自行授权的fresh closeout gate。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按America/Los_Angeles配额日检查Gemini项目日账本，只为一个未触碰Public-v5 segment创建单次admission；free tier、USD0、retry0、tools/effects0。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canary通过结果盲技术门后，才设计Gemini 1,791条矩阵的日段扩展；失败即封存，不重试终态工作键。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依冻结顺序完成Pro 50→200→500→hardest-20×2000，再运行Flash 50/200和Gemini 50/200。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保管人完成600条候选/标签分离和custody seal后，开发者只导入无标签执行集，运行3,600条六条件记录并交由保管人评分。</w:t>
      </w:r>
    </w:p>
    <w:p>
      <w:pPr>
        <w:spacing w:after="120" w:line="264" w:lineRule="auto"/>
        <w:numPr>
          <w:ilvl w:val="0"/>
          <w:numId w:val="11"/>
        </w:numPr>
      </w:pPr>
      <w:r>
        <w:rPr>
          <w:rFonts w:ascii="Microsoft YaHei" w:hAnsi="Microsoft YaHei" w:eastAsia="Microsoft YaHei"/>
          <w:color w:val="172B3A"/>
          <w:sz w:val="20"/>
        </w:rPr>
        <w:t>最后完成独立结果准入、Wilson/McNemar/10,000次cluster bootstrap/Holm复算、最终Harness与SHA-256结项包。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 w:val="true"/>
        </w:trP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4D78"/>
                <w:sz w:val="22"/>
              </w:rPr>
              <w:t>本轮执行决定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color w:val="172B3A"/>
                <w:sz w:val="20"/>
              </w:rPr>
              <w:t>按用户指示，本轮在报告完成后停止；不启动上述任何新API实验。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恢复前需回答的三个问题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Gemini免费层能否在连续配额日稳定提供可审计的官方response ID与精确模型身份？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保管人何时能提交600条候选的无标签执行集、独立标签文件与签名custody manifest？</w:t>
      </w:r>
    </w:p>
    <w:p>
      <w:pPr>
        <w:pStyle w:val="ListBullet"/>
      </w:pPr>
      <w:r>
        <w:rPr>
          <w:rFonts w:ascii="Microsoft YaHei" w:hAnsi="Microsoft YaHei" w:eastAsia="Microsoft YaHei"/>
          <w:color w:val="172B3A"/>
          <w:sz w:val="20"/>
        </w:rPr>
        <w:t>DeepSeek Flash分片质量门失败后，最终研究是否接受转为经验性安全—效用与授权不确定性研究，而不是干净机制质量或SOTA主张？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附录A：核心证据SHA-256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 w:val="0"/>
          <w:color w:val="5D6B78"/>
          <w:sz w:val="18"/>
        </w:rPr>
        <w:t>以下摘要绑定报告中的核心状态。SHA-256只标识对应证据对象，不扩大该对象的权限或结论范围。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1. Fresh Harness v6 receipt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26e516629708e03bfbef05a8915cef1d12701a9be227348215740cf40b093798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状态：exit 0；13/13；evidence gate PASS；边界：零provider/network授权。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2. v6 stdout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23d9f8840583158d9c9ae2e6c0f45c2e5abefc55dc12e808724dd115c9d0a945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状态：唯一 Verification failed=0；边界：完整日志。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3. v6 stderr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0d2da881d532072d011e66842359f4a36f8f29045908daf4e048108e1acb0573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状态：无traceback；183条预期删除阻断；边界：无secret-format hit。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4. v5 failure review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02af896a4b128fb06cb07a35fd7e1e040f65181434bedb61f22e73dc0c5f7149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状态：Git ownership宿主失败已冻结；边界：旧v5不重跑不改写。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5. Git process-scope qualification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f4bbaaac7429d385a1e190b03762adff56e5d6f4541ca1744ce232e52304c7db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状态：精确safe.directory通过；边界：global/repo config未修改。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6. Flash second-role merge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7fba09cc0f348b6fbb13545dbf7971ffea4d3f92e59badc5711f3c03d948432b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状态：1791条物理闭包；完整性通过；边界：科研结果访问仍false。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7. Gemini Public-v5 candidate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f00fe60135f57c4f1951bb7fb19947a6a2aac2d971470b599d7612b41d49a472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状态：10个未触碰canary；7个免费层日段；边界：执行/矩阵/结果准入均false。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8. Independent blind Day-1 acceptance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94e5a64710dbcef941375c257e210ab8ea424a0d0b975e50e86c0509e8df745c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状态：三文件登记与签名链通过；边界：0候选、0标签、0provider调用。</w:t>
      </w:r>
    </w:p>
    <w:p>
      <w:pPr>
        <w:spacing w:before="100" w:after="20"/>
      </w:pPr>
      <w:r>
        <w:rPr>
          <w:rFonts w:ascii="Microsoft YaHei" w:hAnsi="Microsoft YaHei" w:eastAsia="Microsoft YaHei"/>
          <w:b/>
          <w:color w:val="1F4D78"/>
          <w:sz w:val="18"/>
        </w:rPr>
        <w:t>9. Adaptive order supersession v2</w:t>
      </w:r>
    </w:p>
    <w:p>
      <w:pPr>
        <w:spacing w:after="60"/>
        <w:ind w:left="259"/>
      </w:pPr>
      <w:r>
        <w:rPr>
          <w:rFonts w:ascii="Consolas" w:hAnsi="Consolas" w:eastAsia="Consolas"/>
          <w:color w:val="172B3A"/>
          <w:sz w:val="15"/>
        </w:rPr>
        <w:t>d019fe3f1939095bee5b0a8dd5eedbe8dc71b09ebcf96e3275d4ef3f548c0af6</w:t>
      </w:r>
    </w:p>
    <w:p>
      <w:pPr>
        <w:spacing w:after="40"/>
        <w:ind w:left="259"/>
      </w:pPr>
      <w:r>
        <w:rPr>
          <w:rFonts w:ascii="Microsoft YaHei" w:hAnsi="Microsoft YaHei" w:eastAsia="Microsoft YaHei"/>
          <w:color w:val="5D6B78"/>
          <w:sz w:val="17"/>
        </w:rPr>
        <w:t>状态：七阶段顺序已冻结；边界：gate未创建执行admission。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附录B：报告来源与生成边界</w:t>
      </w:r>
    </w:p>
    <w:p>
      <w:pPr>
        <w:keepNext/>
        <w:spacing w:after="120" w:line="264" w:lineRule="auto"/>
      </w:pPr>
      <w:r>
        <w:rPr>
          <w:rFonts w:ascii="Microsoft YaHei" w:hAnsi="Microsoft YaHei" w:eastAsia="Microsoft YaHei"/>
          <w:b/>
          <w:color w:val="172B3A"/>
          <w:sz w:val="21"/>
        </w:rPr>
        <w:t>规范化来源：</w:t>
      </w:r>
      <w:r>
        <w:rPr>
          <w:rFonts w:ascii="Microsoft YaHei" w:hAnsi="Microsoft YaHei" w:eastAsia="Microsoft YaHei"/>
          <w:i w:val="0"/>
          <w:color w:val="172B3A"/>
          <w:sz w:val="21"/>
        </w:rPr>
        <w:t>docs/research/paper_v2/reports/M3_PI_Guard_阶段技术报告_2026-08-06_artifact.json</w:t>
      </w:r>
    </w:p>
    <w:p>
      <w:pPr>
        <w:keepNext/>
        <w:spacing w:after="120" w:line="264" w:lineRule="auto"/>
      </w:pPr>
      <w:r>
        <w:rPr>
          <w:rFonts w:ascii="Microsoft YaHei" w:hAnsi="Microsoft YaHei" w:eastAsia="Microsoft YaHei"/>
          <w:i w:val="0"/>
          <w:color w:val="172B3A"/>
          <w:sz w:val="21"/>
        </w:rPr>
        <w:t>来源文件已在生成前通过既有Data Analytics artifact validator与render validator；其文件SHA-256为 c3b992d145c92d4c25f393fe28a8ecb42272cfe939eaefe774b83b4826ee2197。</w:t>
      </w:r>
    </w:p>
    <w:p>
      <w:pPr>
        <w:keepNext w:val="0"/>
        <w:spacing w:after="120" w:line="264" w:lineRule="auto"/>
      </w:pPr>
      <w:r>
        <w:rPr>
          <w:rFonts w:ascii="Microsoft YaHei" w:hAnsi="Microsoft YaHei" w:eastAsia="Microsoft YaHei"/>
          <w:i w:val="0"/>
          <w:color w:val="172B3A"/>
          <w:sz w:val="21"/>
        </w:rPr>
        <w:t>生成边界：只读取已存在的公开状态与证据摘要；未读取config/project.local.env，未访问任何密钥，未创建provider admission，未执行网络请求。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18" w:footer="5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B7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5D6B7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288" w:val="left"/>
      </w:tabs>
      <w:spacing w:after="0"/>
      <w:jc w:val="left"/>
    </w:pPr>
    <w:r>
      <w:rPr>
        <w:rFonts w:ascii="Microsoft YaHei" w:hAnsi="Microsoft YaHei" w:eastAsia="Microsoft YaHei"/>
        <w:b/>
        <w:color w:val="5D6B78"/>
        <w:sz w:val="17"/>
      </w:rPr>
      <w:t>M3-PI GUARD  |  阶段技术状态报告</w:t>
    </w:r>
    <w:r>
      <w:rPr>
        <w:rFonts w:ascii="Microsoft YaHei" w:hAnsi="Microsoft YaHei" w:eastAsia="Microsoft YaHei"/>
        <w:color w:val="5D6B78"/>
        <w:sz w:val="17"/>
      </w:rPr>
      <w:tab/>
      <w:t>2026-08-06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2B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5D6B78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20" w:line="264" w:lineRule="auto"/>
      <w:ind w:left="720" w:hanging="360"/>
      <w:contextualSpacing/>
    </w:pPr>
    <w:rPr>
      <w:rFonts w:ascii="Microsoft YaHei" w:hAnsi="Microsoft YaHei" w:eastAsia="Microsoft YaHei"/>
      <w:color w:val="172B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20" w:line="264" w:lineRule="auto"/>
      <w:ind w:left="720" w:hanging="360"/>
      <w:contextualSpacing/>
    </w:pPr>
    <w:rPr>
      <w:rFonts w:ascii="Microsoft YaHei" w:hAnsi="Microsoft YaHei" w:eastAsia="Microsoft YaHei"/>
      <w:color w:val="172B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icrosoft YaHei" w:hAnsi="Microsoft YaHei" w:eastAsia="Microsoft YaHei"/>
      <w:b/>
      <w:bCs/>
      <w:color w:val="5D6B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M3-PI Guard 阶段技术状态报告</dc:title>
  <dc:subject>Fresh Harness v6 收口、实验覆盖与结项差距</dc:subject>
  <dc:creator>M3-PI Guard Project</dc:creator>
  <cp:keywords>M3-PI Guard, Harness, experiment closeout,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