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Cover Letter</w:t>
      </w:r>
    </w:p>
    <w:p>
      <w:pPr>
        <w:spacing w:after="280"/>
      </w:pPr>
      <w:r>
        <w:rPr>
          <w:rFonts w:ascii="Calibri" w:hAnsi="Calibri" w:eastAsia="Calibri"/>
          <w:color w:val="666666"/>
          <w:sz w:val="21"/>
        </w:rPr>
        <w:t>Journal of Information Security and Applications</w:t>
      </w:r>
    </w:p>
    <w:p>
      <w:pPr>
        <w:spacing w:after="280"/>
      </w:pPr>
      <w:r>
        <w:t>[Submission date]</w:t>
      </w:r>
    </w:p>
    <w:p>
      <w:pPr>
        <w:jc w:val="left"/>
      </w:pPr>
      <w:r>
        <w:t>Dear Editors of the Journal of Information Security and Applications,</w:t>
      </w:r>
    </w:p>
    <w:p>
      <w:pPr>
        <w:jc w:val="left"/>
      </w:pPr>
      <w:r>
        <w:t>Please consider our original research article, “Evaluating Authorization Regimes and Runtime Guardrail Configurations for Tool-Using LLM Agents,” for publication in the Journal of Information Security and Applications.</w:t>
      </w:r>
    </w:p>
    <w:p>
      <w:pPr>
        <w:jc w:val="left"/>
      </w:pPr>
      <w:r>
        <w:t>Tool-using language-model agents can convert untrusted content into externally meaningful actions, yet prompt-injection evaluations often treat authorization as fixed infrastructure. Our study instead evaluates runtime authorization as an experimental treatment. Raw evaluator, scoring, and gold-answer fields remain offline, while a derived exact-authorization object is tested only as a sensitivity condition. The study jointly measures executed unsafe effects, benign-tool completion, system confirmation-request and blocking incidence, operational failures, latency, and adaptive attack budget.</w:t>
      </w:r>
    </w:p>
    <w:p>
      <w:pPr>
        <w:jc w:val="left"/>
      </w:pPr>
      <w:r>
        <w:t>Across completed public experiments with DeepSeek V4 Pro and V4 Flash, the full configuration package reduced unsafe effects relative to a structural baseline but did not outperform the policy package. A contemporaneous 2×2 experiment subsequently separated the prompt profile from the runtime module bundle and found no clear positive module, prompt, or interaction contribution. A prospectively frozen 900-work-item authorization study further showed that pooled utility effects reversed by benchmark: exact authorization improved AgentDojo completion but reduced both M3-v2 configuration cells to 0/30. The pessimistic unsafe-or-failure bound also increased from 7% to 25% under the policy package and from 8% to 26% under the full package. A controlled source-authority experiment showed provenance-sensitive full-Guard decisions, but all end-to-end actions remained blocked or pending confirmation. In a separate defense-aware panel, first unsafe effects increased from 4/40 tasks by query 50 to 18/40 by query 200, demonstrating why a single low attack budget is an incomplete evaluation. None of 12 prespecified B200 survivors first succeeded by query 500, but the Wilson upper limit remained 24.25%. A separately executed, historically risk-enriched single block observed 17/60 no-defense unsafe effects, while policy/normal and full/safe produced 2/60 and 0/60; 47/60 tasks overlapped the E3 challenge sample. This conditional result is not a deployment-rate, utility, temporal-repeatability, independent-sample, or isolated-module claim. Two incomplete Gemini attempts leave cross-provider effects not estimable.</w:t>
      </w:r>
    </w:p>
    <w:p>
      <w:pPr>
        <w:jc w:val="left"/>
      </w:pPr>
      <w:r>
        <w:t>The manuscript fits the journal’s focus on access control, security policy, and practical information-security systems. Its contribution is an empirical evaluation method and a bounded account of security–utility trade-offs, not a claim of a universally leading defense. We believe the bounded configuration comparison, factorial analysis, source-only counterfactual, two public benchmarks, and explicit accounting of failures and system confirmation requests will be useful to researchers and practitioners evaluating security controls for tool-using agents.</w:t>
      </w:r>
    </w:p>
    <w:p>
      <w:pPr>
        <w:jc w:val="left"/>
      </w:pPr>
      <w:r>
        <w:t>Thank you for considering the manuscript.</w:t>
      </w:r>
    </w:p>
    <w:p>
      <w:pPr>
        <w:jc w:val="left"/>
      </w:pPr>
      <w:r>
        <w:t>Sincerely,</w:t>
      </w:r>
    </w:p>
    <w:p>
      <w:pPr>
        <w:jc w:val="left"/>
      </w:pPr>
      <w:r>
        <w:t>The authors</w:t>
      </w:r>
    </w:p>
    <w:p>
      <w:pPr>
        <w:spacing w:before="240"/>
      </w:pPr>
      <w:r>
        <w:t>[Corresponding author name]</w:t>
        <w:br/>
      </w:r>
      <w:r>
        <w:t>[Affiliation]</w:t>
        <w:br/>
      </w:r>
      <w:r>
        <w:t>[Email and postal address]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JISA submission | Cover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Letter: Evaluating Authorization Regimes and Runtime Guardrail Configurations for Tool-Using LLM Agents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