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Highlights</w:t>
      </w:r>
    </w:p>
    <w:p>
      <w:pPr>
        <w:spacing w:after="280"/>
      </w:pPr>
      <w:r>
        <w:rPr>
          <w:rFonts w:ascii="Calibri" w:hAnsi="Calibri" w:eastAsia="Calibri"/>
          <w:color w:val="666666"/>
          <w:sz w:val="21"/>
        </w:rPr>
        <w:t>Separate editable upload file</w:t>
      </w:r>
    </w:p>
    <w:p>
      <w:pPr>
        <w:pStyle w:val="ListBullet"/>
      </w:pPr>
      <w:r>
        <w:t>Raw evaluator/scoring fields remain outside the online Guard state.</w:t>
      </w:r>
    </w:p>
    <w:p>
      <w:pPr>
        <w:pStyle w:val="ListBullet"/>
      </w:pPr>
      <w:r>
        <w:t>Factorial runs separate prompt effects from the runtime module bundle.</w:t>
      </w:r>
    </w:p>
    <w:p>
      <w:pPr>
        <w:pStyle w:val="ListBullet"/>
      </w:pPr>
      <w:r>
        <w:t>Source swaps alter full-Guard decisions but not executed actions.</w:t>
      </w:r>
    </w:p>
    <w:p>
      <w:pPr>
        <w:pStyle w:val="ListBullet"/>
      </w:pPr>
      <w:r>
        <w:t>A risk-enriched no-defense block contextualizes floor-limited defended cells.</w:t>
      </w:r>
    </w:p>
    <w:p>
      <w:pPr>
        <w:pStyle w:val="ListBullet"/>
      </w:pPr>
      <w:r>
        <w:t>No new success in the 12-task B200-survivor tail through query 500.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6666"/>
        <w:sz w:val="17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color w:val="666666"/>
        <w:sz w:val="17"/>
      </w:rPr>
      <w:t>JISA submission | Highlights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Highlights: Runtime Authorization for Tool-Using LLM Agents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