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upplementary-material"/>
    <w:p>
      <w:pPr>
        <w:pStyle w:val="Heading1"/>
        <w:keepNext/>
        <w:jc w:val="left"/>
      </w:pPr>
      <w:r>
        <w:t xml:space="preserve">Supplementary material</w:t>
      </w:r>
    </w:p>
    <w:p>
      <w:pPr>
        <w:pStyle w:val="FirstParagraph"/>
      </w:pPr>
      <w:r>
        <w:rPr>
          <w:bCs/>
          <w:b/>
        </w:rPr>
        <w:t xml:space="preserve">Article:</w:t>
      </w:r>
      <w:r>
        <w:t xml:space="preserve"> </w:t>
      </w:r>
      <w:r>
        <w:t xml:space="preserve">Evaluating Authorization Regimes and Runtime Guardrail Configurations for Tool-Using LLM Agents</w:t>
      </w:r>
    </w:p>
    <w:p>
      <w:pPr>
        <w:pStyle w:val="BodyText"/>
      </w:pPr>
      <w:r>
        <w:t xml:space="preserve">These twelve tables provide detailed results referenced by the main manuscript. They introduce no additional hypothesis family or claim beyond the analyses reported in the article.</w:t>
      </w:r>
    </w:p>
    <w:bookmarkStart w:id="20" w:name="Xce66d77d9cae9642b55d5a17ef25ebb445c8776"/>
    <w:p>
      <w:pPr>
        <w:pStyle w:val="Heading2"/>
        <w:keepNext/>
        <w:jc w:val="left"/>
      </w:pPr>
      <w:r>
        <w:t xml:space="preserve">Supplementary Table S1. Online-state source audit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2848"/>
        <w:gridCol w:w="1948"/>
        <w:gridCol w:w="2318"/>
        <w:gridCol w:w="2246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4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Conclusion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8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Audited units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1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Independently reviewed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4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Claim use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No online gold observed on covered path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8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1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Path-scoped only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Not a runtime guard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8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1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Taxonomy only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Mixed or path dependent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8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1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Path-scoped caution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4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Inconclusive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8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1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4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No substantive claim</w:t>
            </w:r>
          </w:p>
        </w:tc>
      </w:tr>
    </w:tbl>
    <w:bookmarkEnd w:id="20"/>
    <w:bookmarkStart w:id="21" w:name="X9386dbd24111302fa08841e715755c27f016afe"/>
    <w:p>
      <w:pPr>
        <w:pStyle w:val="Heading2"/>
        <w:keepNext/>
        <w:jc w:val="left"/>
      </w:pPr>
      <w:r>
        <w:t xml:space="preserve">Supplementary Table S2. Completed medium security and utility outcomes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674"/>
        <w:gridCol w:w="1610"/>
        <w:gridCol w:w="1719"/>
        <w:gridCol w:w="1505"/>
        <w:gridCol w:w="1560"/>
        <w:gridCol w:w="1292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Condition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Unsafe effects / 36 attacks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Unsafe-effect rate (Wilson 95% CI)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Tool completions / 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Tool TCR (Wilson 95% CI)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No-tool TCR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No defense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8/36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22.22% (11.72–38.08)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50.00% (31.43–68.57)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Safe prompt / spotlighting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8/36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22.22% (11.72–38.08)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11/24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45.83% (27.89–64.93)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PromptGuard (detector-only)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8/36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22.22% (11.72–38.08)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50.00% (31.43–68.57)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Structural baseline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8/36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22.22% (11.72–38.08)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50.00% (31.43–68.57)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Policy package (</w:t>
            </w:r>
            <w:r>
              <w:rPr>
                <w:rStyle w:val="VerbatimChar"/>
                <w:rFonts w:ascii="Times New Roman" w:hAnsi="Times New Roman"/>
                <w:sz w:val="17"/>
              </w:rPr>
              <w:t xml:space="preserve">m3_policy_only</w:t>
            </w:r>
            <w:r>
              <w:rPr>
                <w:rFonts w:ascii="Times New Roman" w:hAnsi="Times New Roman"/>
                <w:sz w:val="17"/>
              </w:rPr>
              <w:t xml:space="preserve">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0/36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0.00% (0.00–9.64)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7/24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29.17% (14.91–49.17)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package (</w:t>
            </w:r>
            <w:r>
              <w:rPr>
                <w:rStyle w:val="VerbatimChar"/>
                <w:rFonts w:ascii="Times New Roman" w:hAnsi="Times New Roman"/>
                <w:sz w:val="17"/>
              </w:rPr>
              <w:t xml:space="preserve">m3_full</w:t>
            </w:r>
            <w:r>
              <w:rPr>
                <w:rFonts w:ascii="Times New Roman" w:hAnsi="Times New Roman"/>
                <w:sz w:val="17"/>
              </w:rPr>
              <w:t xml:space="preserve">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0/36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1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0.00% (0.00–9.64)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6/24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6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25.00% (12.00–44.90)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</w:tbl>
    <w:bookmarkEnd w:id="21"/>
    <w:bookmarkStart w:id="22" w:name="X6f56b9f04523f209afe60dd95792596d12ebb2f"/>
    <w:p>
      <w:pPr>
        <w:pStyle w:val="Heading2"/>
        <w:keepNext/>
        <w:jc w:val="left"/>
      </w:pPr>
      <w:r>
        <w:t xml:space="preserve">Supplementary Table S3. Prespecified paired comparisons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2218"/>
        <w:gridCol w:w="1866"/>
        <w:gridCol w:w="1626"/>
        <w:gridCol w:w="1626"/>
        <w:gridCol w:w="2024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Comparison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6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Treatment minus baseline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Exact McNemar 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Holm-adjusted 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24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10,000-cluster bootstrap 95% CI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package vs structural, 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6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−22.22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0.0078125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0.03125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2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−36.11 to −8.33 pp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vs policy package, 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6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0.00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2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 to 0.00 pp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package vs structural, 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6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−25.00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0.03125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0.09375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2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−41.67 to −8.33 pp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21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vs policy package, tool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66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−4.17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1.0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2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−12.50 to 0.00 pp</w:t>
            </w:r>
          </w:p>
        </w:tc>
      </w:tr>
    </w:tbl>
    <w:bookmarkEnd w:id="22"/>
    <w:bookmarkStart w:id="23" w:name="X271f53f8a755b82505b312d03be2407729019f7"/>
    <w:p>
      <w:pPr>
        <w:pStyle w:val="Heading2"/>
        <w:keepNext/>
        <w:jc w:val="left"/>
      </w:pPr>
      <w:r>
        <w:t xml:space="preserve">Supplementary Table S4. Runtime burden and operational quality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507"/>
        <w:gridCol w:w="1093"/>
        <w:gridCol w:w="1276"/>
        <w:gridCol w:w="1472"/>
        <w:gridCol w:w="1253"/>
        <w:gridCol w:w="1437"/>
        <w:gridCol w:w="1322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Condition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5"/>
              </w:rPr>
              <w:t xml:space="preserve">ASK / 72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Benign ASK rate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Operational failures / 72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Provider calls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Trace-bundle cost (CNY)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Total latency p95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No defense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0.00%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181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0.1821176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16.924 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Safe prompt / spotlighting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0.00%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0.1812942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15.971 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PromptGuard (detector-only)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0.00%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0.0986064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18.249 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Structural baseline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0.00%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249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0.2568822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21.251 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 package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16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19.44%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112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0.0548220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7.897 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Full package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09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22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7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22.22%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7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53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117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3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0.1441772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2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10.701 s</w:t>
            </w:r>
          </w:p>
        </w:tc>
      </w:tr>
    </w:tbl>
    <w:bookmarkEnd w:id="23"/>
    <w:bookmarkStart w:id="24" w:name="Xb92fa3095897252d1a15549fe854cbe0cf3f153"/>
    <w:p>
      <w:pPr>
        <w:pStyle w:val="Heading2"/>
        <w:keepNext/>
        <w:jc w:val="left"/>
      </w:pPr>
      <w:r>
        <w:t xml:space="preserve">Supplementary Table S5. Public-primary benchmark strata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2814"/>
        <w:gridCol w:w="2334"/>
        <w:gridCol w:w="2105"/>
        <w:gridCol w:w="2107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14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Benchmark / endpoint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34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Structural baseline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Policy package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Full package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1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 attacks, 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34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87/300 (29.00%)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13/300 (4.33%)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29/300 (9.67%)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1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 attacks, 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34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46/300 (15.33%)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0/300 (0.00%)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9/300 (3.00%)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1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AgentDojo benign tool,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34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67/97 (69.07%)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13/97 (13.40%)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13/97 (13.40%)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1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 benign tool,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34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36/71 (50.70%)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36/71 (50.70%)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36/71 (50.70%)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14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M3-v2 benign no-tool, TCR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34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79/79 (100%)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79/79 (100%)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0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79/79 (100%)</w:t>
            </w:r>
          </w:p>
        </w:tc>
      </w:tr>
    </w:tbl>
    <w:bookmarkEnd w:id="24"/>
    <w:bookmarkStart w:id="25" w:name="X12b92401643dc973ea9a8064328835e102f2d6a"/>
    <w:p>
      <w:pPr>
        <w:pStyle w:val="Heading2"/>
        <w:keepNext/>
        <w:jc w:val="left"/>
      </w:pPr>
      <w:r>
        <w:t xml:space="preserve">Supplementary Table S6. Defense-aware adaptive attack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793"/>
        <w:gridCol w:w="1192"/>
        <w:gridCol w:w="1192"/>
        <w:gridCol w:w="1810"/>
        <w:gridCol w:w="2041"/>
        <w:gridCol w:w="1332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93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Model/panel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Budget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Tasks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10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Unsafe-effect successes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41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First-success distribution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Saturated?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9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Primary exploratory cost canary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50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 (0.00%, 95% CI 0.00–32.44%)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4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No successes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9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Primary frozen panel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50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4 (10.00%, 95% CI 3.96–23.05%)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41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4 first successes by query 50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93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Primary frozen panel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200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10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18 (45.00%, 95% CI 30.71–60.17%)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041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14 additional first successes at queries 51–200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No</w:t>
            </w:r>
          </w:p>
        </w:tc>
      </w:tr>
    </w:tbl>
    <w:bookmarkEnd w:id="25"/>
    <w:bookmarkStart w:id="26" w:name="Xac66ba9b36ddf1ff71b54688900aa11f1153aeb"/>
    <w:p>
      <w:pPr>
        <w:pStyle w:val="Heading2"/>
        <w:keepNext/>
        <w:jc w:val="left"/>
      </w:pPr>
      <w:r>
        <w:t xml:space="preserve">Supplementary Table S7. E1 runtime burden and cost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408"/>
        <w:gridCol w:w="1353"/>
        <w:gridCol w:w="1381"/>
        <w:gridCol w:w="1510"/>
        <w:gridCol w:w="1292"/>
        <w:gridCol w:w="1152"/>
        <w:gridCol w:w="1264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Cell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3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5"/>
              </w:rPr>
              <w:t xml:space="preserve">ASK incidence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81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DENY incidence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0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Operational failure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Latency p95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2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Tokens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64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Cost (CNY)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 / normal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65/180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8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15/180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15/180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8.11 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305,672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6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0.9651852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Policy / safe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55/180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8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9.12 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334,370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6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0.8439636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Full / normal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63/180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8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22/180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8.26 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306,306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6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0.7615200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0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Full / safe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5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62/180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8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21/180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0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16/180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9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9.13 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5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327,845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6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1.0896174</w:t>
            </w:r>
          </w:p>
        </w:tc>
      </w:tr>
    </w:tbl>
    <w:bookmarkEnd w:id="26"/>
    <w:bookmarkStart w:id="27" w:name="X14e6238c186a040062e26f6b0c292407b8ec2de"/>
    <w:p>
      <w:pPr>
        <w:pStyle w:val="Heading2"/>
        <w:keepNext/>
        <w:jc w:val="left"/>
      </w:pPr>
      <w:r>
        <w:t xml:space="preserve">Supplementary Table S8. E2 source-authority decisions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879"/>
        <w:gridCol w:w="1247"/>
        <w:gridCol w:w="1496"/>
        <w:gridCol w:w="1496"/>
        <w:gridCol w:w="1658"/>
        <w:gridCol w:w="1584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Evidence layer / cell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ALLOW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ASK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DENY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Operational failure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Executed actions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End-to-end policy / 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60/60 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End-to-end policy / untrusted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53/60 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End-to-end full / 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57/60 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End-to-end full / untrusted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55/60 records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Replay policy / 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Replay policy / untrusted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Replay full / 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79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Replay full / untrusted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7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9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5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84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</w:tr>
    </w:tbl>
    <w:bookmarkEnd w:id="27"/>
    <w:bookmarkStart w:id="28" w:name="X7684a9d94f1eeb792db49aeea1b052fecea94eb"/>
    <w:p>
      <w:pPr>
        <w:pStyle w:val="Heading2"/>
        <w:keepNext/>
        <w:jc w:val="left"/>
      </w:pPr>
      <w:r>
        <w:t xml:space="preserve">Supplementary Table S9. E3/E4 operational summary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577"/>
        <w:gridCol w:w="1362"/>
        <w:gridCol w:w="1211"/>
        <w:gridCol w:w="1335"/>
        <w:gridCol w:w="1415"/>
        <w:gridCol w:w="1211"/>
        <w:gridCol w:w="1249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77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5"/>
              </w:rPr>
              <w:t xml:space="preserve">Study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62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5"/>
              </w:rPr>
              <w:t xml:space="preserve">Planned/latest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11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Completed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Parse failure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Provider failure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11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Max steps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9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 xml:space="preserve">Cost (CNY)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E3 outcome-enriched Pro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6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240/240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1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185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1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1.0690866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7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 xml:space="preserve">E4 Flash replication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6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5"/>
              </w:rPr>
              <w:t xml:space="preserve">360/360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1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347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33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8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4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1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249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 xml:space="preserve">0.5410834</w:t>
            </w:r>
          </w:p>
        </w:tc>
      </w:tr>
    </w:tbl>
    <w:bookmarkEnd w:id="28"/>
    <w:bookmarkStart w:id="29" w:name="Xacb943429f9a9fc1981c17c95a162aab884b743"/>
    <w:p>
      <w:pPr>
        <w:pStyle w:val="Heading2"/>
        <w:keepNext/>
        <w:jc w:val="left"/>
      </w:pPr>
      <w:r>
        <w:t xml:space="preserve">Supplementary Table S10. Conditional adaptive-tail execution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4697"/>
        <w:gridCol w:w="4663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Quantity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Result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Prespecified B200 survivors completed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12/12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Latest query work keys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3,600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Physical rows / superseded attempts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3,605 / 5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First unsafe effect at queries 201–500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0/12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Conditional probability, Wilson 95% CI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0.00% (0.00%–24.25%)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Operational status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3,577 completed; 21 parse failures; 2 provider failures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Total tokens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4,511,768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Attributed cost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CNY 24.5551236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9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Automatic retry / provider tools / real external effects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63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 / 0 / 0</w:t>
            </w:r>
          </w:p>
        </w:tc>
      </w:tr>
    </w:tbl>
    <w:bookmarkEnd w:id="29"/>
    <w:bookmarkStart w:id="30" w:name="Xf3276e0c76b1f55d619e6111c477627b6ed8029"/>
    <w:p>
      <w:pPr>
        <w:pStyle w:val="Heading2"/>
        <w:keepNext/>
        <w:jc w:val="left"/>
      </w:pPr>
      <w:r>
        <w:t xml:space="preserve">Supplementary Table S11. E6 DeepSeek activity and operational outcomes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678"/>
        <w:gridCol w:w="1512"/>
        <w:gridCol w:w="1678"/>
        <w:gridCol w:w="1626"/>
        <w:gridCol w:w="1415"/>
        <w:gridCol w:w="1451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Condition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  <w:shd w:fill="E8EEF5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b/>
                <w:sz w:val="17"/>
              </w:rPr>
              <w:t xml:space="preserve">Unsafe effect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Operational failure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Unsafe or failure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ASK events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DENY events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No defense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17/60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12/60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29/60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4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Source-pinned VIGIL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16/60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8/60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24/60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8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Policy / normal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2/60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9/60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Policy / safe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1/60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/ normal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7/60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25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18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/ safe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12" w:type="dxa"/>
          </w:tcPr>
          <w:p>
            <w:pPr>
              <w:pStyle w:val="Compact"/>
              <w:spacing w:before="0" w:after="40" w:line="240" w:lineRule="auto"/>
              <w:jc w:val="right"/>
            </w:pPr>
            <w:r>
              <w:rPr>
                <w:rFonts w:ascii="Times New Roman" w:hAnsi="Times New Roman"/>
                <w:sz w:val="17"/>
              </w:rPr>
              <w:t xml:space="preserve">0/60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78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62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3/60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15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19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1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</w:t>
            </w:r>
          </w:p>
        </w:tc>
      </w:tr>
    </w:tbl>
    <w:bookmarkEnd w:id="30"/>
    <w:bookmarkStart w:id="31" w:name="X273502fcec630cf0743bcf3111306b391c3c0bb"/>
    <w:p>
      <w:pPr>
        <w:pStyle w:val="Heading2"/>
        <w:keepNext/>
        <w:jc w:val="left"/>
      </w:pPr>
      <w:r>
        <w:t xml:space="preserve">Supplementary Table S12. E6 paired effects and Gemini inference coverage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Ind w:w="120" w:type="dxa"/>
      </w:tblPr>
      <w:tblGrid>
        <w:gridCol w:w="1170"/>
        <w:gridCol w:w="1738"/>
        <w:gridCol w:w="1197"/>
        <w:gridCol w:w="1942"/>
        <w:gridCol w:w="1466"/>
        <w:gridCol w:w="1847"/>
      </w:tblGrid>
      <w:tr>
        <w:trPr>
          <w:cantSplit/>
          <w:tblHeader w:val="true"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Evidence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Comparison or coverage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Estimate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  <w:shd w:fill="E8EEF5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Newcombe / cluster-bootstrap 95% CI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Exact McNemar / Holm 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  <w:shd w:fill="E8EEF5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 xml:space="preserve">Interpretation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VIGIL minus no defense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−1.67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Newcombe −10.48 to +7.12 pp; bootstrap −10.00 to +6.67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1.000000 / 1.000000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Interval crosses zero; benchmark directions oppose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Policy / normal minus no defense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−25.00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Newcombe −36.95 to −14.30 pp; bootstrap −36.67 to −15.00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0.000061 / 0.000122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Risk-enriched single-block contrast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/ safe minus no defense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−28.33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Newcombe −40.77 to −16.81 pp; bootstrap −40.00 to −16.67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0.000015 / 0.000061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Risk-enriched single-block contrast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Full / safe minus VIGIL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−26.67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Newcombe −39.01 to −15.39 pp; bootstrap −38.33 to −15.00 pp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0.000031 / 0.000092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Risk-enriched single-block contrast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Scientific terminal / planned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6/180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Five response-bearing; one response-less failure</w:t>
            </w:r>
          </w:p>
        </w:tc>
      </w:tr>
      <w:tr>
        <w:trPr>
          <w:cantSplit/>
        </w:trPr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70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738" w:type="dxa"/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Minimum response-complete paired coverage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19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0/30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42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66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—</w:t>
            </w:r>
          </w:p>
        </w:tc>
        <w:tc>
          <w:tcPr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47" w:type="dxa"/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 xml:space="preserve">Effects not estimable</w:t>
            </w:r>
          </w:p>
        </w:tc>
      </w:tr>
    </w:tbl>
    <w:bookmarkEnd w:id="31"/>
    <w:bookmarkEnd w:id="32"/>
    <w:sectPr>
      <w:headerReference w:type="default" r:id="rId9"/>
      <w:footerReference w:type="default" r:id="rId10"/>
      <w:type w:val="continuous"/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Runtime Authorization for Tool-Using LLM Agents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76" w:lineRule="auto"/>
      <w:jc w:val="both"/>
    </w:pPr>
    <w:rPr>
      <w:rFonts w:ascii="Times New Roman" w:hAnsi="Times New Roman" w:eastAsia="Times New Roman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0" w:line="276" w:lineRule="auto"/>
      <w:jc w:val="both"/>
    </w:pPr>
    <w:qFormat/>
    <w:rPr>
      <w:rFonts w:ascii="Times New Roman" w:hAnsi="Times New Roman" w:eastAsia="Times New Roman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76" w:lineRule="auto"/>
      <w:jc w:val="both"/>
    </w:pPr>
    <w:rPr>
      <w:rFonts w:ascii="Times New Roman" w:hAnsi="Times New Roman" w:eastAsia="Times New Roman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Authorization Regimes and Runtime Guardrail Configurations for Tool-Using LLM Agents: Supplementary material</dc:title>
  <dc:creator/>
  <cp:keywords/>
  <dcterms:created xsi:type="dcterms:W3CDTF">2026-09-04T12:03:27Z</dcterms:created>
  <dcterms:modified xsi:type="dcterms:W3CDTF">2026-09-04T12:03:27Z</dcterms:modified>
  <dc:subject>JISA supplementary tables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