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2C547">
      <w:pPr>
        <w:pStyle w:val="31"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M3-PI Guard 实验与研究演进总结</w:t>
      </w:r>
    </w:p>
    <w:p w14:paraId="5F0C3C6D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摘要</w:t>
      </w:r>
    </w:p>
    <w:p w14:paraId="52C1FB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本文按时间顺序整理 M3-PI Guard 的历史实验：2026 年 6—7 月 E0–E17 工程实验、8 月 Public 与增量 E1–E6 研究、9 月授权可用性与测量修正，以及 10 月已完成的修复和同期校准。重点汇总每组实验的设计、对照条件、样本量、核心指标和重要发现。</w:t>
      </w:r>
    </w:p>
    <w:p w14:paraId="31A09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实验演进呈现三条主线：早期 E0–E17 建立了系统化攻防评估体系；后续 lean 授权研究定位了 exact_gold 参数匹配问题；8 月 E6 在风险富集任务中观察到危险效果从无防护 17/60 降至完整防护 0/60，而 10 月 AgentDojo 同期校准记录的良性工具任务完成率从无防护 17/30 降至 policy/full 各 2/30。研究焦点逐步转向安全效果与正常任务效用的共同评估。</w:t>
      </w:r>
      <w:bookmarkStart w:id="0" w:name="_GoBack"/>
      <w:bookmarkEnd w:id="0"/>
    </w:p>
    <w:p w14:paraId="1C618507">
      <w:pPr>
        <w:pStyle w:val="3"/>
        <w:pageBreakBefore w:val="0"/>
        <w:jc w:val="both"/>
      </w:pPr>
      <w:r>
        <w:rPr>
          <w:rFonts w:ascii="Times New Roman" w:hAnsi="Times New Roman" w:eastAsia="宋体" w:cs="Times New Roman"/>
          <w:color w:val="000000"/>
        </w:rPr>
        <w:t>项目简介</w:t>
      </w:r>
    </w:p>
    <w:p w14:paraId="7C8E9B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M3-PI Guard 是面向工具型大语言模型智能体的提示注入防护与实验评估项目，源于早期大模型安全攻防比赛，现已发展为持续迭代的研究平台。项目关注智能体读取网页、文档、搜索结果或工具输出后，外部内容是否诱导其偏离用户任务，执行越权读写、邮件发送、接口调用或跨工具数据传递。</w:t>
      </w:r>
    </w:p>
    <w:p w14:paraId="65510E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系统由任务与攻击样本、权限编译器、智能体运行器、运行时 Guard、本地工具沙箱和结果评估模块构成。基本流程是：接收可信用户任务，编译允许的工具与目标范围；模型提出工具调用；Guard 根据目标参数、内容来源、数据类别和调用顺序给出 ALLOW（放行）、ASK（确认）或 DENY（拒绝）；最后由沙箱执行获准动作并记录结果。</w:t>
      </w:r>
    </w:p>
    <w:p w14:paraId="44D5A2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项目的实验同时观察攻击效果、正常任务完成率、合法工具调用的误拦情况及运行开销。历史测试涵盖本地开源模型、AgentDojo 与 M3-v2 任务基准，后续扩展到 DeepSeek Pro/Flash 模型与多种授权配置，形成了本文梳理的系列实验。</w:t>
      </w:r>
    </w:p>
    <w:p w14:paraId="62050B52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color w:val="000000"/>
          <w:lang w:val="en-US" w:eastAsia="zh-CN"/>
        </w:rPr>
        <w:t>1</w:t>
      </w:r>
      <w:r>
        <w:rPr>
          <w:rFonts w:ascii="Times New Roman" w:hAnsi="Times New Roman" w:eastAsia="宋体" w:cs="Times New Roman"/>
          <w:color w:val="000000"/>
        </w:rPr>
        <w:t>. 历史实验时间线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6"/>
        <w:gridCol w:w="4620"/>
        <w:gridCol w:w="2891"/>
      </w:tblGrid>
      <w:tr w14:paraId="6DC14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23A153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时间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AB34E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阶段 / 主要事件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36835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历史定位</w:t>
            </w:r>
          </w:p>
        </w:tc>
      </w:tr>
      <w:tr w14:paraId="27FECD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43523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2026-06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6B1C0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基础智能体与本地 Guard、工具沙箱、初始实验矩阵；Git 历史自 6 月 2 日起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4130D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比赛原型与回归设施</w:t>
            </w:r>
          </w:p>
        </w:tc>
      </w:tr>
      <w:tr w14:paraId="509B63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75B0C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2026-07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3B77D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300 条标准数据；完成 E0–E17、两名人工复核、最终仪表盘与验收表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581B5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工程证据系统化</w:t>
            </w:r>
          </w:p>
        </w:tc>
      </w:tr>
      <w:tr w14:paraId="20B3C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659FF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2026-08-19 至 20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578E9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lean 授权制度研究、DeepSeek 与 Gemini 前缀、Public / 稿件汇总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86F43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发现授权是实验处理条件</w:t>
            </w:r>
          </w:p>
        </w:tc>
      </w:tr>
      <w:tr w14:paraId="7D2318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5655B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2026-08-26 至 28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1AD23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paper-v2 增量 E1–E5 完成；模型因子、来源反事实、困难集、Flash、尾部攻击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DC55D8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授权制度成为独立研究变量</w:t>
            </w:r>
          </w:p>
        </w:tc>
      </w:tr>
      <w:tr w14:paraId="301FC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F7C30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2026-08-28 至 31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0C23F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E6 跨服务活性计划收束为 DeepSeek 单块诊断；Gemini 技术资格失败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2502E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提示、模块与来源机制的配对分析</w:t>
            </w:r>
          </w:p>
        </w:tc>
      </w:tr>
      <w:tr w14:paraId="17363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2FC53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2026-09-05 至 21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0C2A9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授权可用性与确认 E7a、512 离线探针；外部指出 exact_gold 结构性缺陷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041B14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具有活性攻击的六条件校准</w:t>
            </w:r>
          </w:p>
        </w:tc>
      </w:tr>
      <w:tr w14:paraId="327DC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41054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2026-10-05 至 08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0413D1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corrected_v2 组件修复、900 + 16 新研究、480 同期校准、60 任务解释、稿件科学口径收束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217B2B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定位授权匹配与确认机制问题</w:t>
            </w:r>
          </w:p>
        </w:tc>
      </w:tr>
      <w:tr w14:paraId="7EE411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21B9CB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2026-10-09 至 12</w:t>
            </w:r>
          </w:p>
        </w:tc>
        <w:tc>
          <w:tcPr>
            <w:tcW w:w="4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7B6C2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五环境移植验证；建立独立研究仓库；强化实验 v1 计划与运行器进入资格化</w:t>
            </w:r>
          </w:p>
        </w:tc>
        <w:tc>
          <w:tcPr>
            <w:tcW w:w="28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117BA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获得900条授权与480条同期记录</w:t>
            </w:r>
          </w:p>
        </w:tc>
      </w:tr>
    </w:tbl>
    <w:p w14:paraId="28B3E9D8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0E4556A3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color w:val="00000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</w:rPr>
        <w:t>. 第一阶段：历史 E0–E17（2026 年 7 月）</w:t>
      </w:r>
    </w:p>
    <w:p w14:paraId="7FF305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7月实验围绕本地模型、Guard和工具沙箱构建统一测试流程，覆盖样本生成、实验矩阵、结果统计、人工复核、完整性检查和可视化。实验注册表中的18项任务均已完成。最终验收表中，攻击检测召回、正常任务效用和端到端延迟四个指标未达到预设门槛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"/>
        <w:gridCol w:w="1956"/>
        <w:gridCol w:w="6180"/>
      </w:tblGrid>
      <w:tr w14:paraId="6BB000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1CA0F1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编号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B0337B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研究主题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46368D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历史实验侧重点 / 口径</w:t>
            </w:r>
          </w:p>
        </w:tc>
      </w:tr>
      <w:tr w14:paraId="10C0F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CCFCE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E0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B9EC4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测量完整性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26232B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校验历史日志与统计分母、确认指标一致性</w:t>
            </w:r>
          </w:p>
        </w:tc>
      </w:tr>
      <w:tr w14:paraId="07BB36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FC4DCF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4CF86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主防御效果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949B0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同提示 Guard 对比，历史 ASR 约 50.5% 降至 0.4%；也是后续解释风险的基线</w:t>
            </w:r>
          </w:p>
        </w:tc>
      </w:tr>
      <w:tr w14:paraId="4CA38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A6014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E2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02FA8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提示加固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696EFC3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仅改变安全提示，隔离 prompt hardening 的相对影响</w:t>
            </w:r>
          </w:p>
        </w:tc>
      </w:tr>
      <w:tr w14:paraId="676E3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0A14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E3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4E99F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Guard 增量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BCFCE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在已加固提示下添加 Guard，隔离防护组件增量</w:t>
            </w:r>
          </w:p>
        </w:tc>
      </w:tr>
      <w:tr w14:paraId="255E2B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94A6D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E4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ECA47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组件消融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ACF8D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移除或替换组件；比较攻击效果变化</w:t>
            </w:r>
          </w:p>
        </w:tc>
      </w:tr>
      <w:tr w14:paraId="5951FA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1C28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E5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51D9C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跨本地模型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6C887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比较不同本地开源权重模型的ASR</w:t>
            </w:r>
          </w:p>
        </w:tc>
      </w:tr>
      <w:tr w14:paraId="2B84EB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BAF693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E6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7C91F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攻击家族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146D1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按注入类型分层，而非只看总体平均</w:t>
            </w:r>
          </w:p>
        </w:tc>
      </w:tr>
      <w:tr w14:paraId="7FD743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F6937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E7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8115D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多语言鲁棒性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173249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跨语言、翻译到低资源语言等攻防变化</w:t>
            </w:r>
          </w:p>
        </w:tc>
      </w:tr>
      <w:tr w14:paraId="71D93E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FE3F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E8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857D37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编码与规避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4116DA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比较不同编码、混淆与变异强度</w:t>
            </w:r>
          </w:p>
        </w:tc>
      </w:tr>
      <w:tr w14:paraId="0F5B7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833358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E9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6DFE4A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长上下文位置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72CBF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修复后的 120 个 case-run 中 14 个 unresolved（11.7%），保留分母</w:t>
            </w:r>
          </w:p>
        </w:tc>
      </w:tr>
      <w:tr w14:paraId="6E6F56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937C1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E10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27992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多轮攻击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A28111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随交互轮次变化的攻击结果</w:t>
            </w:r>
          </w:p>
        </w:tc>
      </w:tr>
      <w:tr w14:paraId="2409C1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BA3E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E11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936F9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跨工具链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F1C2E0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原研究覆盖4类路径，另有24案例/48次事后补充</w:t>
            </w:r>
          </w:p>
        </w:tc>
      </w:tr>
      <w:tr w14:paraId="6615A8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F53AF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E12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B7B7C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正常任务效用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006CA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合法工具任务完成和误拦；显示安全与效用明显冲突</w:t>
            </w:r>
          </w:p>
        </w:tc>
      </w:tr>
      <w:tr w14:paraId="00829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DB3BD2B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E13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498C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阈值校准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BB7646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冻结阈值并分析ROC、PR与参考线</w:t>
            </w:r>
          </w:p>
        </w:tc>
      </w:tr>
      <w:tr w14:paraId="17A8DA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93697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E14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78D5F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资源性能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7C097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Guard p95 可低，但端到端延迟额外开销最高比较未达标</w:t>
            </w:r>
          </w:p>
        </w:tc>
      </w:tr>
      <w:tr w14:paraId="78263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B6F27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E15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A34A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随机稳定性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68C7C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检查种子/抽样和模型输出下的历史波动</w:t>
            </w:r>
          </w:p>
        </w:tc>
      </w:tr>
      <w:tr w14:paraId="6F0C37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A5A4B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E16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9DD09A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自适应红队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0ABD14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多轮自适应攻击的历史工程专门实验；不等于后来的 B50/B200 研究</w:t>
            </w:r>
          </w:p>
        </w:tc>
      </w:tr>
      <w:tr w14:paraId="5A7B3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05C7BB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E17</w:t>
            </w:r>
          </w:p>
        </w:tc>
        <w:tc>
          <w:tcPr>
            <w:tcW w:w="19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0260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失败解释与人工复核</w:t>
            </w:r>
          </w:p>
        </w:tc>
        <w:tc>
          <w:tcPr>
            <w:tcW w:w="6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8453BF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两位评审各复核360行，统计一致性及失败类别</w:t>
            </w:r>
          </w:p>
        </w:tc>
      </w:tr>
    </w:tbl>
    <w:p w14:paraId="21CFC7B6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416526F8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eastAsia" w:cs="Times New Roman"/>
          <w:color w:val="000000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000000"/>
        </w:rPr>
        <w:t>主效果与工程门槛</w:t>
      </w:r>
    </w:p>
    <w:p w14:paraId="42410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在同提示条件下，历史攻击成功率（ASR）由50.5%降至0.4%，相对降幅约99.2%；完整防护的数据外泄观测为0/432，恶意调用Precision为525/529（99.2%）。恶意调用Recall为525/607（86.5%），低于90%的验收目标。结果显示早期系统对攻击具有较强阻断能力，同时在召回与正常使用方面存在改进空间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1757"/>
        <w:gridCol w:w="907"/>
        <w:gridCol w:w="3855"/>
      </w:tblGrid>
      <w:tr w14:paraId="774E7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2A328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历史验收项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71AC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观测值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9E5D5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验收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BDB3E50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主要发现</w:t>
            </w:r>
          </w:p>
        </w:tc>
      </w:tr>
      <w:tr w14:paraId="45491C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0B00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A01 同提示 ASR 相对下降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A4F60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约 99.2%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33FEC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E86908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历史主效果明显</w:t>
            </w:r>
          </w:p>
        </w:tc>
      </w:tr>
      <w:tr w14:paraId="7E850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BAD97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A02 数据外泄率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B30EA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0/432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CF144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B47FB3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432次观测均无外泄</w:t>
            </w:r>
          </w:p>
        </w:tc>
      </w:tr>
      <w:tr w14:paraId="6CA9C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3BA2A2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A03 恶意调用 Precision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2FC35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525/529 = 99.2%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07B24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CAED06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恶意调用判定精度高</w:t>
            </w:r>
          </w:p>
        </w:tc>
      </w:tr>
      <w:tr w14:paraId="7EEDDF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6964F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A04 恶意调用 Recall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250D7B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525/607 = 86.5%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1A4DE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未通过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262C89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距90%目标差3.5个百分点</w:t>
            </w:r>
          </w:p>
        </w:tc>
      </w:tr>
      <w:tr w14:paraId="2353BA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D1FCF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A06 正常任务 TCR 下降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95F80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6.79 个百分点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50D00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未通过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20A7AA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高于5个百分点目标</w:t>
            </w:r>
          </w:p>
        </w:tc>
      </w:tr>
      <w:tr w14:paraId="1CFE1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4066F3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A07 合法工具任务 TCR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DAA2A3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110/168 = 65.5%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43B80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未通过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80F9C8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合法工具任务仍有明显损失</w:t>
            </w:r>
          </w:p>
        </w:tc>
      </w:tr>
      <w:tr w14:paraId="7D41CA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D814F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A09 Guard p95 延迟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3FEA6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最差单元约 0.538 ms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9E9AF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DEDC7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监视器判定耗时较低</w:t>
            </w:r>
          </w:p>
        </w:tc>
      </w:tr>
      <w:tr w14:paraId="3AAD68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655F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A10 端到端延迟开销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5B21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最差比较约 92.4%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B8A5C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未通过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F0ECAB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整体流程性能待优化</w:t>
            </w:r>
          </w:p>
        </w:tc>
      </w:tr>
      <w:tr w14:paraId="4ABC5B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7EB0F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A11 工具调用解析率</w:t>
            </w:r>
          </w:p>
        </w:tc>
        <w:tc>
          <w:tcPr>
            <w:tcW w:w="17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15FF78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1529/1568 = 97.5%</w:t>
            </w:r>
          </w:p>
        </w:tc>
        <w:tc>
          <w:tcPr>
            <w:tcW w:w="9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01B7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通过</w:t>
            </w:r>
          </w:p>
        </w:tc>
        <w:tc>
          <w:tcPr>
            <w:tcW w:w="3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A0C43E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工具调用解析达到目标</w:t>
            </w:r>
          </w:p>
        </w:tc>
      </w:tr>
    </w:tbl>
    <w:p w14:paraId="3AAB27EC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095B00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样本建设方面，标准300条数据由210条攻击和90条正常案例组成；M3-v2进一步扩展到1,500条，包括900条攻击、300条无工具正常任务和300条合法工具任务。</w:t>
      </w:r>
    </w:p>
    <w:p w14:paraId="3973C335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4. 第二阶段：Public基准与授权制度实验（2026年8月）</w:t>
      </w:r>
    </w:p>
    <w:p w14:paraId="6F4FCD9D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4.1 从文本检测转向工具执行评估</w:t>
      </w:r>
    </w:p>
    <w:p w14:paraId="6FB4C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paper-v1/paper-v2将评估重点从提示文本识别延伸到工具动作执行过程：可信任务意图生成授权manifest，模型产生ActionProposal，Guard根据策略、来源和调用历史执行ALLOW、ASK或DENY，最后由模拟工具效果或基准原生评分计算结果。AgentDojo采用原生任务环境评分，M3-v2采用受控沙箱模拟效果，二者按各自指标报告。[S1][S2][S4]</w:t>
      </w:r>
    </w:p>
    <w:p w14:paraId="1363A4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历史Public矩阵记录DeepSeek Pro 5,082条、Flash 1,791条。在当时的标签口径下，Pro中full与policy分别为38/600和13/600，Flash分别为24/400和12/400。这组数据形成了后续研究的历史比较背景，也促使项目进一步检查模块配置、授权与评价指标之间的关系。</w:t>
      </w:r>
    </w:p>
    <w:p w14:paraId="0A57F284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4.2 lean授权实验与参数匹配缺陷</w:t>
      </w:r>
    </w:p>
    <w:p w14:paraId="3B6E9B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lean实验设置auto_compiled、exact_gold、broad、underspecified、conflicting等授权条件，比较权限范围对安全性和任务完成的影响。早期M3-v2良性工具任务在自动授权下完成17/30（policy）和12/30（full），在exact_gold条件下均降至0/30。9月的缺陷排查发现：标准调用记录往往只有to、path等目标字段，而工具接口还要求subject、body或content；整份参数字典的严格相等比较因此拒绝了补齐必要字段的合法提案。</w:t>
      </w:r>
    </w:p>
    <w:p w14:paraId="541A0B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在30个固定案例的离线测试中，只提交存储的目标参数时30/30可获许可；补齐邮件参数后为22/30，补齐文件内容后为11/30，两类必填参数均补齐后为3/30。这一结果定位了exact_gold的结构性匹配问题，并成为10月exact_target_v2修复的直接依据。[S5][S6]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1701"/>
        <w:gridCol w:w="4252"/>
      </w:tblGrid>
      <w:tr w14:paraId="618818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1F790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旧条件 / 机制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C2CAC7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结果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514AC1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机制观察</w:t>
            </w:r>
          </w:p>
        </w:tc>
      </w:tr>
      <w:tr w14:paraId="62763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3892B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gold 仅提交存储的目标字段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6B6ABF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30/30 可通过监视器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390D28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目标字段齐全，内容字段缺失</w:t>
            </w:r>
          </w:p>
        </w:tc>
      </w:tr>
      <w:tr w14:paraId="515CD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EDAEEA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补齐邮件 subject/body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74C31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22/30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BD8E1C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8个邮件案例被字典匹配拒绝</w:t>
            </w:r>
          </w:p>
        </w:tc>
      </w:tr>
      <w:tr w14:paraId="71D08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F76A91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补齐文件 content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C4136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11/30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21B3CD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19个写文件案例受内容字段影响</w:t>
            </w:r>
          </w:p>
        </w:tc>
      </w:tr>
      <w:tr w14:paraId="479D8B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8847C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按工具契约同时补齐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B9CB0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3/30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D10AF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27个案例存在必填字段冲突</w:t>
            </w:r>
          </w:p>
        </w:tc>
      </w:tr>
    </w:tbl>
    <w:p w14:paraId="3FC554D8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570E9EF8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5. 第三阶段：增量E1–E6（2026年8月下旬）</w:t>
      </w:r>
    </w:p>
    <w:p w14:paraId="4EB5F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8月26日至28日，项目完成增量E1–E5，依次研究提示与模块的独立影响、来源权威性、困难样本重现、Flash模型复现及自适应攻击尾部。随后，E6加入具有实际攻击活性的无防护对照，补充了风险富集样本中的安全比较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2"/>
        <w:gridCol w:w="2296"/>
        <w:gridCol w:w="3090"/>
        <w:gridCol w:w="2239"/>
      </w:tblGrid>
      <w:tr w14:paraId="770329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748499D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实验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0F475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规模 / 模型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B4746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重要结果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4303CDF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研究观察</w:t>
            </w:r>
          </w:p>
        </w:tc>
      </w:tr>
      <w:tr w14:paraId="524AA3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96C2A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增量 E1：2×2 因子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AD98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180 案例×4 = 720 条；Pro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A4FFE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attack unsafe：policy-normal 1/100、policy-safe 1/100、full-normal 0/100、full-safe 0/100；良性工具 TCR 23/60、21/60、21/60、19/60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102D2B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危险效果仅出现2次；正常工具完成率为19/60至23/60</w:t>
            </w:r>
          </w:p>
        </w:tc>
      </w:tr>
      <w:tr w14:paraId="011ABB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2B566B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增量 E2：来源反事实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D0326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60 基础任务×2 来源×2 配置 = 240 次 API；另 480 次离线回放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C23ED9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240 条端到端均未执行工具；离线未授权提案 false allow 0/240、授权提案 false block 30/240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0C9CFE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来源不同触发ASK与DENY差异；离线回放记录误拦30/240</w:t>
            </w:r>
          </w:p>
        </w:tc>
      </w:tr>
      <w:tr w14:paraId="16F87F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30085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增量 E3：困难集重现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0C2F1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60 风险富集案例×4 = 240 条；Pro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ACFB8D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unsafe 依次为 1/60、1/60、0/60、0/60；历史危险仅在 1/60 个基础案例重现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710D98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历史危险效果仅在1个基础案例中重现</w:t>
            </w:r>
          </w:p>
        </w:tc>
      </w:tr>
      <w:tr w14:paraId="544E06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27E02C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增量 E4：Flash 复现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CFAC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90 案例×4 = 360 条；Flash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A3110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四个攻击单元均 0/50；TCR 依次 10/30、8/30、10/30、10/30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C2177C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同厂商Flash配置的任务完成率为8/30至10/30</w:t>
            </w:r>
          </w:p>
        </w:tc>
      </w:tr>
      <w:tr w14:paraId="41D4F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E2F559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增量 E5：尾部适应攻击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C131C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12 个 B200 未成功者续跑 201–500；3,600 个终态 query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91F9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0/12 到 500 前新增 unsafe；Wilson 95% 上界 24.25%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A4E3B5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12个B200幸存任务延长至B500，新增危险效果0例</w:t>
            </w:r>
          </w:p>
        </w:tc>
      </w:tr>
      <w:tr w14:paraId="47CFA1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7A3AD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E6-v2：风险活性</w:t>
            </w:r>
          </w:p>
        </w:tc>
        <w:tc>
          <w:tcPr>
            <w:tcW w:w="22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CBFF5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DeepSeek 风险富集 60 任务×6 = 360 条；Gemini 技术门失败</w:t>
            </w:r>
          </w:p>
        </w:tc>
        <w:tc>
          <w:tcPr>
            <w:tcW w:w="30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045F74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无防护 17/60、适配 VIGIL 16/60、policy-normal 2/60、full-normal 0/60、full-safe 0/60</w:t>
            </w:r>
          </w:p>
        </w:tc>
        <w:tc>
          <w:tcPr>
            <w:tcW w:w="22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5DBD6">
            <w:pPr>
              <w:pageBreakBefore w:val="0"/>
              <w:jc w:val="both"/>
            </w:pPr>
            <w:r>
              <w:rPr>
                <w:rFonts w:ascii="Times New Roman" w:hAnsi="Times New Roman" w:eastAsia="宋体" w:cs="Times New Roman"/>
                <w:color w:val="000000"/>
              </w:rPr>
              <w:t>DeepSeek完成360条同期校准；Gemini资格门中止</w:t>
            </w:r>
          </w:p>
        </w:tc>
      </w:tr>
    </w:tbl>
    <w:p w14:paraId="41134362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4BD14F58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5.1 增量 E1 对 prompt 与 module 的拆分</w:t>
      </w:r>
    </w:p>
    <w:p w14:paraId="762B56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E1在180个案例上设置policy-normal、policy-safe、full-normal和full-safe四种条件，共720条Pro执行。四组统一使用auto_compiled授权，从而比较提示与模块两个因素。direct unsafe的模块主效应为−1.00个百分点，bootstrap区间为[−3.00, 0.00]；良性工具TCR的模块和提示主效应均为−3.33个百分点。攻击侧总共观察到2次危险效果，良性任务则显示出明确的完成率代价。</w:t>
      </w:r>
    </w:p>
    <w:p w14:paraId="3D58D16A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5.2 增量E2：来源反事实与监视器判定</w:t>
      </w:r>
    </w:p>
    <w:p w14:paraId="347BD8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E2建立60个基础任务的可信与不可信来源版本，在两种模块配置下得到240条端到端记录，并另做480次离线Guard回放。policy/trusted出现60/60次ASK，policy/untrusted为53/60；full/trusted为57/60次ASK，full/untrusted为55/60次DENY。端到端动作执行均为0；离线回放的未授权提案误放行为0/240、合法提案误拦为30/240。实验展示了来源标签对Guard判定路径的影响。</w:t>
      </w:r>
    </w:p>
    <w:p w14:paraId="327740ED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5.3 增量E6：风险富集攻击校准</w:t>
      </w:r>
    </w:p>
    <w:p w14:paraId="2294CA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E6-v2使用60个风险富集任务进行六条件同期比较，DeepSeek共执行360条。危险效果数量分别为：无防护17/60（28.3%）、适配VIGIL 16/60、policy-normal 2/60、policy-safe 1/60、full-normal 0/60、full-safe 0/60。与有实际攻击成功的无防护组相比，权限检查和完整Guard都大幅降低了这组任务中的危险效果。[S8]</w:t>
      </w:r>
    </w:p>
    <w:p w14:paraId="270856BF">
      <w:pPr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drawing>
          <wp:inline distT="0" distB="0" distL="114300" distR="114300">
            <wp:extent cx="5687695" cy="2055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19C7">
      <w:pPr>
        <w:pStyle w:val="15"/>
        <w:keepNext w:val="0"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图 1  E6-v2 的 DeepSeek 单块风险富集危险效果</w:t>
      </w:r>
    </w:p>
    <w:p w14:paraId="623FBC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Gemini原计划180条，实际形成6条科学终态，另174条因技术门未通过而结束。本阶段完整的同期比较结果来自DeepSeek的360条记录。[S8]</w:t>
      </w:r>
    </w:p>
    <w:p w14:paraId="1F7980F4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6. 第四阶段：授权可用性与确认实验（2026年9月）</w:t>
      </w:r>
    </w:p>
    <w:p w14:paraId="206080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9月的授权可用性研究将注意力转向ASK后的确认流程、参数约束和来源匹配。研究者发现，旧运行器遇到ASK即结束当前交互，固定正文的exact参数比较也会阻断合法表达。随后构建512次确定性离线探针，其中480次参数扰动、28次来源压力和4次确认检查，分别观察参数约束、来源标签及确认逻辑的判定变化。</w:t>
      </w:r>
    </w:p>
    <w:p w14:paraId="5EE953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E7a针对24个合成任务设置四种条件，获得96条可解析的官方API输出，并建立384次提案后确认状态检查。strict_exact对合法提案的许可为0/12，bounded_enum在policy和full条件下均为12/12；非授权提案许可均为0/12。该实验的核心指标是提案许可率，模拟确认控制器使用与任务、提案、权限相绑定的一次性许可。</w:t>
      </w:r>
    </w:p>
    <w:p w14:paraId="6087E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10月引入exact_target_v2，按工具接口核查参数完整性，同时针对明确的目标和安全字段进行匹配，允许模型正常生成邮件正文和文件内容。在固定30个M3良性工具案例上，离线监视器对接口完整提案的许可由旧版3/30提升至新版30/30。修复解决了精确目标匹配与工具必填参数之间的冲突。</w:t>
      </w:r>
    </w:p>
    <w:p w14:paraId="1D385706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7. 第五阶段：修复后研究（2026年10月5—8日）</w:t>
      </w:r>
    </w:p>
    <w:p w14:paraId="30845D7B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7.1 corrected_v2 的程序修复与组件控制</w:t>
      </w:r>
    </w:p>
    <w:p w14:paraId="613025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corrected_v2集中修复了目标字段约束、含糊权限、缺失可信数据分类和效果日志记录。16条合成模型控制覆盖私密内容发送、公开内容发送、内部归档及分类缺失四类场景：私密内容发往受限目标时，policy可产生危险效果而full执行DENY；公开内容和允许归档能够正常完成；分类缺失时full返回ASK。两款DeepSeek服务呈现一致的判定方向。</w:t>
      </w:r>
    </w:p>
    <w:p w14:paraId="16E63E2A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7.2 授权矩阵：900条执行与任务完成率</w:t>
      </w:r>
    </w:p>
    <w:p w14:paraId="52FA35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10月修复后，180个基础案例在不同授权制度和模块条件下形成900条模型执行，另有16条合成控制。900条主矩阵中，795条正常结束，60条达到步数上限，45条解析失败；攻击子单元均记录为0次危险效果。良性工具任务的分层完成结果见下表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1474"/>
        <w:gridCol w:w="1417"/>
        <w:gridCol w:w="1502"/>
        <w:gridCol w:w="1502"/>
      </w:tblGrid>
      <w:tr w14:paraId="00286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B954A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基准 / 良性工具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60BF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自动 policy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9E3E23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自动 full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3847532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精确目标 policy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06B27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精确目标 full</w:t>
            </w:r>
          </w:p>
        </w:tc>
      </w:tr>
      <w:tr w14:paraId="5AD1D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1412F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AgentDojo（每格 30）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B232C5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2/30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BB0416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2/30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1415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13/30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E9928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11/30</w:t>
            </w:r>
          </w:p>
        </w:tc>
      </w:tr>
      <w:tr w14:paraId="76A4DF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0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DDA5BE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M3-v2（每格 30）</w:t>
            </w:r>
          </w:p>
        </w:tc>
        <w:tc>
          <w:tcPr>
            <w:tcW w:w="14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33FA5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16/30</w:t>
            </w:r>
          </w:p>
        </w:tc>
        <w:tc>
          <w:tcPr>
            <w:tcW w:w="14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E36C6F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17/30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805089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14/30</w:t>
            </w:r>
          </w:p>
        </w:tc>
        <w:tc>
          <w:tcPr>
            <w:tcW w:w="15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D86B4C">
            <w:pPr>
              <w:pageBreakBefore w:val="0"/>
              <w:spacing w:before="20" w:after="20" w:line="269" w:lineRule="auto"/>
              <w:jc w:val="both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16/30</w:t>
            </w:r>
          </w:p>
        </w:tc>
      </w:tr>
    </w:tbl>
    <w:p w14:paraId="585B3EF4">
      <w:pPr>
        <w:pageBreakBefore w:val="0"/>
        <w:spacing w:after="0"/>
        <w:jc w:val="both"/>
        <w:rPr>
          <w:rFonts w:hint="default" w:ascii="Times New Roman" w:hAnsi="Times New Roman" w:eastAsia="宋体" w:cs="Times New Roman"/>
        </w:rPr>
      </w:pPr>
    </w:p>
    <w:p w14:paraId="0B2D5C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color w:val="00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在AgentDojo上，exact_target_v2相对自动授权的完成率提升分别为policy +36.67个百分点（配对95%区间+18.60至+53.31，Holm p=0.0039）和full +30.00个百分点（+13.23至+46.75，Holm p=0.0117）。对照使用从离线标准任务推导的明确目标，直观显示了目标授权信息充分程度与正常任务完成之间的联系。</w:t>
      </w:r>
    </w:p>
    <w:p w14:paraId="7ABED42E">
      <w:pPr>
        <w:pStyle w:val="4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7.3 同期480条校准：攻击效果与正常任务</w:t>
      </w:r>
    </w:p>
    <w:p w14:paraId="7A5F8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10月6日进一步选取120个基础任务（AgentDojo和M3-v2各30攻击、30良性工具），在无防护、policy-only、full-normal和适配VIGIL四条件下执行480条。AgentDojo攻击危险效果在无防护下为3/30，policy和full均为0/30；良性工具完成率则从无防护17/30降至policy和full的2/30，差值为−50个百分点（Newcombe 95%区间−66.83至−26.80，Holm p约0.0008）。这组数据突出了自动授权配置对正常任务完成的显著影响。</w:t>
      </w:r>
    </w:p>
    <w:p w14:paraId="39FEC2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M3-v2的攻击危险效果在无防护、policy和full条件下均为0/30；良性工具完成依次为16/30、17/30和16/30。AgentDojo上，适配VIGIL的攻击危险结果为4/28，另有2项效果未知。两套基准呈现了不同的攻击活性与效用分布。</w:t>
      </w:r>
    </w:p>
    <w:p w14:paraId="567F86C7">
      <w:pPr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drawing>
          <wp:inline distT="0" distB="0" distL="114300" distR="114300">
            <wp:extent cx="5687695" cy="20554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055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4FDD">
      <w:pPr>
        <w:pStyle w:val="15"/>
        <w:keepNext w:val="0"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color w:val="000000"/>
        </w:rPr>
        <w:t>图 2  10 月同期校准的良性工具任务完成率</w:t>
      </w:r>
    </w:p>
    <w:p w14:paraId="1F4F64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研究组进一步对60个良性工具任务及240条现有条件记录进行逐项复核。AgentDojo在自动授权条件下，policy和full两组各有26/30个任务首次遇到missing_tool_permission，表明工具权限缺失是该组完成率偏低的主要可观察阻断环节。</w:t>
      </w:r>
    </w:p>
    <w:p w14:paraId="083AA8E3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8. 强化实验v1研究设计</w:t>
      </w:r>
    </w:p>
    <w:p w14:paraId="14714E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强化实验v1（empirical_reinforcement_v1）围绕三个主题制定了扩样计划：R1扩大正常任务与授权制度比较，R2校准攻击活性，R3开展同一动作的policy/full确定性机制回放。已冻结的计划包含2,165个模型工作项，其中Pro效用1,085条、Flash效用600条、Pro攻击活性320条、Flash攻击活性160条，另设计320次离线判定。该部分记录的是v1的研究设计与计划规模。</w:t>
      </w:r>
    </w:p>
    <w:p w14:paraId="0858DE08">
      <w:pPr>
        <w:pStyle w:val="3"/>
        <w:keepNext/>
        <w:pageBreakBefore w:val="0"/>
        <w:jc w:val="both"/>
        <w:rPr>
          <w:rFonts w:hint="default"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color w:val="000000"/>
        </w:rPr>
        <w:t>9. 历史实验的主要认识</w:t>
      </w:r>
    </w:p>
    <w:p w14:paraId="43E7C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（一）早期主防御实验取得较大的ASR下降：50.5%降至0.4%；与此同时，合法工具完成率65.5%、召回率86.5%和端到端延迟开销92.4%等指标揭示了系统在效用与性能上的关键改进方向。</w:t>
      </w:r>
    </w:p>
    <w:p w14:paraId="4BAE5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（二）8月之后，研究重心从单一攻击阻断率转向授权与工具执行过程。exact_gold的问题说明目标约束方式会直接改变实验结果；corrected_v2和exact_target_v2则形成了更清晰的授权规则与效果记录。</w:t>
      </w:r>
    </w:p>
    <w:p w14:paraId="1A2F66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（三）E6风险富集校准与10月同期校准提供了相互补充的结果：E6中危险效果从无防护17/60降至完整防护0/60；10月AgentDojo正常任务完成从17/30降至2/30。安全收益与正常任务代价构成了后续研究最值得深入的问题。</w:t>
      </w:r>
    </w:p>
    <w:p w14:paraId="6A7025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（四）项目已经建立了从受控沙箱、冻结数据、模型身份记录到分层统计的完整研究链。接下来的关键工作是改善可信任务意图到工具授权的映射，并在更丰富的任务与模型配置上考察安全性和任务完成率。</w:t>
      </w:r>
    </w:p>
    <w:p w14:paraId="6FDB9E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80" w:firstLineChars="200"/>
        <w:jc w:val="both"/>
        <w:textAlignment w:val="auto"/>
        <w:rPr>
          <w:rFonts w:hint="default" w:ascii="Times New Roman" w:hAnsi="Times New Roman" w:eastAsia="宋体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 w:val="24"/>
          <w:szCs w:val="24"/>
        </w:rPr>
        <w:t>（五）各阶段证据按照实验名称、模型、配置、基准、原始记录和分析结果保存。Wilson区间、McNemar检验、Holm校正与配对bootstrap等统计方法为主要结论提供了可复核的数量依据。</w:t>
      </w:r>
    </w:p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1191" w:right="1276" w:bottom="1077" w:left="1332" w:header="652" w:footer="65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788D35">
    <w:pPr>
      <w:pStyle w:val="24"/>
      <w:pageBreakBefore w:val="0"/>
      <w:jc w:val="center"/>
    </w:pPr>
    <w:r>
      <w:rPr>
        <w:rFonts w:ascii="Times New Roman" w:hAnsi="Times New Roman" w:eastAsia="宋体" w:cs="Times New Roman"/>
        <w:color w:val="000000"/>
        <w:sz w:val="17"/>
      </w:rPr>
      <w:t>M3-PI Guard｜历史实验梳理｜2026-10-14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1723B">
    <w:pPr>
      <w:pageBreakBefore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9" w:lineRule="auto"/>
      </w:pPr>
      <w:r>
        <w:separator/>
      </w:r>
    </w:p>
  </w:footnote>
  <w:footnote w:type="continuationSeparator" w:id="1">
    <w:p>
      <w:pPr>
        <w:spacing w:before="0" w:after="0" w:line="31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A0FB2">
    <w:pPr>
      <w:pageBreakBefore w:val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190F62">
    <w:pPr>
      <w:pageBreakBefore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ascii="Times New Roman" w:hAnsi="Times New Roman" w:eastAsia="宋体" w:cs="Times New Roman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ascii="Times New Roman" w:hAnsi="Times New Roman" w:eastAsia="宋体" w:cs="Times New Roman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ascii="Times New Roman" w:hAnsi="Times New Roman" w:eastAsia="宋体" w:cs="Times New Roman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D7738"/>
    <w:rsid w:val="111D4066"/>
    <w:rsid w:val="149616BF"/>
    <w:rsid w:val="17F7648E"/>
    <w:rsid w:val="1B9B4FD0"/>
    <w:rsid w:val="1BB2184F"/>
    <w:rsid w:val="234B6811"/>
    <w:rsid w:val="2CEB4BC0"/>
    <w:rsid w:val="32747406"/>
    <w:rsid w:val="380354B4"/>
    <w:rsid w:val="416A2100"/>
    <w:rsid w:val="42164036"/>
    <w:rsid w:val="4AEC002A"/>
    <w:rsid w:val="4ECA2430"/>
    <w:rsid w:val="629762BF"/>
    <w:rsid w:val="6E1B63AC"/>
    <w:rsid w:val="73F6796C"/>
    <w:rsid w:val="790E548B"/>
    <w:rsid w:val="7B47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19" w:lineRule="auto"/>
    </w:pPr>
    <w:rPr>
      <w:rFonts w:ascii="Times New Roman" w:hAnsi="Times New Roman" w:eastAsia="宋体" w:cs="Times New Roman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40" w:line="288" w:lineRule="auto"/>
      <w:outlineLvl w:val="0"/>
    </w:pPr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 w:line="288" w:lineRule="auto"/>
      <w:outlineLvl w:val="1"/>
    </w:pPr>
    <w:rPr>
      <w:rFonts w:ascii="Times New Roman" w:hAnsi="Times New Roman" w:eastAsia="宋体" w:cs="Times New Roman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 w:line="288" w:lineRule="auto"/>
      <w:outlineLvl w:val="2"/>
    </w:pPr>
    <w:rPr>
      <w:rFonts w:ascii="Times New Roman" w:hAnsi="Times New Roman" w:eastAsia="宋体" w:cs="Times New Roman"/>
      <w:b/>
      <w:bCs/>
      <w:color w:val="000000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color w:val="000000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5">
    <w:name w:val="caption"/>
    <w:basedOn w:val="1"/>
    <w:next w:val="1"/>
    <w:semiHidden/>
    <w:unhideWhenUsed/>
    <w:qFormat/>
    <w:uiPriority w:val="35"/>
    <w:pPr>
      <w:keepNext w:val="0"/>
      <w:spacing w:before="0" w:after="100" w:line="288" w:lineRule="auto"/>
    </w:pPr>
    <w:rPr>
      <w:rFonts w:ascii="Times New Roman" w:hAnsi="Times New Roman" w:eastAsia="宋体" w:cs="Times New Roman"/>
      <w:bCs/>
      <w:color w:val="000000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color w:val="000000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color w:val="000000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</w:r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  <w:color w:val="000000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</w:rPr>
  </w:style>
  <w:style w:type="paragraph" w:styleId="26">
    <w:name w:val="Subtitle"/>
    <w:basedOn w:val="1"/>
    <w:next w:val="1"/>
    <w:link w:val="142"/>
    <w:qFormat/>
    <w:uiPriority w:val="11"/>
    <w:pPr>
      <w:keepNext w:val="0"/>
      <w:spacing w:before="0" w:after="200" w:line="288" w:lineRule="auto"/>
    </w:pPr>
    <w:rPr>
      <w:rFonts w:ascii="Times New Roman" w:hAnsi="Times New Roman" w:eastAsia="宋体" w:cs="Times New Roman"/>
      <w:i/>
      <w:iCs/>
      <w:color w:val="000000"/>
      <w:spacing w:val="15"/>
      <w:sz w:val="20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  <w:color w:val="000000"/>
    </w:r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  <w:rPr>
      <w:rFonts w:ascii="Times New Roman" w:hAnsi="Times New Roman" w:eastAsia="宋体" w:cs="Times New Roman"/>
      <w:color w:val="000000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</w:r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000000" w:sz="8" w:space="4"/>
      </w:pBdr>
      <w:spacing w:before="0" w:after="240" w:line="288" w:lineRule="auto"/>
      <w:contextualSpacing/>
    </w:pPr>
    <w:rPr>
      <w:rFonts w:ascii="Times New Roman" w:hAnsi="Times New Roman" w:eastAsia="宋体" w:cs="Times New Roman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000000" w:sz="18" w:space="0"/>
        <w:bottom w:val="single" w:color="000000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color="000000" w:sz="6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</w:tblStylePr>
    <w:tblStylePr w:type="neCell"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color="000000" w:sz="18" w:space="0"/>
          <w:left w:val="nil"/>
          <w:bottom w:val="single" w:color="000000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</w:tblStylePr>
    <w:tblStylePr w:type="band1Horz">
      <w:tblPr/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00000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</w:tblStylePr>
    <w:tblStylePr w:type="band1Horz">
      <w:tblPr/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  <w:tcPr>
        <w:tcBorders>
          <w:insideH w:val="single" w:sz="6" w:space="0"/>
          <w:insideV w:val="single" w:sz="6" w:space="0"/>
        </w:tcBorders>
      </w:tcPr>
    </w:tblStylePr>
    <w:tblStylePr w:type="nwCell">
      <w:tblPr/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 w:val="0"/>
        <w:iCs w:val="0"/>
        <w:color w:val="000000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000000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6" w:space="0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</w:tblStylePr>
    <w:tblStylePr w:type="band1Horz">
      <w:tbl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000000"/>
      </w:rPr>
      <w:tblPr/>
      <w:tcPr>
        <w:tcBorders>
          <w:bottom w:val="single" w:color="000000" w:sz="12" w:space="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  <w:color w:val="000000"/>
      </w:rPr>
      <w:tblPr/>
    </w:tblStylePr>
    <w:tblStylePr w:type="firstCol">
      <w:rPr>
        <w:color w:val="000000"/>
      </w:rPr>
      <w:tblPr/>
    </w:tblStylePr>
    <w:tblStylePr w:type="lastCol">
      <w:rPr>
        <w:color w:val="000000"/>
      </w:rPr>
      <w:tblPr/>
    </w:tblStylePr>
    <w:tblStylePr w:type="band1Vert">
      <w:tblPr/>
    </w:tblStylePr>
    <w:tblStylePr w:type="band1Horz">
      <w:tblPr/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color w:val="000000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="Times New Roman" w:hAnsi="Times New Roman" w:eastAsia="宋体" w:cs="Times New Roman"/>
      <w:b/>
      <w:bCs/>
      <w:color w:val="000000"/>
      <w:sz w:val="30"/>
      <w:szCs w:val="28"/>
    </w:rPr>
  </w:style>
  <w:style w:type="character" w:customStyle="1" w:styleId="139">
    <w:name w:val="Heading 2 Char"/>
    <w:basedOn w:val="132"/>
    <w:link w:val="4"/>
    <w:uiPriority w:val="9"/>
    <w:rPr>
      <w:rFonts w:ascii="Times New Roman" w:hAnsi="Times New Roman" w:eastAsia="宋体" w:cs="Times New Roman"/>
      <w:b/>
      <w:bCs/>
      <w:color w:val="000000"/>
      <w:sz w:val="28"/>
      <w:szCs w:val="26"/>
    </w:rPr>
  </w:style>
  <w:style w:type="character" w:customStyle="1" w:styleId="140">
    <w:name w:val="Heading 3 Char"/>
    <w:basedOn w:val="132"/>
    <w:link w:val="5"/>
    <w:uiPriority w:val="9"/>
    <w:rPr>
      <w:rFonts w:ascii="Times New Roman" w:hAnsi="Times New Roman" w:eastAsia="宋体" w:cs="Times New Roman"/>
      <w:b/>
      <w:bCs/>
      <w:color w:val="000000"/>
    </w:rPr>
  </w:style>
  <w:style w:type="character" w:customStyle="1" w:styleId="141">
    <w:name w:val="Title Char"/>
    <w:basedOn w:val="132"/>
    <w:link w:val="31"/>
    <w:uiPriority w:val="10"/>
    <w:rPr>
      <w:rFonts w:ascii="Times New Roman" w:hAnsi="Times New Roman" w:eastAsia="宋体" w:cs="Times New Roman"/>
      <w:color w:val="000000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  <w:color w:val="000000"/>
    </w:r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/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"/>
    <w:basedOn w:val="132"/>
    <w:link w:val="6"/>
    <w:semiHidden/>
    <w:uiPriority w:val="9"/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51">
    <w:name w:val="Heading 5 Char"/>
    <w:basedOn w:val="132"/>
    <w:link w:val="7"/>
    <w:semiHidden/>
    <w:uiPriority w:val="9"/>
    <w:rPr>
      <w:rFonts w:ascii="Times New Roman" w:hAnsi="Times New Roman" w:eastAsia="宋体" w:cs="Times New Roman"/>
      <w:color w:val="000000"/>
    </w:rPr>
  </w:style>
  <w:style w:type="character" w:customStyle="1" w:styleId="152">
    <w:name w:val="Heading 6 Char"/>
    <w:basedOn w:val="132"/>
    <w:link w:val="8"/>
    <w:semiHidden/>
    <w:uiPriority w:val="9"/>
    <w:rPr>
      <w:rFonts w:ascii="Times New Roman" w:hAnsi="Times New Roman" w:eastAsia="宋体" w:cs="Times New Roman"/>
      <w:i/>
      <w:iCs/>
      <w:color w:val="000000"/>
    </w:rPr>
  </w:style>
  <w:style w:type="character" w:customStyle="1" w:styleId="153">
    <w:name w:val="Heading 7 Char"/>
    <w:basedOn w:val="132"/>
    <w:link w:val="9"/>
    <w:semiHidden/>
    <w:uiPriority w:val="9"/>
    <w:rPr>
      <w:rFonts w:ascii="Times New Roman" w:hAnsi="Times New Roman" w:eastAsia="宋体" w:cs="Times New Roman"/>
      <w:i/>
      <w:iCs/>
      <w:color w:val="000000"/>
    </w:rPr>
  </w:style>
  <w:style w:type="character" w:customStyle="1" w:styleId="154">
    <w:name w:val="Heading 8 Char"/>
    <w:basedOn w:val="132"/>
    <w:link w:val="10"/>
    <w:semiHidden/>
    <w:uiPriority w:val="9"/>
    <w:rPr>
      <w:rFonts w:ascii="Times New Roman" w:hAnsi="Times New Roman" w:eastAsia="宋体" w:cs="Times New Roman"/>
      <w:color w:val="000000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="Times New Roman" w:hAnsi="Times New Roman" w:eastAsia="宋体" w:cs="Times New Roman"/>
      <w:i/>
      <w:iCs/>
      <w:color w:val="00000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000000" w:sz="4" w:space="4"/>
      </w:pBd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000000"/>
    </w:rPr>
  </w:style>
  <w:style w:type="character" w:customStyle="1" w:styleId="158">
    <w:name w:val="Subtle Emphasis"/>
    <w:basedOn w:val="132"/>
    <w:qFormat/>
    <w:uiPriority w:val="19"/>
    <w:rPr>
      <w:i/>
      <w:iCs/>
      <w:color w:val="00000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000000"/>
    </w:rPr>
  </w:style>
  <w:style w:type="character" w:customStyle="1" w:styleId="160">
    <w:name w:val="Subtle Reference"/>
    <w:basedOn w:val="132"/>
    <w:qFormat/>
    <w:uiPriority w:val="31"/>
    <w:rPr>
      <w:smallCaps/>
      <w:color w:val="000000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000000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5827</Words>
  <Characters>9145</Characters>
  <Lines>0</Lines>
  <Paragraphs>0</Paragraphs>
  <TotalTime>16</TotalTime>
  <ScaleCrop>false</ScaleCrop>
  <LinksUpToDate>false</LinksUpToDate>
  <CharactersWithSpaces>9471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sanshi712</dc:creator>
  <dc:description>generated by python-docx</dc:description>
  <cp:keywords>M3-PI Guard; LLM Security; prompt injection; historical experiments</cp:keywords>
  <cp:lastModifiedBy>sanshi712</cp:lastModifiedBy>
  <dcterms:modified xsi:type="dcterms:W3CDTF">2026-10-15T05:00:11Z</dcterms:modified>
  <dc:subject>历史实验与证据审查</dc:subject>
  <dc:title>M3-PI Guard 历史实验演进与证据梳理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eyJoZGlkIjoiZWVlN2FmOWQ4YWI4ZmFhYTg5OTJiOThhMmU0NzIwYzgiLCJ1c2VySWQiOiIzMTg0MzUxMDMifQ==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07FE591900A84E2994F57EE077C172AF_12</vt:lpwstr>
  </property>
</Properties>
</file>