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5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LLM agents can turn prompt injection into external actions, but</w:t>
      </w:r>
      <w:r>
        <w:t xml:space="preserve"> </w:t>
      </w:r>
      <w:r>
        <w:t xml:space="preserve">measured security depends on runtime authorization. We exclude raw evaluator</w:t>
      </w:r>
      <w:r>
        <w:t xml:space="preserve"> </w:t>
      </w:r>
      <w:r>
        <w:t xml:space="preserve">and scoring fields from online state, vary authorization—including an</w:t>
      </w:r>
      <w:r>
        <w:t xml:space="preserve"> </w:t>
      </w:r>
      <w:r>
        <w:t xml:space="preserve">explicitly gold-derived sensitivity condition—and jointly measure unsafe</w:t>
      </w:r>
      <w:r>
        <w:t xml:space="preserve"> </w:t>
      </w:r>
      <w:r>
        <w:t xml:space="preserve">effects, task completion, burden, failure, latency, and cost.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an incremental</w:t>
      </w:r>
      <w:r>
        <w:t xml:space="preserve"> </w:t>
      </w:r>
      <w:r>
        <w:t xml:space="preserve">mechanism claim.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M3-full is a new or state-of-the-art defense.</w:t>
      </w:r>
    </w:p>
    <w:p>
      <w:pPr>
        <w:pStyle w:val="BodyText"/>
      </w:pPr>
      <w:r>
        <w:t xml:space="preserve">The larger, independently reproduced Public primary matrix reinforced this</w:t>
      </w:r>
      <w:r>
        <w:t xml:space="preserve"> </w:t>
      </w:r>
      <w:r>
        <w:t xml:space="preserve">finding.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mechanism-quality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  <w:r>
        <w:t xml:space="preserve"> </w:t>
      </w:r>
      <w:r>
        <w:t xml:space="preserve">Provider calls for the evidence reported here were made during July and August</w:t>
      </w:r>
      <w:r>
        <w:t xml:space="preserve"> </w:t>
      </w:r>
      <w:r>
        <w:t xml:space="preserve">2026. The returned names are provider-managed model aliases and therefore</w:t>
      </w:r>
      <w:r>
        <w:t xml:space="preserve"> </w:t>
      </w:r>
      <w:r>
        <w:t xml:space="preserve">identify the served model at request time without freezing its hidden weights.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 reports the count of superseded attempts. For Gemini, it applies the</w:t>
      </w:r>
      <w:r>
        <w:t xml:space="preserve"> </w:t>
      </w:r>
      <w:r>
        <w:t xml:space="preserve">same retry-state normalization as the runner using the content-free pause-event</w:t>
      </w:r>
      <w:r>
        <w:t xml:space="preserve"> </w:t>
      </w:r>
      <w:r>
        <w:t xml:space="preserve">ledger, so a quota pause cannot be mistaken for a scientific terminal. No prior</w:t>
      </w:r>
      <w:r>
        <w:t xml:space="preserve"> </w:t>
      </w:r>
      <w:r>
        <w:t xml:space="preserve">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59" w:name="results"/>
    <w:p>
      <w:pPr>
        <w:pStyle w:val="Heading2"/>
        <w:keepNext/>
      </w:pPr>
      <w:r>
        <w:t xml:space="preserve">4. Results</w:t>
      </w:r>
    </w:p>
    <w:bookmarkStart w:id="48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an incremental</w:t>
      </w:r>
      <w:r>
        <w:t xml:space="preserve"> </w:t>
      </w:r>
      <w:r>
        <w:t xml:space="preserve">mechanism claim. M3-full met the security-effect and deny-all criteria, but</w:t>
      </w:r>
      <w:r>
        <w:t xml:space="preserve"> </w:t>
      </w:r>
      <w:r>
        <w:t xml:space="preserve">missed the utility point non-inferiority criterion and showed no security gain</w:t>
      </w:r>
      <w:r>
        <w:t xml:space="preserve"> </w:t>
      </w:r>
      <w:r>
        <w:t xml:space="preserve">over M3 policy-only. Both the favorable security comparison and the</w:t>
      </w:r>
      <w:r>
        <w:t xml:space="preserve"> </w:t>
      </w:r>
      <w:r>
        <w:t xml:space="preserve">unfavorable utility and module comparisons are reported.</w:t>
      </w:r>
    </w:p>
    <w:p>
      <w:pPr>
        <w:pStyle w:val="BodyText"/>
      </w:pPr>
      <w:r>
        <w:t xml:space="preserve">Detailed values are reported in Supplementary Table S1.</w:t>
      </w:r>
    </w:p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p>
      <w:pPr>
        <w:pStyle w:val="BodyText"/>
      </w:pPr>
      <w:r>
        <w:t xml:space="preserve">Detailed values are reported in Supplementary Table S2.</w:t>
      </w:r>
    </w:p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mechanism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p>
      <w:pPr>
        <w:pStyle w:val="BodyText"/>
      </w:pPr>
      <w:r>
        <w:t xml:space="preserve">Detailed values are reported in Supplementary Table S3.</w:t>
      </w:r>
    </w:p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p>
      <w:pPr>
        <w:pStyle w:val="BodyText"/>
      </w:pPr>
      <w:r>
        <w:t xml:space="preserve">Detailed values are reported in Supplementary Table S4.</w:t>
      </w:r>
    </w:p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48"/>
    <w:bookmarkStart w:id="49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49"/>
    <w:bookmarkStart w:id="50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074"/>
        <w:gridCol w:w="2738"/>
        <w:gridCol w:w="354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Incremental defense-mechanism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0"/>
    <w:bookmarkStart w:id="51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p>
      <w:pPr>
        <w:pStyle w:val="BodyText"/>
      </w:pPr>
      <w:r>
        <w:t xml:space="preserve">Detailed values are reported in Supplementary Table S5.</w:t>
      </w:r>
    </w:p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1"/>
    <w:bookmarkStart w:id="52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2"/>
    <w:bookmarkStart w:id="53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comparison therefore met its structural security-effect criterion</w:t>
      </w:r>
      <w:r>
        <w:t xml:space="preserve"> </w:t>
      </w:r>
      <w:r>
        <w:t xml:space="preserve">but missed utility non-inferiority and module-gain criteria. This pattern is</w:t>
      </w:r>
      <w:r>
        <w:t xml:space="preserve"> </w:t>
      </w:r>
      <w:r>
        <w:t xml:space="preserve">consistent with a security–utility trade-off rather than incremental benefit</w:t>
      </w:r>
      <w:r>
        <w:t xml:space="preserve"> </w:t>
      </w:r>
      <w:r>
        <w:t xml:space="preserve">from the full mechanism.</w:t>
      </w:r>
    </w:p>
    <w:bookmarkEnd w:id="53"/>
    <w:bookmarkStart w:id="56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raw evaluator,</w:t>
      </w:r>
      <w:r>
        <w:t xml:space="preserve"> </w:t>
      </w:r>
      <w:r>
        <w:t xml:space="preserve">label, or gold-answer field entered the online projection;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exposed only its derived authorization object. Provider tools and real external</w:t>
      </w:r>
      <w:r>
        <w:t xml:space="preserve"> </w:t>
      </w:r>
      <w:r>
        <w:t xml:space="preserve">effects remained disabled.</w:t>
      </w:r>
    </w:p>
    <w:bookmarkStart w:id="54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4"/>
    <w:bookmarkStart w:id="55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55"/>
    <w:bookmarkEnd w:id="56"/>
    <w:bookmarkStart w:id="57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p>
      <w:pPr>
        <w:pStyle w:val="BodyText"/>
      </w:pPr>
      <w:r>
        <w:t xml:space="preserve">Detailed values are reported in Supplementary Table S6.</w:t>
      </w:r>
    </w:p>
    <w:bookmarkEnd w:id="57"/>
    <w:bookmarkStart w:id="58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58"/>
    <w:bookmarkEnd w:id="59"/>
    <w:bookmarkStart w:id="68" w:name="discussion"/>
    <w:p>
      <w:pPr>
        <w:pStyle w:val="Heading2"/>
        <w:keepNext/>
      </w:pPr>
      <w:r>
        <w:t xml:space="preserve">5. Discussion</w:t>
      </w:r>
    </w:p>
    <w:bookmarkStart w:id="60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0"/>
    <w:bookmarkStart w:id="61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1"/>
    <w:bookmarkStart w:id="62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2"/>
    <w:bookmarkStart w:id="63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3"/>
    <w:bookmarkStart w:id="64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64"/>
    <w:bookmarkStart w:id="65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65"/>
    <w:bookmarkStart w:id="66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was designed to probe this</w:t>
      </w:r>
      <w:r>
        <w:t xml:space="preserve"> </w:t>
      </w:r>
      <w:r>
        <w:t xml:space="preserve">dependence, but it contributes no cross-provider evidence unless all 450 work</w:t>
      </w:r>
      <w:r>
        <w:t xml:space="preserve"> </w:t>
      </w:r>
      <w:r>
        <w:t xml:space="preserve">items reach terminal status. Although execution dates, official response</w:t>
      </w:r>
      <w:r>
        <w:t xml:space="preserve"> </w:t>
      </w:r>
      <w:r>
        <w:t xml:space="preserve">identifiers, and returned model names are retained, provider-managed aliases do</w:t>
      </w:r>
      <w:r>
        <w:t xml:space="preserve"> </w:t>
      </w:r>
      <w:r>
        <w:t xml:space="preserve">not make the underlying weights immutable.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Fourth,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Fifth,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Sixth,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66"/>
    <w:bookmarkStart w:id="67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determines whether a complete</w:t>
      </w:r>
      <w:r>
        <w:t xml:space="preserve"> </w:t>
      </w:r>
      <w:r>
        <w:t xml:space="preserve">cross-provider comparison is available; an incomplete subset remains</w:t>
      </w:r>
      <w:r>
        <w:t xml:space="preserve"> </w:t>
      </w:r>
      <w:r>
        <w:t xml:space="preserve">diagnostic and cannot alter or broaden the DeepSeek findings.</w:t>
      </w:r>
    </w:p>
    <w:bookmarkEnd w:id="67"/>
    <w:bookmarkEnd w:id="68"/>
    <w:bookmarkStart w:id="69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69"/>
    <w:bookmarkStart w:id="75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75"/>
    <w:bookmarkStart w:id="82" w:name="tables"/>
    <w:p>
      <w:pPr>
        <w:pStyle w:val="Heading2"/>
        <w:keepNext/>
      </w:pPr>
      <w:r>
        <w:t xml:space="preserve">Tables</w:t>
      </w:r>
    </w:p>
    <w:bookmarkStart w:id="76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76"/>
    <w:bookmarkStart w:id="77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15"/>
        <w:gridCol w:w="1653"/>
        <w:gridCol w:w="1772"/>
        <w:gridCol w:w="2182"/>
        <w:gridCol w:w="223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77"/>
    <w:bookmarkStart w:id="78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8"/>
        <w:gridCol w:w="1050"/>
        <w:gridCol w:w="1277"/>
        <w:gridCol w:w="928"/>
        <w:gridCol w:w="1050"/>
        <w:gridCol w:w="1132"/>
        <w:gridCol w:w="1157"/>
        <w:gridCol w:w="948"/>
        <w:gridCol w:w="89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78"/>
    <w:bookmarkStart w:id="79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52"/>
        <w:gridCol w:w="1012"/>
        <w:gridCol w:w="1065"/>
        <w:gridCol w:w="1128"/>
        <w:gridCol w:w="1142"/>
        <w:gridCol w:w="993"/>
        <w:gridCol w:w="1142"/>
        <w:gridCol w:w="929"/>
        <w:gridCol w:w="99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79"/>
    <w:bookmarkStart w:id="80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199"/>
        <w:gridCol w:w="1676"/>
        <w:gridCol w:w="1128"/>
        <w:gridCol w:w="1347"/>
        <w:gridCol w:w="1347"/>
        <w:gridCol w:w="149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</w:t>
            </w:r>
          </w:p>
        </w:tc>
      </w:tr>
    </w:tbl>
    <w:bookmarkEnd w:id="80"/>
    <w:bookmarkStart w:id="81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1"/>
    <w:bookmarkEnd w:id="82"/>
    <w:bookmarkStart w:id="83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Raw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sensitivity condition exposes only a derived authorization</w:t>
      </w:r>
      <w:r>
        <w:t xml:space="preserve"> </w:t>
      </w:r>
      <w:r>
        <w:t xml:space="preserve">object to the policy projection. Only isolated simulated effects are scored;</w:t>
      </w:r>
      <w:r>
        <w:t xml:space="preserve"> </w:t>
      </w:r>
      <w:r>
        <w:t xml:space="preserve">provider-managed tools and real 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3"/>
    <w:bookmarkStart w:id="90" w:name="submission-statements"/>
    <w:p>
      <w:pPr>
        <w:pStyle w:val="Heading2"/>
        <w:keepNext/>
      </w:pPr>
      <w:r>
        <w:t xml:space="preserve">Submission statements</w:t>
      </w:r>
    </w:p>
    <w:bookmarkStart w:id="84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84"/>
    <w:bookmarkStart w:id="85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85"/>
    <w:bookmarkStart w:id="86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86"/>
    <w:bookmarkStart w:id="87" w:name="X1f74eb43af444059c7518034463b6c89b1cacf4"/>
    <w:p>
      <w:pPr>
        <w:pStyle w:val="Heading3"/>
        <w:keepNext/>
      </w:pPr>
      <w:r>
        <w:t xml:space="preserve">Declaration of generative AI and AI-assisted technologies in the manuscript preparation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An earlier DeepSeek-generated project-planning note supplied by the</w:t>
      </w:r>
      <w:r>
        <w:t xml:space="preserve"> </w:t>
      </w:r>
      <w:r>
        <w:t xml:space="preserve">project owner was consulted during study scoping. The authors reviewed and</w:t>
      </w:r>
      <w:r>
        <w:t xml:space="preserve"> </w:t>
      </w:r>
      <w:r>
        <w:t xml:space="preserve">revised the resulting material and take full responsibility for the analysis,</w:t>
      </w:r>
      <w:r>
        <w:t xml:space="preserve"> </w:t>
      </w:r>
      <w:r>
        <w:t xml:space="preserve">interpretation, citations, and manuscript content. DeepSeek and Gemini API</w:t>
      </w:r>
      <w:r>
        <w:t xml:space="preserve"> </w:t>
      </w:r>
      <w:r>
        <w:t xml:space="preserve">outputs reported in the experiments are evaluated research data; they were not</w:t>
      </w:r>
      <w:r>
        <w:t xml:space="preserve"> </w:t>
      </w:r>
      <w:r>
        <w:t xml:space="preserve">used to generate outcome labels or statistical conclusions.</w:t>
      </w:r>
    </w:p>
    <w:bookmarkEnd w:id="87"/>
    <w:bookmarkStart w:id="88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88"/>
    <w:bookmarkStart w:id="89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89"/>
    <w:bookmarkEnd w:id="90"/>
    <w:bookmarkStart w:id="134" w:name="references"/>
    <w:p>
      <w:pPr>
        <w:pStyle w:val="Heading2"/>
        <w:keepNext/>
      </w:pPr>
      <w:r>
        <w:t xml:space="preserve">References</w:t>
      </w:r>
    </w:p>
    <w:bookmarkStart w:id="133" w:name="refs"/>
    <w:bookmarkStart w:id="92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1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2"/>
    <w:bookmarkStart w:id="94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3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94"/>
    <w:bookmarkStart w:id="96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95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96"/>
    <w:bookmarkStart w:id="98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97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98"/>
    <w:bookmarkStart w:id="100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99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0"/>
    <w:bookmarkStart w:id="102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1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2"/>
    <w:bookmarkStart w:id="104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3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04"/>
    <w:bookmarkStart w:id="106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05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06"/>
    <w:bookmarkStart w:id="108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07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08"/>
    <w:bookmarkStart w:id="110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09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0"/>
    <w:bookmarkStart w:id="112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2"/>
    <w:bookmarkStart w:id="114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3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14"/>
    <w:bookmarkStart w:id="116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15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16"/>
    <w:bookmarkStart w:id="118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17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18"/>
    <w:bookmarkStart w:id="120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0"/>
    <w:bookmarkStart w:id="122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2"/>
    <w:bookmarkStart w:id="124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3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24"/>
    <w:bookmarkStart w:id="126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25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26"/>
    <w:bookmarkStart w:id="128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27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28"/>
    <w:bookmarkStart w:id="130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29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0"/>
    <w:bookmarkStart w:id="132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1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2"/>
    <w:bookmarkEnd w:id="133"/>
    <w:bookmarkEnd w:id="134"/>
    <w:bookmarkEnd w:id="135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0" Type="http://schemas.openxmlformats.org/officeDocument/2006/relationships/image" Target="media/rId70.png"/><Relationship Id="rId71" Type="http://schemas.openxmlformats.org/officeDocument/2006/relationships/image" Target="media/rId71.png"/><Relationship Id="rId72" Type="http://schemas.openxmlformats.org/officeDocument/2006/relationships/image" Target="media/rId72.png"/><Relationship Id="rId73" Type="http://schemas.openxmlformats.org/officeDocument/2006/relationships/image" Target="media/rId73.png"/><Relationship Id="rId74" Type="http://schemas.openxmlformats.org/officeDocument/2006/relationships/image" Target="media/rId74.png"/><Relationship Id="rId103" Type="http://schemas.openxmlformats.org/officeDocument/2006/relationships/hyperlink" Target="https://arxiv.org/abs/2403.14720" TargetMode="External"/><Relationship Id="rId119" Type="http://schemas.openxmlformats.org/officeDocument/2006/relationships/hyperlink" Target="https://arxiv.org/abs/2404.13208" TargetMode="External"/><Relationship Id="rId97" Type="http://schemas.openxmlformats.org/officeDocument/2006/relationships/hyperlink" Target="https://arxiv.org/abs/2503.18813" TargetMode="External"/><Relationship Id="rId115" Type="http://schemas.openxmlformats.org/officeDocument/2006/relationships/hyperlink" Target="https://arxiv.org/abs/2504.11703" TargetMode="External"/><Relationship Id="rId113" Type="http://schemas.openxmlformats.org/officeDocument/2006/relationships/hyperlink" Target="https://arxiv.org/abs/2510.09023" TargetMode="External"/><Relationship Id="rId101" Type="http://schemas.openxmlformats.org/officeDocument/2006/relationships/hyperlink" Target="https://arxiv.org/abs/2604.10134" TargetMode="External"/><Relationship Id="rId125" Type="http://schemas.openxmlformats.org/officeDocument/2006/relationships/hyperlink" Target="https://arxiv.org/abs/2605.03378" TargetMode="External"/><Relationship Id="rId123" Type="http://schemas.openxmlformats.org/officeDocument/2006/relationships/hyperlink" Target="https://arxiv.org/abs/2605.26497" TargetMode="External"/><Relationship Id="rId109" Type="http://schemas.openxmlformats.org/officeDocument/2006/relationships/hyperlink" Target="https://arxiv.org/abs/2607.20827" TargetMode="External"/><Relationship Id="rId131" Type="http://schemas.openxmlformats.org/officeDocument/2006/relationships/hyperlink" Target="https://arxiv.org/abs/2607.27267" TargetMode="External"/><Relationship Id="rId121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7" Type="http://schemas.openxmlformats.org/officeDocument/2006/relationships/hyperlink" Target="https://doi.org/10.1145/3713082.3730378" TargetMode="External"/><Relationship Id="rId127" Type="http://schemas.openxmlformats.org/officeDocument/2006/relationships/hyperlink" Target="https://doi.org/10.18653/v1/2024.findings-acl.624" TargetMode="External"/><Relationship Id="rId105" Type="http://schemas.openxmlformats.org/officeDocument/2006/relationships/hyperlink" Target="https://doi.org/10.18653/v1/2025.acl-long.1435" TargetMode="External"/><Relationship Id="rId95" Type="http://schemas.openxmlformats.org/officeDocument/2006/relationships/hyperlink" Target="https://doi.org/10.18653/v1/2025.acl-long.890" TargetMode="External"/><Relationship Id="rId91" Type="http://schemas.openxmlformats.org/officeDocument/2006/relationships/hyperlink" Target="https://doi.org/10.18653/v1/2025.emnlp-main.53" TargetMode="External"/><Relationship Id="rId111" Type="http://schemas.openxmlformats.org/officeDocument/2006/relationships/hyperlink" Target="https://doi.org/10.18653/v1/2026.acl-long.443" TargetMode="External"/><Relationship Id="rId99" Type="http://schemas.openxmlformats.org/officeDocument/2006/relationships/hyperlink" Target="https://doi.org/10.52202/079017-2636" TargetMode="External"/><Relationship Id="rId107" Type="http://schemas.openxmlformats.org/officeDocument/2006/relationships/hyperlink" Target="https://doi.org/10.52202/085713-2791" TargetMode="External"/><Relationship Id="rId129" Type="http://schemas.openxmlformats.org/officeDocument/2006/relationships/hyperlink" Target="https://proceedings.iclr.cc/paper_files/paper/2025/hash/5750f91d8fb9d5c02bd8ad2c3b44456b-Abstract-Conference.html" TargetMode="External"/><Relationship Id="rId93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https://arxiv.org/abs/2403.14720" TargetMode="External"/><Relationship Id="rId119" Type="http://schemas.openxmlformats.org/officeDocument/2006/relationships/hyperlink" Target="https://arxiv.org/abs/2404.13208" TargetMode="External"/><Relationship Id="rId97" Type="http://schemas.openxmlformats.org/officeDocument/2006/relationships/hyperlink" Target="https://arxiv.org/abs/2503.18813" TargetMode="External"/><Relationship Id="rId115" Type="http://schemas.openxmlformats.org/officeDocument/2006/relationships/hyperlink" Target="https://arxiv.org/abs/2504.11703" TargetMode="External"/><Relationship Id="rId113" Type="http://schemas.openxmlformats.org/officeDocument/2006/relationships/hyperlink" Target="https://arxiv.org/abs/2510.09023" TargetMode="External"/><Relationship Id="rId101" Type="http://schemas.openxmlformats.org/officeDocument/2006/relationships/hyperlink" Target="https://arxiv.org/abs/2604.10134" TargetMode="External"/><Relationship Id="rId125" Type="http://schemas.openxmlformats.org/officeDocument/2006/relationships/hyperlink" Target="https://arxiv.org/abs/2605.03378" TargetMode="External"/><Relationship Id="rId123" Type="http://schemas.openxmlformats.org/officeDocument/2006/relationships/hyperlink" Target="https://arxiv.org/abs/2605.26497" TargetMode="External"/><Relationship Id="rId109" Type="http://schemas.openxmlformats.org/officeDocument/2006/relationships/hyperlink" Target="https://arxiv.org/abs/2607.20827" TargetMode="External"/><Relationship Id="rId131" Type="http://schemas.openxmlformats.org/officeDocument/2006/relationships/hyperlink" Target="https://arxiv.org/abs/2607.27267" TargetMode="External"/><Relationship Id="rId121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7" Type="http://schemas.openxmlformats.org/officeDocument/2006/relationships/hyperlink" Target="https://doi.org/10.1145/3713082.3730378" TargetMode="External"/><Relationship Id="rId127" Type="http://schemas.openxmlformats.org/officeDocument/2006/relationships/hyperlink" Target="https://doi.org/10.18653/v1/2024.findings-acl.624" TargetMode="External"/><Relationship Id="rId105" Type="http://schemas.openxmlformats.org/officeDocument/2006/relationships/hyperlink" Target="https://doi.org/10.18653/v1/2025.acl-long.1435" TargetMode="External"/><Relationship Id="rId95" Type="http://schemas.openxmlformats.org/officeDocument/2006/relationships/hyperlink" Target="https://doi.org/10.18653/v1/2025.acl-long.890" TargetMode="External"/><Relationship Id="rId91" Type="http://schemas.openxmlformats.org/officeDocument/2006/relationships/hyperlink" Target="https://doi.org/10.18653/v1/2025.emnlp-main.53" TargetMode="External"/><Relationship Id="rId111" Type="http://schemas.openxmlformats.org/officeDocument/2006/relationships/hyperlink" Target="https://doi.org/10.18653/v1/2026.acl-long.443" TargetMode="External"/><Relationship Id="rId99" Type="http://schemas.openxmlformats.org/officeDocument/2006/relationships/hyperlink" Target="https://doi.org/10.52202/079017-2636" TargetMode="External"/><Relationship Id="rId107" Type="http://schemas.openxmlformats.org/officeDocument/2006/relationships/hyperlink" Target="https://doi.org/10.52202/085713-2791" TargetMode="External"/><Relationship Id="rId129" Type="http://schemas.openxmlformats.org/officeDocument/2006/relationships/hyperlink" Target="https://proceedings.iclr.cc/paper_files/paper/2025/hash/5750f91d8fb9d5c02bd8ad2c3b44456b-Abstract-Conference.html" TargetMode="External"/><Relationship Id="rId93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2026-08-20T04:48:20Z</dcterms:created>
  <dcterms:modified xsi:type="dcterms:W3CDTF">2026-08-20T04:48:20Z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