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摘要</w:t>
      </w:r>
    </w:p>
    <w:p>
      <w:pPr>
        <w:spacing w:line="360" w:lineRule="auto"/>
      </w:pPr>
      <w:r>
        <w:rPr>
          <w:rFonts w:ascii="宋体" w:hAnsi="宋体" w:eastAsia="宋体"/>
          <w:b/>
          <w:sz w:val="24"/>
        </w:rPr>
        <w:t>【背景】</w:t>
      </w:r>
    </w:p>
    <w:p>
      <w:pPr>
        <w:spacing w:line="360" w:lineRule="auto"/>
        <w:ind w:firstLine="420"/>
      </w:pPr>
      <w:r>
        <w:rPr>
          <w:rFonts w:ascii="宋体" w:hAnsi="宋体" w:eastAsia="宋体"/>
          <w:sz w:val="24"/>
        </w:rPr>
        <w:t>蛋白质亚细胞定位是决定其功能和互作网络的关键因素，异常定位与多种疾病密切相关。随着蛋白质序列数据的指数增长，计算预测方法成为实验方法的必要补充。然而，当前研究缺乏在统一数据集上对多种编码方案和机器学习模型的系统性比较，且深度学习的"黑箱"特性严重限制了预测结果的生物学可解释性。</w:t>
      </w:r>
    </w:p>
    <w:p>
      <w:pPr>
        <w:spacing w:line="360" w:lineRule="auto"/>
      </w:pPr>
      <w:r>
        <w:rPr>
          <w:rFonts w:ascii="宋体" w:hAnsi="宋体" w:eastAsia="宋体"/>
          <w:b/>
          <w:sz w:val="24"/>
        </w:rPr>
        <w:t>【方法】</w:t>
      </w:r>
    </w:p>
    <w:p>
      <w:pPr>
        <w:spacing w:line="360" w:lineRule="auto"/>
        <w:ind w:firstLine="420"/>
      </w:pPr>
      <w:r>
        <w:rPr>
          <w:rFonts w:ascii="宋体" w:hAnsi="宋体" w:eastAsia="宋体"/>
          <w:sz w:val="24"/>
        </w:rPr>
        <w:t>本研究以酿酒酵母（Saccharomyces cerevisiae）为模式系统，从UniProt和SGD数据库获取4,863条非冗余蛋白质序列及亚细胞定位注释（五分类：细胞质、膜/分泌途径、线粒体、细胞核、其他），构建了7种编码方案（k=1 AAC、k=2 DPC、k=3 TPC、融合k1+k2、Binary、Integer、One-hot展平）×3种机器学习模型（逻辑回归、随机森林、XGBoost）的完整实验矩阵（3次重复）。在最优模型-编码组合上，采用SHAP进行全局和类别特异性的可解释性分析，并通过SGD/UniProt注释和文献对照进行独立外部生物学佐证，辅以窗口消融实验揭示定位信号的空间分布。</w:t>
      </w:r>
    </w:p>
    <w:p>
      <w:pPr>
        <w:spacing w:line="360" w:lineRule="auto"/>
      </w:pPr>
      <w:r>
        <w:rPr>
          <w:rFonts w:ascii="宋体" w:hAnsi="宋体" w:eastAsia="宋体"/>
          <w:b/>
          <w:sz w:val="24"/>
        </w:rPr>
        <w:t>【结果】</w:t>
      </w:r>
    </w:p>
    <w:p>
      <w:pPr>
        <w:spacing w:line="360" w:lineRule="auto"/>
        <w:ind w:firstLine="420"/>
      </w:pPr>
      <w:r>
        <w:rPr>
          <w:rFonts w:ascii="宋体" w:hAnsi="宋体" w:eastAsia="宋体"/>
          <w:sz w:val="24"/>
        </w:rPr>
        <w:t>（1）XGBoost结合k=1+k=2融合编码（420维）取得最高准确率63.6%±0.3%，显著优于随机森林和逻辑回归；One-hot展平编码（20000维）因维度灾难准确率不足35%。（2）SHAP分析识别的关键二肽特征在独立生物学知识库中得到有力佐证：疏水二肽FF/LF在膜/分泌途径类中显著富集（富集比2.69/1.86，P&lt;0.001），与信号肽的疏水核心（h-region）一致；碱性二肽KR/RK在细胞核类中富集（富集比1.41/1.27，P&lt;0.001），对应经典核定位信号（NLS）的碱性氨基酸模式；酸性二肽DD/EE在线粒体类中显著缺失（富集比0.62/0.75，P&lt;0.001），与线粒体靶向肽（MTP）缺乏酸性残基的两亲性特征吻合。此外，识别了KG（线粒体）和HG（细胞质）等文献中尚未充分报道的新颖特征。（3）窗口消融实验表明完整序列预测性能（63.1%）显著优于N端窗口（57.3%）和中间区域窗口（57.1%），证实定位信号分散分布于整条多肽链中。</w:t>
      </w:r>
    </w:p>
    <w:p>
      <w:pPr>
        <w:spacing w:line="360" w:lineRule="auto"/>
      </w:pPr>
      <w:r>
        <w:rPr>
          <w:rFonts w:ascii="宋体" w:hAnsi="宋体" w:eastAsia="宋体"/>
          <w:b/>
          <w:sz w:val="24"/>
        </w:rPr>
        <w:t>【结论】</w:t>
      </w:r>
    </w:p>
    <w:p>
      <w:pPr>
        <w:spacing w:line="360" w:lineRule="auto"/>
        <w:ind w:firstLine="420"/>
      </w:pPr>
      <w:r>
        <w:rPr>
          <w:rFonts w:ascii="宋体" w:hAnsi="宋体" w:eastAsia="宋体"/>
          <w:sz w:val="24"/>
        </w:rPr>
        <w:t>本研究建立了一个"多模型对比→可解释性分析→外部佐证→消融验证"的完整计算框架，在经典机器学习范式下实现了预测准确性与生物学可解释性的有效平衡。模型自动捕获的二肽特征与信号肽、NLS和MTP等经典生物学规律的独立吻合——这种"跨越40年的知识共鸣"——表明精心设计的特征工程与可解释模型相结合，可以成为提取和验证生物学规律的有力工具。本框架不限于酵母体系，可为其他物种的蛋白质亚细胞定位预测研究提供通用范式。</w:t>
      </w:r>
    </w:p>
    <w:p>
      <w:pPr>
        <w:spacing w:line="360" w:lineRule="auto"/>
      </w:pPr>
      <w:r>
        <w:rPr>
          <w:rFonts w:ascii="宋体" w:hAnsi="宋体" w:eastAsia="宋体"/>
          <w:sz w:val="24"/>
        </w:rPr>
      </w:r>
    </w:p>
    <w:p>
      <w:pPr>
        <w:spacing w:line="360" w:lineRule="auto"/>
      </w:pPr>
      <w:r>
        <w:rPr>
          <w:rFonts w:ascii="宋体" w:hAnsi="宋体" w:eastAsia="宋体"/>
          <w:b/>
          <w:sz w:val="24"/>
        </w:rPr>
        <w:t>【关键词】</w:t>
      </w:r>
    </w:p>
    <w:p>
      <w:pPr>
        <w:spacing w:line="360" w:lineRule="auto"/>
      </w:pPr>
      <w:r>
        <w:rPr>
          <w:rFonts w:ascii="宋体" w:hAnsi="宋体" w:eastAsia="宋体"/>
          <w:sz w:val="24"/>
        </w:rPr>
        <w:t>蛋白质亚细胞定位；酿酒酵母；机器学习；XGBoost；SHAP可解释性；k-mer编码；二肽组成；信号肽；核定位信号；线粒体靶向肽；维度灾难</w:t>
      </w:r>
    </w:p>
    <w:p>
      <w:pPr>
        <w:pStyle w:val="Heading1"/>
      </w:pPr>
      <w:r>
        <w:rPr>
          <w:rFonts w:ascii="黑体" w:hAnsi="黑体" w:eastAsia="黑体"/>
          <w:color w:val="000000"/>
        </w:rPr>
        <w:t>Abstract</w:t>
      </w:r>
    </w:p>
    <w:p>
      <w:pPr>
        <w:spacing w:line="360" w:lineRule="auto"/>
      </w:pPr>
      <w:r>
        <w:rPr>
          <w:rFonts w:ascii="宋体" w:hAnsi="宋体" w:eastAsia="宋体"/>
          <w:b/>
          <w:sz w:val="24"/>
        </w:rPr>
        <w:t>[Background]</w:t>
      </w:r>
    </w:p>
    <w:p>
      <w:pPr>
        <w:spacing w:line="360" w:lineRule="auto"/>
        <w:ind w:firstLine="420"/>
      </w:pPr>
      <w:r>
        <w:rPr>
          <w:rFonts w:ascii="宋体" w:hAnsi="宋体" w:eastAsia="宋体"/>
          <w:sz w:val="24"/>
        </w:rPr>
        <w:t>Protein subcellular localization is a critical determinant of protein function and interaction networks, with aberrant localization linked to numerous diseases. Computational prediction methods have become essential complements to experimental approaches. However, systematic comparisons across encoding schemes and machine learning models on unified benchmarks remain limited, and the "black-box" nature of deep learning severely constrains biological interpretability.</w:t>
      </w:r>
    </w:p>
    <w:p>
      <w:pPr>
        <w:spacing w:line="360" w:lineRule="auto"/>
      </w:pPr>
      <w:r>
        <w:rPr>
          <w:rFonts w:ascii="宋体" w:hAnsi="宋体" w:eastAsia="宋体"/>
          <w:b/>
          <w:sz w:val="24"/>
        </w:rPr>
        <w:t>[Methods]</w:t>
      </w:r>
    </w:p>
    <w:p>
      <w:pPr>
        <w:spacing w:line="360" w:lineRule="auto"/>
        <w:ind w:firstLine="420"/>
      </w:pPr>
      <w:r>
        <w:rPr>
          <w:rFonts w:ascii="宋体" w:hAnsi="宋体" w:eastAsia="宋体"/>
          <w:sz w:val="24"/>
        </w:rPr>
        <w:t>Using Saccharomyces cerevisiae as a model system, we obtained 4,863 non-redundant protein sequences with subcellular localization annotations (five classes: Cytoplasm, Membrane/Secretory, Mitochondria, Nucleus, Other) from UniProt and SGD. A complete experimental matrix of 7 encoding schemes (k=1 AAC, k=2 DPC, k=3 TPC, Fusion k1+k2, Binary, Integer, One-hot flatten) × 3 models (Logistic Regression, Random Forest, XGBoost) was evaluated with 3 random seeds. SHAP (SHapley Additive exPlanations) analysis was performed on the optimal model-encoding combination, followed by independent external biological corroboration through SGD/UniProt annotations and literature cross-referencing. Window ablation experiments were conducted to characterize the spatial distribution of localization signals.</w:t>
      </w:r>
    </w:p>
    <w:p>
      <w:pPr>
        <w:spacing w:line="360" w:lineRule="auto"/>
      </w:pPr>
      <w:r>
        <w:rPr>
          <w:rFonts w:ascii="宋体" w:hAnsi="宋体" w:eastAsia="宋体"/>
          <w:b/>
          <w:sz w:val="24"/>
        </w:rPr>
        <w:t>[Results]</w:t>
      </w:r>
    </w:p>
    <w:p>
      <w:pPr>
        <w:spacing w:line="360" w:lineRule="auto"/>
        <w:ind w:firstLine="420"/>
      </w:pPr>
      <w:r>
        <w:rPr>
          <w:rFonts w:ascii="宋体" w:hAnsi="宋体" w:eastAsia="宋体"/>
          <w:sz w:val="24"/>
        </w:rPr>
        <w:t>(1) XGBoost with Fusion encoding (k1+k2, 420 dimensions) achieved the highest accuracy of 63.6%±0.3%, significantly outperforming Random Forest and Logistic Regression; One-hot flatten encoding (20,000 dimensions) performed below 35% due to the curse of dimensionality. (2) SHAP-identified key dipeptide features were independently corroborated by biological knowledge: hydrophobic dipeptides FF/LF were significantly enriched in Membrane/Secretory proteins (enrichment ratio 2.69/1.86, P&lt;0.001), consistent with the hydrophobic core (h-region) of signal peptides; basic dipeptides KR/RK were enriched in Nuclear proteins (enrichment ratio 1.41/1.27, P&lt;0.001), matching classical nuclear localization signal (NLS) patterns; acidic dipeptides DD/EE were significantly depleted in Mitochondrial proteins (enrichment ratio 0.62/0.75, P&lt;0.001), consistent with the amphiphilic nature of mitochondrial targeting peptides (MTP). Novel features such as KG (mitochondrial) and HG (cytoplasmic) were also identified. (3) Window ablation revealed that full-sequence prediction accuracy (63.1%) significantly exceeded N-terminal windows (57.3%) and mid-region windows (57.1%), demonstrating that localization signals are distributed throughout the polypeptide chain.</w:t>
      </w:r>
    </w:p>
    <w:p>
      <w:pPr>
        <w:spacing w:line="360" w:lineRule="auto"/>
      </w:pPr>
      <w:r>
        <w:rPr>
          <w:rFonts w:ascii="宋体" w:hAnsi="宋体" w:eastAsia="宋体"/>
          <w:b/>
          <w:sz w:val="24"/>
        </w:rPr>
        <w:t>[Conclusions]</w:t>
      </w:r>
    </w:p>
    <w:p>
      <w:pPr>
        <w:spacing w:line="360" w:lineRule="auto"/>
        <w:ind w:firstLine="420"/>
      </w:pPr>
      <w:r>
        <w:rPr>
          <w:rFonts w:ascii="宋体" w:hAnsi="宋体" w:eastAsia="宋体"/>
          <w:sz w:val="24"/>
        </w:rPr>
        <w:t>This study establishes a "multi-model comparison → interpretability analysis → external corroboration → ablation validation" computational framework that achieves an effective balance between prediction accuracy and biological interpretability under the classical machine learning paradigm. The independent alignment of model-captured dipeptide features with classical biological principles—signal peptides, NLS, and MTP—represents a compelling case of "knowledge resonance across four decades," demonstrating that well-designed feature engineering combined with interpretable models can serve as a powerful tool for extracting and validating biological principles. The framework is not limited to yeast and can provide a generalizable paradigm for protein subcellular localization prediction in other organisms.</w:t>
      </w:r>
    </w:p>
    <w:p>
      <w:pPr>
        <w:spacing w:line="360" w:lineRule="auto"/>
      </w:pPr>
      <w:r>
        <w:rPr>
          <w:rFonts w:ascii="宋体" w:hAnsi="宋体" w:eastAsia="宋体"/>
          <w:sz w:val="24"/>
        </w:rPr>
      </w:r>
    </w:p>
    <w:p>
      <w:pPr>
        <w:spacing w:line="360" w:lineRule="auto"/>
      </w:pPr>
      <w:r>
        <w:rPr>
          <w:rFonts w:ascii="宋体" w:hAnsi="宋体" w:eastAsia="宋体"/>
          <w:b/>
          <w:sz w:val="24"/>
        </w:rPr>
        <w:t>[Keywords]</w:t>
      </w:r>
    </w:p>
    <w:p>
      <w:pPr>
        <w:spacing w:line="360" w:lineRule="auto"/>
      </w:pPr>
      <w:r>
        <w:rPr>
          <w:rFonts w:ascii="宋体" w:hAnsi="宋体" w:eastAsia="宋体"/>
          <w:sz w:val="24"/>
        </w:rPr>
        <w:t>protein subcellular localization; Saccharomyces cerevisiae; machine learning; XGBoost; SHAP interpretability; k-mer encoding; dipeptide composition; signal peptide; nuclear localization signal; mitochondrial targeting peptide; curse of dimensionality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