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讨论</w:t>
      </w:r>
    </w:p>
    <w:p>
      <w:pPr>
        <w:pStyle w:val="Heading2"/>
      </w:pPr>
      <w:r>
        <w:rPr>
          <w:rFonts w:ascii="黑体" w:hAnsi="黑体" w:eastAsia="黑体"/>
          <w:color w:val="000000"/>
        </w:rPr>
        <w:t>4.1 模型与编码方案的选择策略</w:t>
      </w:r>
    </w:p>
    <w:p>
      <w:pPr>
        <w:spacing w:line="360" w:lineRule="auto"/>
        <w:ind w:firstLine="420"/>
      </w:pPr>
      <w:r>
        <w:rPr>
          <w:rFonts w:ascii="宋体" w:hAnsi="宋体" w:eastAsia="宋体"/>
          <w:sz w:val="24"/>
        </w:rPr>
        <w:t>本研究的系统性实验矩阵揭示了一个关键趋势：在蛋白质亚细胞定位预测任务中，并非模型复杂度越高越好，也非特征维度越大越好。XGBoost在融合编码（420维）上以63.6%的准确率领先随机森林（57.8%）和逻辑回归（53.0%），这一结果与Chen &amp; Guestrin（2016）[1]在多个基准数据集上的结论一致——梯度提升树模型在处理中等维度结构化特征时具有天然的归纳偏置（inductive bias）优势。梯度提升的加性模型结构使其能够以特征交互的方式逐步拟合复杂的分类决策面，同时通过正则化项控制过拟合风险，这在高维稀疏特征空间中尤为关键。</w:t>
      </w:r>
    </w:p>
    <w:p>
      <w:pPr>
        <w:spacing w:line="360" w:lineRule="auto"/>
        <w:ind w:firstLine="420"/>
      </w:pPr>
      <w:r>
        <w:rPr>
          <w:rFonts w:ascii="宋体" w:hAnsi="宋体" w:eastAsia="宋体"/>
          <w:sz w:val="24"/>
        </w:rPr>
        <w:t>值得关注的是，逻辑回归在低维编码下表现并不逊色：k=1 AAC（20维）下逻辑回归准确率达64.3%±1.2%，优于其在更高维编码下的表现。这印证了Bishop（2006）[2]关于维度灾难的经典论述——当特征维度与样本量之比超过一定阈值时，线性模型的参数估计方差急剧增加，导致泛化性能下降。这一发现对实际应用具有指导意义：当计算资源有限或需快速部署预测模型时，低维编码+线性模型即可提供有竞争力的基线性能。</w:t>
      </w:r>
    </w:p>
    <w:p>
      <w:pPr>
        <w:spacing w:line="360" w:lineRule="auto"/>
        <w:ind w:firstLine="420"/>
      </w:pPr>
      <w:r>
        <w:rPr>
          <w:rFonts w:ascii="宋体" w:hAnsi="宋体" w:eastAsia="宋体"/>
          <w:sz w:val="24"/>
        </w:rPr>
        <w:t>One-hot展平编码（98,200维）在所有模型上准确率均低于35%的结果有力地证明了维度灾难在蛋白质序列分类任务中的严重性。在训练样本仅约3,890条的情况下，20000维特征意味着每个维度的有效样本数不足0.2个——这不啻于在海量噪音中寻找稀疏的模式信号。有意思的是，同样是大规模特征空间，k=3 TPC（8000维）的准确率（XGBoost：63.7%±0.4%）并未显著优于k=2 DPC（400维，63.0%±0.5%），这提示三肽（k=3）级别的序列上下文可能对酵母亚细胞定位的区分贡献有限——二肽共现模式或已足以捕获大部分定位相关的序列特征。</w:t>
      </w:r>
    </w:p>
    <w:p>
      <w:pPr>
        <w:pStyle w:val="Heading2"/>
      </w:pPr>
      <w:r>
        <w:rPr>
          <w:rFonts w:ascii="黑体" w:hAnsi="黑体" w:eastAsia="黑体"/>
          <w:color w:val="000000"/>
        </w:rPr>
        <w:t>4.2 SHAP特征与已知生物学规律的对应关系</w:t>
      </w:r>
    </w:p>
    <w:p>
      <w:pPr>
        <w:spacing w:line="360" w:lineRule="auto"/>
        <w:ind w:firstLine="420"/>
      </w:pPr>
      <w:r>
        <w:rPr>
          <w:rFonts w:ascii="宋体" w:hAnsi="宋体" w:eastAsia="宋体"/>
          <w:sz w:val="24"/>
        </w:rPr>
        <w:t>本研究最具启示性的发现之一是：SHAP分析所识别的关键二肽特征在独立的外部生物学知识库中得到了令人信服的佐证。具体而言，膜/分泌途径类中FF（富集比2.69，P&lt;0.001）和LF（富集比1.86，P&lt;0.001）的显著富集与信号肽的疏水核心（h-region）理论高度一致。von Heijne（1985）[3]发现信号肽的h-region通常由7-15个连续的疏水氨基酸组成，其中亮氨酸（L）和苯丙氨酸（F）是最常见的组成残基。Nielsen等（1997）[4]的SignalP算法正是基于这些n-region/h-region/c-region的氨基酸偏好来判别信号肽。本研究模型自动将FF/LF二肽赋予膜/分泌途径类作为最重要的正向预测特征，在未接触任何信号肽先验知识的情况下，独立地"发现"了这一经典生物学规律。</w:t>
      </w:r>
    </w:p>
    <w:p>
      <w:pPr>
        <w:spacing w:line="360" w:lineRule="auto"/>
        <w:ind w:firstLine="420"/>
      </w:pPr>
      <w:r>
        <w:rPr>
          <w:rFonts w:ascii="宋体" w:hAnsi="宋体" w:eastAsia="宋体"/>
          <w:sz w:val="24"/>
        </w:rPr>
        <w:t>细胞核类中KR（富集比1.41，P&lt;0.001）和RK（富集比1.27，P=0.002）的富集对应经典核定位信号（NLS）的碱性氨基酸模式。Kosugi等（2009）[5]在酵母中系统鉴定了核质穿梭蛋白的复合基序，发现经典单分型NLS（monopartite NLS）通常包含K(K/R)X(K/R)模式——即连续的赖氨酸（K）和精氨酸（R）组合。本研究模型将KR和RK二肽识别为细胞核类最重要的预测特征，在二肽粒度上精确捕获了NLS的序列特征——尽管NLS的工作单元（~7个残基）远超单个二肽的粒度，但二肽频率分布的统计模式已经足以区分核蛋白与非核蛋白。</w:t>
      </w:r>
    </w:p>
    <w:p>
      <w:pPr>
        <w:spacing w:line="360" w:lineRule="auto"/>
        <w:ind w:firstLine="420"/>
      </w:pPr>
      <w:r>
        <w:rPr>
          <w:rFonts w:ascii="宋体" w:hAnsi="宋体" w:eastAsia="宋体"/>
          <w:sz w:val="24"/>
        </w:rPr>
        <w:t>线粒体类中DD（富集比0.62，P&lt;0.001）和EE（富集比0.75，P&lt;0.001）的显著缺失与线粒体靶向肽（MTP）的两亲性特征完全吻合。von Heijne（1986）[6]和Roise等（1986）[7]开创性地提出MTP可形成两亲性α-螺旋，一侧富集碱性和疏水性残基，另一侧极性的、缺乏酸性残基。天冬氨酸（D）和谷氨酸（E）的缺失是MTP区别于其他信号序列的关键特征之一。模型将酸性二肽DD/EE的"缺失"作为线粒体预测的负向信号，正是对"缺乏酸性残基的序列区域更可能是线粒体靶向肽"这一生物学规律的统计学习。</w:t>
      </w:r>
    </w:p>
    <w:p>
      <w:pPr>
        <w:spacing w:line="360" w:lineRule="auto"/>
        <w:ind w:firstLine="420"/>
      </w:pPr>
      <w:r>
        <w:rPr>
          <w:rFonts w:ascii="宋体" w:hAnsi="宋体" w:eastAsia="宋体"/>
          <w:sz w:val="24"/>
        </w:rPr>
        <w:t>这些发现共同说明了一个重要的方法论观点：当SHAP识别的特征能够在独立的生物学知识体系中找到对应的机理解释时，这不仅是模型可靠性的证据，也是模型真正"学到了"领域知识的证据——而非仅仅是拟合训练数据中的统计噪声（Rudin, 2019）[8]。在深度学习模型日益复杂的当下，这种"可解释性+外部验证"的双重保障对于在生物医学领域建立对AI预测的信任至关重要（Tonekaboni et al., 2019）[9]。</w:t>
      </w:r>
    </w:p>
    <w:p>
      <w:pPr>
        <w:pStyle w:val="Heading2"/>
      </w:pPr>
      <w:r>
        <w:rPr>
          <w:rFonts w:ascii="黑体" w:hAnsi="黑体" w:eastAsia="黑体"/>
          <w:color w:val="000000"/>
        </w:rPr>
        <w:t>4.3 新颖发现的生物学意义与验证展望</w:t>
      </w:r>
    </w:p>
    <w:p>
      <w:pPr>
        <w:spacing w:line="360" w:lineRule="auto"/>
        <w:ind w:firstLine="420"/>
      </w:pPr>
      <w:r>
        <w:rPr>
          <w:rFonts w:ascii="宋体" w:hAnsi="宋体" w:eastAsia="宋体"/>
          <w:sz w:val="24"/>
        </w:rPr>
        <w:t>除了与已知规律吻合的特征外，本研究还识别了若干文献中尚未充分报道的候选特征。线粒体类中KG二肽的富集（富集比1.45，P&lt;0.001）尤为引人关注。赖氨酸（K）-甘氨酸（G）组合在线粒体蛋白中的高频率出现提示一个假说：KG可能在线粒体靶向肽的n-region（含碱性残基的N端部分）或基质加工肽酶（MPP）切割位点附近发挥作用。查阅SGD数据库，若干线粒体核糖体蛋白（如MrpL35、MrpL49）和线粒体内膜转运蛋白的序列中KG二肽显著富集。未来可通过定点突变（site-directed mutagenesis）实验——将特定位置的KG替换为AA（丙氨酸二肽）——并检测线粒体导入效率的变化，以验证KG二肽在线粒体蛋白定位中的功能角色。</w:t>
      </w:r>
    </w:p>
    <w:p>
      <w:pPr>
        <w:spacing w:line="360" w:lineRule="auto"/>
        <w:ind w:firstLine="420"/>
      </w:pPr>
      <w:r>
        <w:rPr>
          <w:rFonts w:ascii="宋体" w:hAnsi="宋体" w:eastAsia="宋体"/>
          <w:sz w:val="24"/>
        </w:rPr>
        <w:t>细胞质类中HG二肽的轻微富集（富集比1.12，P=0.04）虽然统计显著性较低，但其可能与某些细胞质蛋白的金属离子结合功能相关。组氨酸（H）因其咪唑侧链的pKa值（~6.0）接近生理pH，是蛋白质中最重要的pH感应器和金属配位残基（Liao et al., 2013）[10]。甘氨酸（G）则赋予肽链最大的构象柔性。HG二肽的富集可能反映了细胞质蛋白对金属离子结合和构象变化的双重功能需求，但这需要进一步的生化和结构生物学实验验证。</w:t>
      </w:r>
    </w:p>
    <w:p>
      <w:pPr>
        <w:pStyle w:val="Heading2"/>
      </w:pPr>
      <w:r>
        <w:rPr>
          <w:rFonts w:ascii="黑体" w:hAnsi="黑体" w:eastAsia="黑体"/>
          <w:color w:val="000000"/>
        </w:rPr>
        <w:t>4.4 定位信号空间分布的方法学启示</w:t>
      </w:r>
    </w:p>
    <w:p>
      <w:pPr>
        <w:spacing w:line="360" w:lineRule="auto"/>
        <w:ind w:firstLine="420"/>
      </w:pPr>
      <w:r>
        <w:rPr>
          <w:rFonts w:ascii="宋体" w:hAnsi="宋体" w:eastAsia="宋体"/>
          <w:sz w:val="24"/>
        </w:rPr>
        <w:t>窗口消融实验的结果——完整序列优于任意局部窗口——对传统的以N端信号序列为核心的预测策略提出了重要的补充视角。经典的方法如SignalP（Nielsen et al., 1997）[4]和TargetP（Emanuelsson et al., 2000）[11]仅分析N端前70-100个残基来确定信号肽或靶向肽的存在。然而，本研究结果表明，去除N端200个残基后的中间区域序列仍能维持57.1%的预测准确率——这意味着近90%的预测信息并非N端独占。</w:t>
      </w:r>
    </w:p>
    <w:p>
      <w:pPr>
        <w:spacing w:line="360" w:lineRule="auto"/>
        <w:ind w:firstLine="420"/>
      </w:pPr>
      <w:r>
        <w:rPr>
          <w:rFonts w:ascii="宋体" w:hAnsi="宋体" w:eastAsia="宋体"/>
          <w:sz w:val="24"/>
        </w:rPr>
        <w:t>从生物学角度解释这一现象：酵母蛋白质的亚细胞定位受到多种信号系统的共同调控，包括N端信号肽（内质网靶向）、内部核定位信号（NLS）、C端过氧化物酶体靶向信号（PTS1）、线粒体靶向肽（MTP）、跨膜结构域（TM domains）以及蛋白质-蛋白质互作介导的共定位——这些信号在序列中的空间分布是高度异质的（Dalbey et al., 2012）[12]。N+C端组合窗口（59.2%）优于单独的N端窗口（57.3%）这一结果——尽管差异幅度不大——印证了两端信号均有贡献的观点。最近，Teufel等（2022）[13]的SignalP 6.0通过蛋白质语言模型（protein language model）捕获全局序列上下文，大幅提升了信号肽识别精度，与本研究的窗口消融结论在方法论层面形成了有趣的呼应：有效利用全局序列信息对于定位预测至关重要。</w:t>
      </w:r>
    </w:p>
    <w:p>
      <w:pPr>
        <w:pStyle w:val="Heading2"/>
      </w:pPr>
      <w:r>
        <w:rPr>
          <w:rFonts w:ascii="黑体" w:hAnsi="黑体" w:eastAsia="黑体"/>
          <w:color w:val="000000"/>
        </w:rPr>
        <w:t>4.5 与现有方法的对比</w:t>
      </w:r>
    </w:p>
    <w:p>
      <w:pPr>
        <w:spacing w:line="360" w:lineRule="auto"/>
        <w:ind w:firstLine="420"/>
      </w:pPr>
      <w:r>
        <w:rPr>
          <w:rFonts w:ascii="宋体" w:hAnsi="宋体" w:eastAsia="宋体"/>
          <w:sz w:val="24"/>
        </w:rPr>
        <w:t>本研究的XGBoost+融合编码方案（63.6%）在酵母亚细胞定位五分类任务上的表现处于经典的机器学习预测方法中的中等偏上水平。作为参考，DeepLoc（Almagro Armenteros et al., 2017）[14]在真核生物十分类任务中报告了约67-70%的准确率，但其使用了注意力机制和循环神经网络等深度学习架构，模型复杂度远高于本研究。Horton等（2007）[15]的WoLF PSORT在类似任务上准确率约为55-60%，其主要基于N端信号分析和氨基酸组成，对全序列信息的利用不及本研究。</w:t>
      </w:r>
    </w:p>
    <w:p>
      <w:pPr>
        <w:spacing w:line="360" w:lineRule="auto"/>
        <w:ind w:firstLine="420"/>
      </w:pPr>
      <w:r>
        <w:rPr>
          <w:rFonts w:ascii="宋体" w:hAnsi="宋体" w:eastAsia="宋体"/>
          <w:sz w:val="24"/>
        </w:rPr>
        <w:t>需要强调的是，本研究的首要目标并非追求纯粹的预测性能最大化，而是在"准确性-可解释性"的权衡曲线上寻找一个信息量丰富的工作点。63.6%的准确率虽然绝对值不高，但考虑到五分类问题的随机猜测基线仅为20%，该性能反映了模型确实从序列中提取到了与亚细胞定位相关的信号。更重要的是，XGBoost的树结构天然适合SHAP分析——我们能精确量化每个二肽对每个预测结果的贡献大小和方向，这是深度学习方法目前难以实现的。在生物医学研究中，"知道为什么"往往比"知道是什么"更有价值（Lipton, 2018; Holzinger et al., 2019）[16,17]。</w:t>
      </w:r>
    </w:p>
    <w:p>
      <w:pPr>
        <w:pStyle w:val="Heading2"/>
      </w:pPr>
      <w:r>
        <w:rPr>
          <w:rFonts w:ascii="黑体" w:hAnsi="黑体" w:eastAsia="黑体"/>
          <w:color w:val="000000"/>
        </w:rPr>
        <w:t>4.6 研究局限与未来方向</w:t>
      </w:r>
    </w:p>
    <w:p>
      <w:pPr>
        <w:spacing w:line="360" w:lineRule="auto"/>
        <w:ind w:firstLine="420"/>
      </w:pPr>
      <w:r>
        <w:rPr>
          <w:rFonts w:ascii="宋体" w:hAnsi="宋体" w:eastAsia="宋体"/>
          <w:sz w:val="24"/>
        </w:rPr>
        <w:t>本研究存在以下局限性。第一，五分类任务的总体准确率（63.6%）距离实用水平仍有一定差距。未来的改进方向包括：引入预训练蛋白质语言模型的嵌入表示（如ESM-2: Lin et al., 2023）[18]或ProtBERT（Elnaggar et al., 2022）[19]作为补充特征，利用其从数十亿蛋白序列中学习到的丰富进化信息；探索XGBoost与轻量级神经网络的混合架构，在保持一定可解释性的同时提升预测精度。</w:t>
      </w:r>
    </w:p>
    <w:p>
      <w:pPr>
        <w:spacing w:line="360" w:lineRule="auto"/>
        <w:ind w:firstLine="420"/>
      </w:pPr>
      <w:r>
        <w:rPr>
          <w:rFonts w:ascii="宋体" w:hAnsi="宋体" w:eastAsia="宋体"/>
          <w:sz w:val="24"/>
        </w:rPr>
        <w:t>第二，"Other"类（n=156）的样本量远小于其他四类，9.2%的准确率（Chance level=20%）提示模型几乎无法有效区分该类。这一困难可能源于"Other"类的内在异质性——它实际上包含了定位到液泡（vacuole）、内体（endosome）、过氧化物酶体（peroxisome）、脂滴（lipid droplet）等多种细胞器的蛋白质的"杂合"集合。解决策略包括：扩充各类别的样本量、采用层次分类策略（hierarchical classification）、或使用代价敏感学习（cost-sensitive learning）以提升小类别的召回率。</w:t>
      </w:r>
    </w:p>
    <w:p>
      <w:pPr>
        <w:spacing w:line="360" w:lineRule="auto"/>
        <w:ind w:firstLine="420"/>
      </w:pPr>
      <w:r>
        <w:rPr>
          <w:rFonts w:ascii="宋体" w:hAnsi="宋体" w:eastAsia="宋体"/>
          <w:sz w:val="24"/>
        </w:rPr>
        <w:t>第三，SHAP可解释性分析仅基于一个模型-编码组合（XGBoost+DPC）展开。虽然这一组合在实验中表现优异，但不同模型-编码组合可能从不同角度"看待"同一序列特征。多模型集成解释（multi-model explanation）框架——即同时解释多个模型的预测并进行一致性分析——可提供更稳健的特征重要度评估，减少单模型偏差的风险。</w:t>
      </w:r>
    </w:p>
    <w:p>
      <w:pPr>
        <w:spacing w:line="360" w:lineRule="auto"/>
        <w:ind w:firstLine="420"/>
      </w:pPr>
      <w:r>
        <w:rPr>
          <w:rFonts w:ascii="宋体" w:hAnsi="宋体" w:eastAsia="宋体"/>
          <w:sz w:val="24"/>
        </w:rPr>
        <w:t>第四，本研究的窗口消融实验仅使用了固定长度的截断策略，未考虑基于序列保守性、预测结构域或已知功能域的智能窗口划分。结合序列保守性评分（如ConSurf; Ashkenazy et al., 2016）[20]或预测的球状结构域边界进行窗口设计，可能进一步揭示定位信号的功能性组织结构。</w:t>
      </w:r>
    </w:p>
    <w:p>
      <w:pPr>
        <w:spacing w:line="360" w:lineRule="auto"/>
        <w:ind w:firstLine="420"/>
      </w:pPr>
      <w:r>
        <w:rPr>
          <w:rFonts w:ascii="宋体" w:hAnsi="宋体" w:eastAsia="宋体"/>
          <w:sz w:val="24"/>
        </w:rPr>
        <w:t>最后，本研究的生物学佐证主要基于数据库注释和文献对照，属于计算层面的交叉验证。研究所识别的候选新颖特征（如KG、HG二肽）仍需后续的分子生物学实验——如荧光融合蛋白的亚细胞定位成像——进行直接的实验验证。计算预测与实验验证的协同推进是推动蛋白质亚细胞定位研究向前发展的最有效路径。</w:t>
        <w:br/>
        <w:br/>
        <w:t>在实验验证方面，本研究为后续工作提供了若干可直接操作的候选方向。首先，线粒体类中KG二肽的显著富集可作为优先验证靶点：选取3~5个含KG二肽的线粒体蛋白，通过定点突变将KG替换为AA（丙氨酸二肽），构建GFP融合蛋白并观察亚细胞定位变化，以验证KG在线粒体靶向中的功能角色。反向实验——在细胞质蛋白中插入KG二肽序列——可进一步确认其作为线粒体定位信号的充分性。其次，模型预测与SGD注释不一致的约360个蛋白（测试集中~37%被模型"误分类"）可能包含SGD高通量筛选的假阳性或模型发现的双重定位蛋白，值得通过荧光显微镜进行独立验证。最后，SHAP识别的最重要二肽特征可用于合成信号肽工程实验：构建含FF/LF富集区域的人工信号肽并逐步删减疏水核心，以定量评估二肽组成对分泌效率的贡献。上述实验方案工作量适中，且与计算预测形成闭环验证，有望进一步巩固本研究的生物学发现。</w:t>
      </w:r>
    </w:p>
    <w:p>
      <w:pPr>
        <w:pStyle w:val="Heading2"/>
      </w:pPr>
      <w:r>
        <w:rPr>
          <w:rFonts w:ascii="黑体" w:hAnsi="黑体" w:eastAsia="黑体"/>
          <w:color w:val="000000"/>
        </w:rPr>
        <w:t>4.7 方法学的普适性意义</w:t>
      </w:r>
    </w:p>
    <w:p>
      <w:pPr>
        <w:spacing w:line="360" w:lineRule="auto"/>
        <w:ind w:firstLine="420"/>
      </w:pPr>
      <w:r>
        <w:rPr>
          <w:rFonts w:ascii="宋体" w:hAnsi="宋体" w:eastAsia="宋体"/>
          <w:sz w:val="24"/>
        </w:rPr>
        <w:t>本研究提出的"多模型对比→可解释性分析→外部佐证→消融验证"四步框架具有超越酵母亚细胞定位预测的普适性价值。在蛋白质功能预测领域，机器学习方法日益增多，但大多数研究仍停留在"跑一个模型、报一个数字"的层面。本研究展示了如何以较低的计算成本（使用经典ML而非GPU密集型DL）获得具有生物学深度洞察力的可解释结果。</w:t>
      </w:r>
    </w:p>
    <w:p>
      <w:pPr>
        <w:spacing w:line="360" w:lineRule="auto"/>
        <w:ind w:firstLine="420"/>
      </w:pPr>
      <w:r>
        <w:rPr>
          <w:rFonts w:ascii="宋体" w:hAnsi="宋体" w:eastAsia="宋体"/>
          <w:sz w:val="24"/>
        </w:rPr>
        <w:t>在更广泛的视角下，本研究呼应了可解释人工智能在生物医学领域的一个核心诉求：模型预测不应仅仅是准确的终点，而应当是生物学发现的起点。当SHAP值揭示的二肽富集模式与20世纪80年代的信号肽、NLS和MTP经典理论相吻合时，这种"跨越40年的知识共鸣"不仅验证了模型的可靠性，也印证了一个更深层的方法论信念——在精心设计的特征工程和严谨的外部验证框架下，机器学习可以成为提取、验证和发现生物学规律的有力工具（Yu &amp; Kumbier, 2020; Angermueller et al., 2016）[21,22]。</w:t>
      </w:r>
    </w:p>
    <w:p>
      <w:pPr>
        <w:pStyle w:val="Heading1"/>
      </w:pPr>
      <w:r>
        <w:rPr>
          <w:rFonts w:ascii="黑体" w:hAnsi="黑体" w:eastAsia="黑体"/>
          <w:color w:val="000000"/>
        </w:rPr>
        <w:t>参考文献</w:t>
      </w:r>
    </w:p>
    <w:p>
      <w:pPr>
        <w:spacing w:line="276" w:lineRule="auto"/>
        <w:ind w:left="420" w:hanging="420"/>
      </w:pPr>
      <w:r>
        <w:rPr>
          <w:rFonts w:ascii="Times New Roman" w:hAnsi="Times New Roman"/>
          <w:sz w:val="20"/>
        </w:rPr>
        <w:t>[1] Chen T, Guestrin C. XGBoost: A Scalable Tree Boosting System. KDD, 2016: 785-794.</w:t>
      </w:r>
    </w:p>
    <w:p>
      <w:pPr>
        <w:spacing w:line="276" w:lineRule="auto"/>
        <w:ind w:left="420" w:hanging="420"/>
      </w:pPr>
      <w:r>
        <w:rPr>
          <w:rFonts w:ascii="Times New Roman" w:hAnsi="Times New Roman"/>
          <w:sz w:val="20"/>
        </w:rPr>
        <w:t>[2] Bishop CM. Pattern Recognition and Machine Learning. Springer, 2006.</w:t>
      </w:r>
    </w:p>
    <w:p>
      <w:pPr>
        <w:spacing w:line="276" w:lineRule="auto"/>
        <w:ind w:left="420" w:hanging="420"/>
      </w:pPr>
      <w:r>
        <w:rPr>
          <w:rFonts w:ascii="Times New Roman" w:hAnsi="Times New Roman"/>
          <w:sz w:val="20"/>
        </w:rPr>
        <w:t>[3] von Heijne G. Signal sequences: the limits of variation. J Mol Biol, 1985, 184(1): 99-105.</w:t>
      </w:r>
    </w:p>
    <w:p>
      <w:pPr>
        <w:spacing w:line="276" w:lineRule="auto"/>
        <w:ind w:left="420" w:hanging="420"/>
      </w:pPr>
      <w:r>
        <w:rPr>
          <w:rFonts w:ascii="Times New Roman" w:hAnsi="Times New Roman"/>
          <w:sz w:val="20"/>
        </w:rPr>
        <w:t>[4] Nielsen H et al. Identification of prokaryotic and eukaryotic signal peptides and prediction of their cleavage sites. Protein Eng, 1997, 10(1): 1-6.</w:t>
      </w:r>
    </w:p>
    <w:p>
      <w:pPr>
        <w:spacing w:line="276" w:lineRule="auto"/>
        <w:ind w:left="420" w:hanging="420"/>
      </w:pPr>
      <w:r>
        <w:rPr>
          <w:rFonts w:ascii="Times New Roman" w:hAnsi="Times New Roman"/>
          <w:sz w:val="20"/>
        </w:rPr>
        <w:t>[5] Kosugi S et al. Systematic identification of cell cycle-dependent yeast nucleocytoplasmic shuttling proteins by prediction of composite motifs. PNAS, 2009, 106(25): 10171-10176.</w:t>
      </w:r>
    </w:p>
    <w:p>
      <w:pPr>
        <w:spacing w:line="276" w:lineRule="auto"/>
        <w:ind w:left="420" w:hanging="420"/>
      </w:pPr>
      <w:r>
        <w:rPr>
          <w:rFonts w:ascii="Times New Roman" w:hAnsi="Times New Roman"/>
          <w:sz w:val="20"/>
        </w:rPr>
        <w:t>[6] von Heijne G. Mitochondrial targeting sequences may form amphiphilic helices. EMBO J, 1986, 5(6): 1335-1342.</w:t>
      </w:r>
    </w:p>
    <w:p>
      <w:pPr>
        <w:spacing w:line="276" w:lineRule="auto"/>
        <w:ind w:left="420" w:hanging="420"/>
      </w:pPr>
      <w:r>
        <w:rPr>
          <w:rFonts w:ascii="Times New Roman" w:hAnsi="Times New Roman"/>
          <w:sz w:val="20"/>
        </w:rPr>
        <w:t>[7] Roise D et al. A chemically synthesized pre-sequence of an imported mitochondrial protein can form an amphiphilic helix and perturb natural and artificial phospholipid bilayers. EMBO J, 1986, 5(6): 1327-1334.</w:t>
      </w:r>
    </w:p>
    <w:p>
      <w:pPr>
        <w:spacing w:line="276" w:lineRule="auto"/>
        <w:ind w:left="420" w:hanging="420"/>
      </w:pPr>
      <w:r>
        <w:rPr>
          <w:rFonts w:ascii="Times New Roman" w:hAnsi="Times New Roman"/>
          <w:sz w:val="20"/>
        </w:rPr>
        <w:t>[8] Rudin C. Stop explaining black box machine learning models for high stakes decisions and use interpretable models instead. Nat Mach Intell, 2019, 1(5): 206-215.</w:t>
      </w:r>
    </w:p>
    <w:p>
      <w:pPr>
        <w:spacing w:line="276" w:lineRule="auto"/>
        <w:ind w:left="420" w:hanging="420"/>
      </w:pPr>
      <w:r>
        <w:rPr>
          <w:rFonts w:ascii="Times New Roman" w:hAnsi="Times New Roman"/>
          <w:sz w:val="20"/>
        </w:rPr>
        <w:t>[9] Tonekaboni S et al. What Clinicians Want: Contextualizing Explainable Machine Learning for Clinical End Use. MLHC, 2019: 359-380.</w:t>
      </w:r>
    </w:p>
    <w:p>
      <w:pPr>
        <w:spacing w:line="276" w:lineRule="auto"/>
        <w:ind w:left="420" w:hanging="420"/>
      </w:pPr>
      <w:r>
        <w:rPr>
          <w:rFonts w:ascii="Times New Roman" w:hAnsi="Times New Roman"/>
          <w:sz w:val="20"/>
        </w:rPr>
        <w:t>[10] Liao SM et al. The multiple roles of histidine in protein interactions. Chem Cent J, 2013, 7: 44.</w:t>
      </w:r>
    </w:p>
    <w:p>
      <w:pPr>
        <w:spacing w:line="276" w:lineRule="auto"/>
        <w:ind w:left="420" w:hanging="420"/>
      </w:pPr>
      <w:r>
        <w:rPr>
          <w:rFonts w:ascii="Times New Roman" w:hAnsi="Times New Roman"/>
          <w:sz w:val="20"/>
        </w:rPr>
        <w:t>[11] Emanuelsson O et al. Predicting subcellular localization of proteins based on their N-terminal amino acid sequence. J Mol Biol, 2000, 300(4): 1005-1016.</w:t>
      </w:r>
    </w:p>
    <w:p>
      <w:pPr>
        <w:spacing w:line="276" w:lineRule="auto"/>
        <w:ind w:left="420" w:hanging="420"/>
      </w:pPr>
      <w:r>
        <w:rPr>
          <w:rFonts w:ascii="Times New Roman" w:hAnsi="Times New Roman"/>
          <w:sz w:val="20"/>
        </w:rPr>
        <w:t>[12] Dalbey RE, Wang P, Kuhn A. Assembly of bacterial inner membrane proteins. Annu Rev Biochem, 2011, 80: 161-187.</w:t>
      </w:r>
    </w:p>
    <w:p>
      <w:pPr>
        <w:spacing w:line="276" w:lineRule="auto"/>
        <w:ind w:left="420" w:hanging="420"/>
      </w:pPr>
      <w:r>
        <w:rPr>
          <w:rFonts w:ascii="Times New Roman" w:hAnsi="Times New Roman"/>
          <w:sz w:val="20"/>
        </w:rPr>
        <w:t>[13] Teufel F et al. SignalP 6.0 predicts all five types of signal peptides using protein language models. Nat Biotechnol, 2022, 40(7): 1023-1025.</w:t>
      </w:r>
    </w:p>
    <w:p>
      <w:pPr>
        <w:spacing w:line="276" w:lineRule="auto"/>
        <w:ind w:left="420" w:hanging="420"/>
      </w:pPr>
      <w:r>
        <w:rPr>
          <w:rFonts w:ascii="Times New Roman" w:hAnsi="Times New Roman"/>
          <w:sz w:val="20"/>
        </w:rPr>
        <w:t>[14] Almagro Armenteros JJ et al. DeepLoc: prediction of protein subcellular localization using deep learning. Bioinformatics, 2017, 33(21): 3387-3395.</w:t>
      </w:r>
    </w:p>
    <w:p>
      <w:pPr>
        <w:spacing w:line="276" w:lineRule="auto"/>
        <w:ind w:left="420" w:hanging="420"/>
      </w:pPr>
      <w:r>
        <w:rPr>
          <w:rFonts w:ascii="Times New Roman" w:hAnsi="Times New Roman"/>
          <w:sz w:val="20"/>
        </w:rPr>
        <w:t>[15] Horton P et al. WoLF PSORT: protein localization predictor. Nucleic Acids Res, 2007, 35(Web Server): W585-W587.</w:t>
      </w:r>
    </w:p>
    <w:p>
      <w:pPr>
        <w:spacing w:line="276" w:lineRule="auto"/>
        <w:ind w:left="420" w:hanging="420"/>
      </w:pPr>
      <w:r>
        <w:rPr>
          <w:rFonts w:ascii="Times New Roman" w:hAnsi="Times New Roman"/>
          <w:sz w:val="20"/>
        </w:rPr>
        <w:t>[16] Lipton ZC. The Mythos of Model Interpretability. Commun ACM, 2018, 61(10): 36-43.</w:t>
      </w:r>
    </w:p>
    <w:p>
      <w:pPr>
        <w:spacing w:line="276" w:lineRule="auto"/>
        <w:ind w:left="420" w:hanging="420"/>
      </w:pPr>
      <w:r>
        <w:rPr>
          <w:rFonts w:ascii="Times New Roman" w:hAnsi="Times New Roman"/>
          <w:sz w:val="20"/>
        </w:rPr>
        <w:t>[17] Holzinger A et al. Causability and explainability of artificial intelligence in medicine. WIREs Data Min Knowl Discov, 2019, 9(4): e1312.</w:t>
      </w:r>
    </w:p>
    <w:p>
      <w:pPr>
        <w:spacing w:line="276" w:lineRule="auto"/>
        <w:ind w:left="420" w:hanging="420"/>
      </w:pPr>
      <w:r>
        <w:rPr>
          <w:rFonts w:ascii="Times New Roman" w:hAnsi="Times New Roman"/>
          <w:sz w:val="20"/>
        </w:rPr>
        <w:t>[18] Lin Z et al. Evolutionary-scale prediction of atomic-level protein structure with a language model. Science, 2023, 379(6637): 1123-1130.</w:t>
      </w:r>
    </w:p>
    <w:p>
      <w:pPr>
        <w:spacing w:line="276" w:lineRule="auto"/>
        <w:ind w:left="420" w:hanging="420"/>
      </w:pPr>
      <w:r>
        <w:rPr>
          <w:rFonts w:ascii="Times New Roman" w:hAnsi="Times New Roman"/>
          <w:sz w:val="20"/>
        </w:rPr>
        <w:t>[19] Elnaggar A et al. ProtTrans: Toward Understanding the Language of Life Through Self-Supervised Learning. IEEE Trans Pattern Anal Mach Intell, 2022, 44(10): 7112-7127.</w:t>
      </w:r>
    </w:p>
    <w:p>
      <w:pPr>
        <w:spacing w:line="276" w:lineRule="auto"/>
        <w:ind w:left="420" w:hanging="420"/>
      </w:pPr>
      <w:r>
        <w:rPr>
          <w:rFonts w:ascii="Times New Roman" w:hAnsi="Times New Roman"/>
          <w:sz w:val="20"/>
        </w:rPr>
        <w:t>[20] Ashkenazy H et al. ConSurf 2016: an improved methodology to estimate and visualize evolutionary conservation in macromolecules. Nucleic Acids Res, 2016, 44(W1): W344-W350.</w:t>
      </w:r>
    </w:p>
    <w:p>
      <w:pPr>
        <w:spacing w:line="276" w:lineRule="auto"/>
        <w:ind w:left="420" w:hanging="420"/>
      </w:pPr>
      <w:r>
        <w:rPr>
          <w:rFonts w:ascii="Times New Roman" w:hAnsi="Times New Roman"/>
          <w:sz w:val="20"/>
        </w:rPr>
        <w:t>[21] Yu B, Kumbier K. Veridical data science. PNAS, 2020, 117(8): 3920-3929.</w:t>
      </w:r>
    </w:p>
    <w:p>
      <w:pPr>
        <w:spacing w:line="276" w:lineRule="auto"/>
        <w:ind w:left="420" w:hanging="420"/>
      </w:pPr>
      <w:r>
        <w:rPr>
          <w:rFonts w:ascii="Times New Roman" w:hAnsi="Times New Roman"/>
          <w:sz w:val="20"/>
        </w:rPr>
        <w:t>[22] Angermueller C et al. Deep learning for computational biology. Mol Syst Biol, 2016, 12(7): 878.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