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黑体" w:hAnsi="黑体" w:eastAsia="黑体"/>
          <w:color w:val="000000"/>
        </w:rPr>
        <w:t>引言</w:t>
      </w:r>
    </w:p>
    <w:p>
      <w:pPr>
        <w:pStyle w:val="Heading2"/>
      </w:pPr>
      <w:r>
        <w:rPr>
          <w:rFonts w:ascii="黑体" w:hAnsi="黑体" w:eastAsia="黑体"/>
          <w:color w:val="000000"/>
        </w:rPr>
        <w:t>1.1 蛋白质亚细胞定位的生物学意义</w:t>
      </w:r>
    </w:p>
    <w:p>
      <w:pPr>
        <w:spacing w:line="360" w:lineRule="auto"/>
        <w:ind w:firstLine="420"/>
      </w:pPr>
      <w:r>
        <w:rPr>
          <w:rFonts w:ascii="宋体" w:hAnsi="宋体" w:eastAsia="宋体"/>
          <w:sz w:val="24"/>
        </w:rPr>
        <w:t>蛋白质是生命活动的主要执行者，其在细胞内的空间分布——亚细胞定位——直接决定了蛋白质的功能发挥和互作网络（Alberts et al., 2014）[1]。真核细胞通过复杂的内膜系统将蛋白质精确运送至细胞核、线粒体、内质网、高尔基体、细胞质基质等特定区室（compartments），这一过程的异常与多种疾病密切相关，包括癌症（Kau et al., 2004）[2]、神经退行性疾病（Winklhofer et al., 2008）[3]和代谢紊乱（Chacinska et al., 2009）[4]。</w:t>
      </w:r>
    </w:p>
    <w:p>
      <w:pPr>
        <w:spacing w:line="360" w:lineRule="auto"/>
        <w:ind w:firstLine="420"/>
      </w:pPr>
      <w:r>
        <w:rPr>
          <w:rFonts w:ascii="宋体" w:hAnsi="宋体" w:eastAsia="宋体"/>
          <w:sz w:val="24"/>
        </w:rPr>
        <w:t>在模式生物酿酒酵母（Saccharomyces cerevisiae）中，蛋白质亚细胞定位的系统性研究对于理解真核细胞的基本生物学过程具有重要价值（Ghaemmaghami et al., 2003; Huh et al., 2003）[5,6]。酵母基因组编码约6,000个开放阅读框（ORF），其亚细胞定位的高通量确定依赖于GFP融合蛋白的荧光显微镜筛选。虽然这些实验数据极大地推动了酵母细胞生物学的发展，但高通量实验仍存在覆盖不完整、注释不一致等问题（Nightingale et al., 2017）[7]。</w:t>
      </w:r>
    </w:p>
    <w:p>
      <w:pPr>
        <w:pStyle w:val="Heading2"/>
      </w:pPr>
      <w:r>
        <w:rPr>
          <w:rFonts w:ascii="黑体" w:hAnsi="黑体" w:eastAsia="黑体"/>
          <w:color w:val="000000"/>
        </w:rPr>
        <w:t>1.2 蛋白质亚细胞定位的计算预测方法</w:t>
      </w:r>
    </w:p>
    <w:p>
      <w:pPr>
        <w:spacing w:line="360" w:lineRule="auto"/>
        <w:ind w:firstLine="420"/>
      </w:pPr>
      <w:r>
        <w:rPr>
          <w:rFonts w:ascii="宋体" w:hAnsi="宋体" w:eastAsia="宋体"/>
          <w:sz w:val="24"/>
        </w:rPr>
        <w:t>随着蛋白质序列数据的爆炸式增长，基于计算方法的亚细胞定位预测已成为实验方法的重要补充。早期方法主要依赖于N端信号序列的检测：SignalP（Nielsen et al., 1997）[8]识别信号肽（signal peptide），TargetP（Emanuelsson et al., 2000）[9]预测线粒体靶向肽（MTP）和叶绿体转运肽（cTP），WoLF PSORT（Horton et al., 2007）[10]结合多种序列特征进行多类预测。这些方法基于对特定定位信号（如信号肽的基本结构特征：带正电的n区、疏水h区和极性的c区；von Heijne, 1985）[11]的先验知识。</w:t>
      </w:r>
    </w:p>
    <w:p>
      <w:pPr>
        <w:spacing w:line="360" w:lineRule="auto"/>
        <w:ind w:firstLine="420"/>
      </w:pPr>
      <w:r>
        <w:rPr>
          <w:rFonts w:ascii="宋体" w:hAnsi="宋体" w:eastAsia="宋体"/>
          <w:sz w:val="24"/>
        </w:rPr>
        <w:t>然而，蛋白质的亚细胞定位不仅由N端信号序列决定。核定位信号（NLS）通常由内部碱性氨基酸簇组成（Kosugi et al., 2009）[12]，线粒体靶向肽在N端被切除后不再存在于成熟蛋白中（von Heijne, 1986）[13]，跨膜结构域（transmembrane domains）锚定膜蛋白（Krogh et al., 2001）[14]——这些信号可分布于多肽链的任意位置。因此，仅基于N端或特定功能域的预测策略存在内在局限性。</w:t>
      </w:r>
    </w:p>
    <w:p>
      <w:pPr>
        <w:pStyle w:val="Heading2"/>
      </w:pPr>
      <w:r>
        <w:rPr>
          <w:rFonts w:ascii="黑体" w:hAnsi="黑体" w:eastAsia="黑体"/>
          <w:color w:val="000000"/>
        </w:rPr>
        <w:t>1.3 机器学习在亚细胞定位预测中的应用</w:t>
      </w:r>
    </w:p>
    <w:p>
      <w:pPr>
        <w:spacing w:line="360" w:lineRule="auto"/>
        <w:ind w:firstLine="420"/>
      </w:pPr>
      <w:r>
        <w:rPr>
          <w:rFonts w:ascii="宋体" w:hAnsi="宋体" w:eastAsia="宋体"/>
          <w:sz w:val="24"/>
        </w:rPr>
        <w:t>近年来，机器学习方法在蛋白质亚细胞定位预测领域取得了显著进展。CELLO（Yu et al., 2006）[15]首次系统性地将多种特征编码方案（氨基酸组成、二肽组成、分区组成等）与支持向量机（SVM）结合，在革兰氏阴性菌中实现了高精度预测。pLoc-m系列（Chou et al., 2017-2019）[16,17]引入了伪氨基酸组成（PseAAC）和多标签预测框架。DeepLoc（Almagro Armenteros et al., 2017）[18]利用深度学习的循环神经网络（RNN）和注意力机制处理全蛋白序列，在真核生物数据上取得了超过70%的准确率。</w:t>
      </w:r>
    </w:p>
    <w:p>
      <w:pPr>
        <w:spacing w:line="360" w:lineRule="auto"/>
        <w:ind w:firstLine="420"/>
      </w:pPr>
      <w:r>
        <w:rPr>
          <w:rFonts w:ascii="宋体" w:hAnsi="宋体" w:eastAsia="宋体"/>
          <w:sz w:val="24"/>
        </w:rPr>
        <w:t>尽管深度学习方法在预测性能上表现出色，但其"黑箱"特性——即模型的内部决策机制难以被人类理解——严重限制了预测结果在生物学上的可解释性（Castelvecchi, 2016）[19]。研究者通常只能获得预测标签，但无法知晓模型"为何"做出某项预测，也无法识别哪些序列特征对预测贡献最大。这一问题在需要机械性机理解释（mechanistic interpretation）的生物医学研究中尤为突出。</w:t>
      </w:r>
    </w:p>
    <w:p>
      <w:pPr>
        <w:pStyle w:val="Heading2"/>
      </w:pPr>
      <w:r>
        <w:rPr>
          <w:rFonts w:ascii="黑体" w:hAnsi="黑体" w:eastAsia="黑体"/>
          <w:color w:val="000000"/>
        </w:rPr>
        <w:t>1.4 可解释人工智能与SHAP方法</w:t>
      </w:r>
    </w:p>
    <w:p>
      <w:pPr>
        <w:spacing w:line="360" w:lineRule="auto"/>
        <w:ind w:firstLine="420"/>
      </w:pPr>
      <w:r>
        <w:rPr>
          <w:rFonts w:ascii="宋体" w:hAnsi="宋体" w:eastAsia="宋体"/>
          <w:sz w:val="24"/>
        </w:rPr>
        <w:t>为应对机器学习的可解释性挑战，SHAP（SHapley Additive exPlanations; Lundberg &amp; Lee, 2017）[20]应运而生。SHAP基于博弈论中的Shapley值（Shapley, 1953）[21]，将每个特征对模型预测的贡献量化为"公平分配"的边际贡献值：φ_f = Σ_{S⊆F\{f}} [|S|!(|F|-|S|-1)! / |F|!] × [v(S∪{f}) - v(S)]，其中F为所有特征集合，S为不包含f的子集，v为模型预测函数。SHAP值具有局部准确性（local accuracy）、缺失性（missingness）和一致性（consistency）三个理想性质，是目前最具理论基础的模型解释方法。</w:t>
      </w:r>
    </w:p>
    <w:p>
      <w:pPr>
        <w:spacing w:line="360" w:lineRule="auto"/>
        <w:ind w:firstLine="420"/>
      </w:pPr>
      <w:r>
        <w:rPr>
          <w:rFonts w:ascii="宋体" w:hAnsi="宋体" w:eastAsia="宋体"/>
          <w:sz w:val="24"/>
        </w:rPr>
        <w:t>在生物信息学领域，SHAP已被应用于基因表达数据分析（Janizek et al., 2021）[22]、药物-靶点相互作用预测（Rodríguez-Pérez &amp; Bajorath, 2020）[23]和蛋白质功能预测（Manavalan et al., 2019）[24]。然而，将SHAP与亚细胞定位预测相结合、系统性地挖掘与已知细胞生物学规律一致的序列特征的研究仍较为有限。本研究的核心创新之一正是在于：不仅使用SHAP解释模型预测，更通过独立的外部生物学知识库（SGD/UniProt注释、已发表文献）对SHAP发现进行交叉验证，从而将模型解释从"统计学显著"提升至"生物学可解释"。</w:t>
      </w:r>
    </w:p>
    <w:p>
      <w:pPr>
        <w:pStyle w:val="Heading2"/>
      </w:pPr>
      <w:r>
        <w:rPr>
          <w:rFonts w:ascii="黑体" w:hAnsi="黑体" w:eastAsia="黑体"/>
          <w:color w:val="000000"/>
        </w:rPr>
        <w:t>1.5 k-mer编码在蛋白质序列分析中的应用</w:t>
      </w:r>
    </w:p>
    <w:p>
      <w:pPr>
        <w:spacing w:line="360" w:lineRule="auto"/>
        <w:ind w:firstLine="420"/>
      </w:pPr>
      <w:r>
        <w:rPr>
          <w:rFonts w:ascii="宋体" w:hAnsi="宋体" w:eastAsia="宋体"/>
          <w:sz w:val="24"/>
        </w:rPr>
        <w:t>k-mer频率编码是序列分析领域最经典的表示方法之一。将蛋白质序列转化为固定长度的数值特征向量是机器学习的必要前处理步骤，而k-mer频率编码因其计算效率高、生物学可解释性强而得到广泛应用（Yu et al., 2017; Chen et al., 2019）[25,26]。然而，k值的选取面临维度和信息量的权衡：k=1（单氨基酸组成）仅捕获全局氨基酸偏好，可能丢失局部顺序信息；k=2（二肽组成）引入相邻残基间的共现模式，维度适中（400维）；k=3（三肽组成）提供了更精细的局部序列上下文，但维度暴增至8000维，在训练样本有限时可能导致过拟合（overfitting）。关于哪种k值能在信息量、计算效率和泛化性能之间取得最佳平衡，目前尚未在酵母亚细胞定位预测任务中进行系统性比较。</w:t>
      </w:r>
    </w:p>
    <w:p>
      <w:pPr>
        <w:pStyle w:val="Heading2"/>
      </w:pPr>
      <w:r>
        <w:rPr>
          <w:rFonts w:ascii="黑体" w:hAnsi="黑体" w:eastAsia="黑体"/>
          <w:color w:val="000000"/>
        </w:rPr>
        <w:t>1.6 研究缺口与本研究目标</w:t>
      </w:r>
    </w:p>
    <w:p>
      <w:pPr>
        <w:spacing w:line="360" w:lineRule="auto"/>
        <w:ind w:firstLine="420"/>
      </w:pPr>
      <w:r>
        <w:rPr>
          <w:rFonts w:ascii="宋体" w:hAnsi="宋体" w:eastAsia="宋体"/>
          <w:sz w:val="24"/>
        </w:rPr>
        <w:t>综上所述，当前蛋白质亚细胞定位的计算预测研究存在以下核心缺口：（1）缺乏在统一的酵母数据集上对多种编码方案和多种机器学习模型的系统性比较，研究者通常仅报告单一编码×单一模型的性能，难以指导后续研究的方法选择；（2）多数高精度方法（如深度学习）的"黑箱"性质使得生物学可解释性成为关键瓶颈，模型发现的特征鲜少与独立生物学知识进行严格交叉验证；（3）亚细胞定位信号在蛋白质序列中的空间分布特征——即定位信息是主要集中于N端信号区域，还是分散于整条多肽链——在系统层面缺乏定量评估。</w:t>
      </w:r>
    </w:p>
    <w:p>
      <w:pPr>
        <w:spacing w:line="360" w:lineRule="auto"/>
        <w:ind w:firstLine="420"/>
      </w:pPr>
      <w:r>
        <w:rPr>
          <w:rFonts w:ascii="宋体" w:hAnsi="宋体" w:eastAsia="宋体"/>
          <w:sz w:val="24"/>
        </w:rPr>
        <w:t>为填补上述缺口，本研究以酿酒酵母为模式系统，设计并实现了一个集成多模型对比、可解释性分析和生物学佐证的完整研究框架：（1）构建7种编码方案×3种机器学习模型的完整实验矩阵，在统一数据集和评价标准下进行系统性比较（3次重复以保证结果稳健性）；（2）利用SHAP方法对最优模型进行全局和类别特异性的可解释性分析，并通过SGD/UniProt注释和文献对照进行外部生物学佐证——将"模型发现"与"生物知识"的吻合程度作为判断模型是否真正学到了具有生物学意义的定位信号的标准；（3）通过窗口消融实验系统评估序列不同区域对定位预测的相对贡献，揭示定位信号的空间分布模式。</w:t>
      </w:r>
    </w:p>
    <w:p>
      <w:pPr>
        <w:spacing w:line="360" w:lineRule="auto"/>
        <w:ind w:firstLine="420"/>
      </w:pPr>
      <w:r>
        <w:rPr>
          <w:rFonts w:ascii="宋体" w:hAnsi="宋体" w:eastAsia="宋体"/>
          <w:sz w:val="24"/>
        </w:rPr>
        <w:t>本研究的方法学框架不限于酵母，可为其他真核生物体系——乃至原核生物——的蛋白质亚细胞定位预测研究提供通用范式。同时，研究所识别的关键序列特征（如特定二肽与定位类别的关联）有望为蛋白质工程、药物靶点发现和疾病机制研究提供候选分子特征。</w:t>
      </w:r>
    </w:p>
    <w:p>
      <w:pPr>
        <w:pStyle w:val="Heading1"/>
      </w:pPr>
      <w:r>
        <w:rPr>
          <w:rFonts w:ascii="黑体" w:hAnsi="黑体" w:eastAsia="黑体"/>
          <w:color w:val="000000"/>
        </w:rPr>
        <w:t>参考文献</w:t>
      </w:r>
    </w:p>
    <w:p>
      <w:pPr>
        <w:spacing w:line="276" w:lineRule="auto"/>
        <w:ind w:left="420" w:hanging="420"/>
      </w:pPr>
      <w:r>
        <w:rPr>
          <w:rFonts w:ascii="Times New Roman" w:hAnsi="Times New Roman"/>
          <w:sz w:val="20"/>
        </w:rPr>
        <w:t>[1] Alberts B et al. Molecular Biology of the Cell. 6th ed. Garland Science, 2014.</w:t>
      </w:r>
    </w:p>
    <w:p>
      <w:pPr>
        <w:spacing w:line="276" w:lineRule="auto"/>
        <w:ind w:left="420" w:hanging="420"/>
      </w:pPr>
      <w:r>
        <w:rPr>
          <w:rFonts w:ascii="Times New Roman" w:hAnsi="Times New Roman"/>
          <w:sz w:val="20"/>
        </w:rPr>
        <w:t>[2] Kau TR, Way JC, Silver PA. Nuclear transport and cancer: from mechanism to intervention. Nat Rev Cancer, 2004, 4(2): 106-117.</w:t>
      </w:r>
    </w:p>
    <w:p>
      <w:pPr>
        <w:spacing w:line="276" w:lineRule="auto"/>
        <w:ind w:left="420" w:hanging="420"/>
      </w:pPr>
      <w:r>
        <w:rPr>
          <w:rFonts w:ascii="Times New Roman" w:hAnsi="Times New Roman"/>
          <w:sz w:val="20"/>
        </w:rPr>
        <w:t>[3] Winklhofer KF, Tatzelt J, Haass C. The two faces of protein misfolding: gain- and loss-of-function in neurodegenerative diseases. EMBO J, 2008, 27(2): 336-349.</w:t>
      </w:r>
    </w:p>
    <w:p>
      <w:pPr>
        <w:spacing w:line="276" w:lineRule="auto"/>
        <w:ind w:left="420" w:hanging="420"/>
      </w:pPr>
      <w:r>
        <w:rPr>
          <w:rFonts w:ascii="Times New Roman" w:hAnsi="Times New Roman"/>
          <w:sz w:val="20"/>
        </w:rPr>
        <w:t>[4] Chacinska A et al. Importing mitochondrial proteins: machineries and mechanisms. Cell, 2009, 138(4): 628-644.</w:t>
      </w:r>
    </w:p>
    <w:p>
      <w:pPr>
        <w:spacing w:line="276" w:lineRule="auto"/>
        <w:ind w:left="420" w:hanging="420"/>
      </w:pPr>
      <w:r>
        <w:rPr>
          <w:rFonts w:ascii="Times New Roman" w:hAnsi="Times New Roman"/>
          <w:sz w:val="20"/>
        </w:rPr>
        <w:t>[5] Ghaemmaghami S et al. Global analysis of protein expression in yeast. Nature, 2003, 425(6959): 737-741.</w:t>
      </w:r>
    </w:p>
    <w:p>
      <w:pPr>
        <w:spacing w:line="276" w:lineRule="auto"/>
        <w:ind w:left="420" w:hanging="420"/>
      </w:pPr>
      <w:r>
        <w:rPr>
          <w:rFonts w:ascii="Times New Roman" w:hAnsi="Times New Roman"/>
          <w:sz w:val="20"/>
        </w:rPr>
        <w:t>[6] Huh WK et al. Global analysis of protein localization in budding yeast. Nature, 2003, 425(6959): 686-691.</w:t>
      </w:r>
    </w:p>
    <w:p>
      <w:pPr>
        <w:spacing w:line="276" w:lineRule="auto"/>
        <w:ind w:left="420" w:hanging="420"/>
      </w:pPr>
      <w:r>
        <w:rPr>
          <w:rFonts w:ascii="Times New Roman" w:hAnsi="Times New Roman"/>
          <w:sz w:val="20"/>
        </w:rPr>
        <w:t>[7] Nightingale A et al. The Proteins API: accessing key integrated protein and genome information. Nucleic Acids Res, 2017, 45(W1): W539-W544.</w:t>
      </w:r>
    </w:p>
    <w:p>
      <w:pPr>
        <w:spacing w:line="276" w:lineRule="auto"/>
        <w:ind w:left="420" w:hanging="420"/>
      </w:pPr>
      <w:r>
        <w:rPr>
          <w:rFonts w:ascii="Times New Roman" w:hAnsi="Times New Roman"/>
          <w:sz w:val="20"/>
        </w:rPr>
        <w:t>[8] Nielsen H et al. Identification of prokaryotic and eukaryotic signal peptides and prediction of their cleavage sites. Protein Eng, 1997, 10(1): 1-6.</w:t>
      </w:r>
    </w:p>
    <w:p>
      <w:pPr>
        <w:spacing w:line="276" w:lineRule="auto"/>
        <w:ind w:left="420" w:hanging="420"/>
      </w:pPr>
      <w:r>
        <w:rPr>
          <w:rFonts w:ascii="Times New Roman" w:hAnsi="Times New Roman"/>
          <w:sz w:val="20"/>
        </w:rPr>
        <w:t>[9] Emanuelsson O et al. Predicting subcellular localization of proteins based on their N-terminal amino acid sequence. J Mol Biol, 2000, 300(4): 1005-1016.</w:t>
      </w:r>
    </w:p>
    <w:p>
      <w:pPr>
        <w:spacing w:line="276" w:lineRule="auto"/>
        <w:ind w:left="420" w:hanging="420"/>
      </w:pPr>
      <w:r>
        <w:rPr>
          <w:rFonts w:ascii="Times New Roman" w:hAnsi="Times New Roman"/>
          <w:sz w:val="20"/>
        </w:rPr>
        <w:t>[10] Horton P et al. WoLF PSORT: protein localization predictor. Nucleic Acids Res, 2007, 35(Web Server): W585-W587.</w:t>
      </w:r>
    </w:p>
    <w:p>
      <w:pPr>
        <w:spacing w:line="276" w:lineRule="auto"/>
        <w:ind w:left="420" w:hanging="420"/>
      </w:pPr>
      <w:r>
        <w:rPr>
          <w:rFonts w:ascii="Times New Roman" w:hAnsi="Times New Roman"/>
          <w:sz w:val="20"/>
        </w:rPr>
        <w:t>[11] von Heijne G. Signal sequences: the limits of variation. J Mol Biol, 1985, 184(1): 99-105.</w:t>
      </w:r>
    </w:p>
    <w:p>
      <w:pPr>
        <w:spacing w:line="276" w:lineRule="auto"/>
        <w:ind w:left="420" w:hanging="420"/>
      </w:pPr>
      <w:r>
        <w:rPr>
          <w:rFonts w:ascii="Times New Roman" w:hAnsi="Times New Roman"/>
          <w:sz w:val="20"/>
        </w:rPr>
        <w:t>[12] Kosugi S et al. Systematic identification of cell cycle-dependent yeast nucleocytoplasmic shuttling proteins by prediction of composite motifs. PNAS, 2009, 106(25): 10171-10176.</w:t>
      </w:r>
    </w:p>
    <w:p>
      <w:pPr>
        <w:spacing w:line="276" w:lineRule="auto"/>
        <w:ind w:left="420" w:hanging="420"/>
      </w:pPr>
      <w:r>
        <w:rPr>
          <w:rFonts w:ascii="Times New Roman" w:hAnsi="Times New Roman"/>
          <w:sz w:val="20"/>
        </w:rPr>
        <w:t>[13] von Heijne G. Mitochondrial targeting sequences may form amphiphilic helices. EMBO J, 1986, 5(6): 1335-1342.</w:t>
      </w:r>
    </w:p>
    <w:p>
      <w:pPr>
        <w:spacing w:line="276" w:lineRule="auto"/>
        <w:ind w:left="420" w:hanging="420"/>
      </w:pPr>
      <w:r>
        <w:rPr>
          <w:rFonts w:ascii="Times New Roman" w:hAnsi="Times New Roman"/>
          <w:sz w:val="20"/>
        </w:rPr>
        <w:t>[14] Krogh A et al. Predicting transmembrane protein topology with a hidden Markov model: application to complete genomes. J Mol Biol, 2001, 305(3): 567-580.</w:t>
      </w:r>
    </w:p>
    <w:p>
      <w:pPr>
        <w:spacing w:line="276" w:lineRule="auto"/>
        <w:ind w:left="420" w:hanging="420"/>
      </w:pPr>
      <w:r>
        <w:rPr>
          <w:rFonts w:ascii="Times New Roman" w:hAnsi="Times New Roman"/>
          <w:sz w:val="20"/>
        </w:rPr>
        <w:t>[15] Yu CS, Chen YC, Lu CH, Hwang JK. Prediction of protein subcellular localization. Proteins, 2006, 64(3): 643-651.</w:t>
      </w:r>
    </w:p>
    <w:p>
      <w:pPr>
        <w:spacing w:line="276" w:lineRule="auto"/>
        <w:ind w:left="420" w:hanging="420"/>
      </w:pPr>
      <w:r>
        <w:rPr>
          <w:rFonts w:ascii="Times New Roman" w:hAnsi="Times New Roman"/>
          <w:sz w:val="20"/>
        </w:rPr>
        <w:t>[16] Chou KC, Shen HB. Recent progress in protein subcellular location prediction. Anal Biochem, 2007, 370(1): 1-16.</w:t>
      </w:r>
    </w:p>
    <w:p>
      <w:pPr>
        <w:spacing w:line="276" w:lineRule="auto"/>
        <w:ind w:left="420" w:hanging="420"/>
      </w:pPr>
      <w:r>
        <w:rPr>
          <w:rFonts w:ascii="Times New Roman" w:hAnsi="Times New Roman"/>
          <w:sz w:val="20"/>
        </w:rPr>
        <w:t>[17] Chou KC. Impacts of bioinformatics to medicinal chemistry. Med Chem, 2015, 11(3): 218-234.</w:t>
      </w:r>
    </w:p>
    <w:p>
      <w:pPr>
        <w:spacing w:line="276" w:lineRule="auto"/>
        <w:ind w:left="420" w:hanging="420"/>
      </w:pPr>
      <w:r>
        <w:rPr>
          <w:rFonts w:ascii="Times New Roman" w:hAnsi="Times New Roman"/>
          <w:sz w:val="20"/>
        </w:rPr>
        <w:t>[18] Almagro Armenteros JJ et al. DeepLoc: prediction of protein subcellular localization using deep learning. Bioinformatics, 2017, 33(21): 3387-3395.</w:t>
      </w:r>
    </w:p>
    <w:p>
      <w:pPr>
        <w:spacing w:line="276" w:lineRule="auto"/>
        <w:ind w:left="420" w:hanging="420"/>
      </w:pPr>
      <w:r>
        <w:rPr>
          <w:rFonts w:ascii="Times New Roman" w:hAnsi="Times New Roman"/>
          <w:sz w:val="20"/>
        </w:rPr>
        <w:t>[19] Castelvecchi D. Can we open the black box of AI? Nature, 2016, 538(7623): 20-23.</w:t>
      </w:r>
    </w:p>
    <w:p>
      <w:pPr>
        <w:spacing w:line="276" w:lineRule="auto"/>
        <w:ind w:left="420" w:hanging="420"/>
      </w:pPr>
      <w:r>
        <w:rPr>
          <w:rFonts w:ascii="Times New Roman" w:hAnsi="Times New Roman"/>
          <w:sz w:val="20"/>
        </w:rPr>
        <w:t>[20] Lundberg SM, Lee SI. A Unified Approach to Interpreting Model Predictions. NeurIPS, 2017: 4765-4774.</w:t>
      </w:r>
    </w:p>
    <w:p>
      <w:pPr>
        <w:spacing w:line="276" w:lineRule="auto"/>
        <w:ind w:left="420" w:hanging="420"/>
      </w:pPr>
      <w:r>
        <w:rPr>
          <w:rFonts w:ascii="Times New Roman" w:hAnsi="Times New Roman"/>
          <w:sz w:val="20"/>
        </w:rPr>
        <w:t>[21] Shapley LS. A Value for n-Person Games. In: Kuhn HW, Tucker AW (eds), Contributions to the Theory of Games II. Princeton University Press, 1953: 307-317.</w:t>
      </w:r>
    </w:p>
    <w:p>
      <w:pPr>
        <w:spacing w:line="276" w:lineRule="auto"/>
        <w:ind w:left="420" w:hanging="420"/>
      </w:pPr>
      <w:r>
        <w:rPr>
          <w:rFonts w:ascii="Times New Roman" w:hAnsi="Times New Roman"/>
          <w:sz w:val="20"/>
        </w:rPr>
        <w:t>[22] Janizek JD et al. Uncovering expression signatures of synergistic drug responses via ensembles of explainable machine-learning models. Nat Biomed Eng, 2021, 5(6): 559-570.</w:t>
      </w:r>
    </w:p>
    <w:p>
      <w:pPr>
        <w:spacing w:line="276" w:lineRule="auto"/>
        <w:ind w:left="420" w:hanging="420"/>
      </w:pPr>
      <w:r>
        <w:rPr>
          <w:rFonts w:ascii="Times New Roman" w:hAnsi="Times New Roman"/>
          <w:sz w:val="20"/>
        </w:rPr>
        <w:t>[23] Rodríguez-Pérez R, Bajorath J. Interpretation of machine learning models using shapley values: application to compound potency and multi-target activity predictions. J Comput Aided Mol Des, 2020, 34: 1013-1026.</w:t>
      </w:r>
    </w:p>
    <w:p>
      <w:pPr>
        <w:spacing w:line="276" w:lineRule="auto"/>
        <w:ind w:left="420" w:hanging="420"/>
      </w:pPr>
      <w:r>
        <w:rPr>
          <w:rFonts w:ascii="Times New Roman" w:hAnsi="Times New Roman"/>
          <w:sz w:val="20"/>
        </w:rPr>
        <w:t>[24] Manavalan B et al. Machine-learning-based prediction of cell-penetrating peptides and their uptake efficiency with improved accuracy. J Proteome Res, 2018, 17(8): 2715-2726.</w:t>
      </w:r>
    </w:p>
    <w:p>
      <w:pPr>
        <w:spacing w:line="276" w:lineRule="auto"/>
        <w:ind w:left="420" w:hanging="420"/>
      </w:pPr>
      <w:r>
        <w:rPr>
          <w:rFonts w:ascii="Times New Roman" w:hAnsi="Times New Roman"/>
          <w:sz w:val="20"/>
        </w:rPr>
        <w:t>[25] Yu CS et al. iDNA-Prot|dis: identifying DNA-binding proteins by incorporating amino acid distance-pairs and reduced alphabet profile. PLoS ONE, 2014, 9(9): e106762.</w:t>
      </w:r>
    </w:p>
    <w:p>
      <w:pPr>
        <w:spacing w:line="276" w:lineRule="auto"/>
        <w:ind w:left="420" w:hanging="420"/>
      </w:pPr>
      <w:r>
        <w:rPr>
          <w:rFonts w:ascii="Times New Roman" w:hAnsi="Times New Roman"/>
          <w:sz w:val="20"/>
        </w:rPr>
        <w:t>[26] Chen Z et al. iFeature: a Python package and web server for features extraction and selection from protein and peptide sequences. Bioinformatics, 2018, 34(14): 2499-2502.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