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方法</w:t>
      </w:r>
    </w:p>
    <w:p>
      <w:pPr>
        <w:pStyle w:val="Heading2"/>
      </w:pPr>
      <w:r>
        <w:rPr>
          <w:rFonts w:ascii="黑体" w:hAnsi="黑体" w:eastAsia="黑体"/>
          <w:color w:val="000000"/>
        </w:rPr>
        <w:t>2.1 数据获取与预处理</w:t>
      </w:r>
    </w:p>
    <w:p>
      <w:pPr>
        <w:spacing w:line="360" w:lineRule="auto"/>
        <w:ind w:firstLine="420"/>
      </w:pPr>
      <w:r>
        <w:rPr>
          <w:rFonts w:ascii="宋体" w:hAnsi="宋体" w:eastAsia="宋体"/>
          <w:sz w:val="24"/>
        </w:rPr>
        <w:t>本研究以模式生物酿酒酵母（Saccharomyces cerevisiae，菌株S288C）为研究对象。蛋白质序列数据和亚细胞定位注释来源于两大数据库：UniProt知识库（UniProt Consortium, 2023）[1]和Saccharomyces Genome Database（Cherry et al., 2012）[2]。蛋白质序列通过UniProt REST API批量获取，亚细胞定位注释信息从SGD的基因本体（Gene Ontology, GO）细胞组分（Cellular Component, CC）注释中提取（Ashburner et al., 2000）[3]。</w:t>
      </w:r>
    </w:p>
    <w:p>
      <w:pPr>
        <w:spacing w:line="360" w:lineRule="auto"/>
        <w:ind w:firstLine="420"/>
      </w:pPr>
      <w:r>
        <w:rPr>
          <w:rFonts w:ascii="宋体" w:hAnsi="宋体" w:eastAsia="宋体"/>
          <w:sz w:val="24"/>
        </w:rPr>
        <w:t>数据预处理流程如下：首先排除序列长度小于50或大于5000个氨基酸的异常序列；其次排除亚细胞定位注释缺失或注释为"Unknown"的蛋白质；对于具有多定位注释的蛋白质，优先选取手动注释（manually curated）且注释来源为SGD的定位作为主标签。最后根据定位分布，将蛋白质分为五大类别：细胞质（Cytoplasm，n=801）、膜/分泌途径（Membrane/Secretory，n=1420）、线粒体（Mitochondria，n=762）、细胞核（Nucleus，n=1724）和其他（Other，n=156），共计4,863条非冗余蛋白质序列。</w:t>
      </w:r>
    </w:p>
    <w:p>
      <w:pPr>
        <w:spacing w:line="360" w:lineRule="auto"/>
        <w:ind w:firstLine="420"/>
      </w:pPr>
      <w:r>
        <w:rPr>
          <w:rFonts w:ascii="宋体" w:hAnsi="宋体" w:eastAsia="宋体"/>
          <w:sz w:val="24"/>
        </w:rPr>
        <w:t>将数据集按8:2的比例随机划分为训练集（3,890条）和测试集（973条），采用分层抽样（stratified sampling）保证各类别比例在划分前后一致。训练集用于模型训练与交叉验证，测试集仅用于最终性能评估。</w:t>
      </w:r>
    </w:p>
    <w:p>
      <w:pPr>
        <w:pStyle w:val="Heading2"/>
      </w:pPr>
      <w:r>
        <w:rPr>
          <w:rFonts w:ascii="黑体" w:hAnsi="黑体" w:eastAsia="黑体"/>
          <w:color w:val="000000"/>
        </w:rPr>
        <w:t>2.2 特征工程</w:t>
      </w:r>
    </w:p>
    <w:p>
      <w:pPr>
        <w:pStyle w:val="Heading3"/>
      </w:pPr>
      <w:r>
        <w:rPr>
          <w:rFonts w:ascii="黑体" w:hAnsi="黑体" w:eastAsia="黑体"/>
          <w:color w:val="000000"/>
        </w:rPr>
        <w:t>2.2.1 k-mer频率编码</w:t>
      </w:r>
    </w:p>
    <w:p>
      <w:pPr>
        <w:spacing w:line="360" w:lineRule="auto"/>
        <w:ind w:firstLine="420"/>
      </w:pPr>
      <w:r>
        <w:rPr>
          <w:rFonts w:ascii="宋体" w:hAnsi="宋体" w:eastAsia="宋体"/>
          <w:sz w:val="24"/>
        </w:rPr>
        <w:t>k-mer频率编码是生物信息学中蛋白质和核酸序列分析的标准方法，其将序列中长度为k的连续氨基酸片段（k-mer）的出现频率作为特征向量（Yu et al., 2017; Chen et al., 2019）[4,5]。对于20种标准氨基酸，k=1时产生20维特征向量（AAC，单氨基酸组成），k=2时产生20²=400维特征向量（DPC，二肽组成），k=3时产生20³=8000维特征向量（TPC，三肽组成）。对于长度为L的蛋白质序列，k-mer i的频率 f(k-mer_i) = count(k-mer_i) / (L - k + 1)，其中count(k-mer_i)为k-mer i在序列中出现的次数。此外，本研究构建了k=1与k=2的融合编码方案（420维），通过将20维AAC向量与400维DPC向量直接拼接（concatenation）获得。</w:t>
      </w:r>
    </w:p>
    <w:p>
      <w:pPr>
        <w:pStyle w:val="Heading3"/>
      </w:pPr>
      <w:r>
        <w:rPr>
          <w:rFonts w:ascii="黑体" w:hAnsi="黑体" w:eastAsia="黑体"/>
          <w:color w:val="000000"/>
        </w:rPr>
        <w:t>2.2.2 离散编码方案</w:t>
      </w:r>
    </w:p>
    <w:p>
      <w:pPr>
        <w:spacing w:line="360" w:lineRule="auto"/>
        <w:ind w:firstLine="420"/>
      </w:pPr>
      <w:r>
        <w:rPr>
          <w:rFonts w:ascii="宋体" w:hAnsi="宋体" w:eastAsia="宋体"/>
          <w:sz w:val="24"/>
        </w:rPr>
        <w:t>为评估不同编码策略对预测性能的影响，本研究还实现了三种离散编码方案：（1）二进制编码（Binary，24,550维）：将每条序列填充至最长蛋白长度4910个残基，每个残基用5位二进制表示，展平为 5×n 维（最长蛋白 5×4910=24,550）；（2）整数编码（Integer，4,910维）：将序列填充至最长蛋白长度4910个残基（最长蛋白长度4910），每个残基用其氨基酸索引（0-19）表示；（3）One-hot展平编码（98,200维）：将序列填充至最长蛋白长度4910个残基（最长蛋白长度4910），每个残基用20位One-hot向量表示，展平为 20×n 维（n为序列长度，最长蛋白n=4910，故最大维度为20×4910=98,200）。这些高维编码方案主要用于展示维度灾难（curse of dimensionality; Bishop, 2006）[6]对模型性能的影响。。各编码维度由数据集最长蛋白质序列长度（n=4910 aa）决定；其中维度计算公式为：One-hot = n × 20（n为最长蛋白长度4910，共98,200维），Binary = n × 5（24,550维），Integer = n（4,910维）。所有短于4910 aa的蛋白质序列末尾以零向量补齐（zero-padding），完整保留所有序列信息。</w:t>
      </w:r>
    </w:p>
    <w:p>
      <w:pPr>
        <w:pStyle w:val="Heading2"/>
      </w:pPr>
      <w:r>
        <w:rPr>
          <w:rFonts w:ascii="黑体" w:hAnsi="黑体" w:eastAsia="黑体"/>
          <w:color w:val="000000"/>
        </w:rPr>
        <w:t>2.3 机器学习模型</w:t>
      </w:r>
    </w:p>
    <w:p>
      <w:pPr>
        <w:pStyle w:val="Heading3"/>
      </w:pPr>
      <w:r>
        <w:rPr>
          <w:rFonts w:ascii="黑体" w:hAnsi="黑体" w:eastAsia="黑体"/>
          <w:color w:val="000000"/>
        </w:rPr>
        <w:t>2.3.1 逻辑回归</w:t>
      </w:r>
    </w:p>
    <w:p>
      <w:pPr>
        <w:spacing w:line="360" w:lineRule="auto"/>
        <w:ind w:firstLine="420"/>
      </w:pPr>
      <w:r>
        <w:rPr>
          <w:rFonts w:ascii="宋体" w:hAnsi="宋体" w:eastAsia="宋体"/>
          <w:sz w:val="24"/>
        </w:rPr>
        <w:t>逻辑回归（Logistic Regression）是一种广义线性分类模型（Hastie et al., 2009）[7]。本研究采用L2正则化（Ridge），正则化强度C=1.0，使用L-BFGS优化算法，最大迭代次数1000。多分类采用one-vs-rest（OvR）策略。</w:t>
      </w:r>
    </w:p>
    <w:p>
      <w:pPr>
        <w:pStyle w:val="Heading3"/>
      </w:pPr>
      <w:r>
        <w:rPr>
          <w:rFonts w:ascii="黑体" w:hAnsi="黑体" w:eastAsia="黑体"/>
          <w:color w:val="000000"/>
        </w:rPr>
        <w:t>2.3.2 随机森林</w:t>
      </w:r>
    </w:p>
    <w:p>
      <w:pPr>
        <w:spacing w:line="360" w:lineRule="auto"/>
        <w:ind w:firstLine="420"/>
      </w:pPr>
      <w:r>
        <w:rPr>
          <w:rFonts w:ascii="宋体" w:hAnsi="宋体" w:eastAsia="宋体"/>
          <w:sz w:val="24"/>
        </w:rPr>
        <w:t>随机森林（Random Forest）是一种基于Bagging的集成学习算法（Breiman, 2001）[8]，通过构建多棵决策树并以多数投票确定最终类别。参数设置：n_estimators=200，max_depth=None，分裂准则为基尼不纯度（Gini impurity），特征采样采用sqrt策略。</w:t>
      </w:r>
    </w:p>
    <w:p>
      <w:pPr>
        <w:pStyle w:val="Heading3"/>
      </w:pPr>
      <w:r>
        <w:rPr>
          <w:rFonts w:ascii="黑体" w:hAnsi="黑体" w:eastAsia="黑体"/>
          <w:color w:val="000000"/>
        </w:rPr>
        <w:t>2.3.3 XGBoost</w:t>
      </w:r>
    </w:p>
    <w:p>
      <w:pPr>
        <w:spacing w:line="360" w:lineRule="auto"/>
        <w:ind w:firstLine="420"/>
      </w:pPr>
      <w:r>
        <w:rPr>
          <w:rFonts w:ascii="宋体" w:hAnsi="宋体" w:eastAsia="宋体"/>
          <w:sz w:val="24"/>
        </w:rPr>
        <w:t>XGBoost（eXtreme Gradient Boosting）是一种基于梯度提升的集成学习算法（Chen &amp; Guestrin, 2016）[9]，通过逐步添加弱学习器（决策树）以最小化带正则项的损失函数。参数设置：learning_rate=0.1，n_estimators=200，max_depth=6，L2正则化λ=1.0，subsample=0.8，colsample_bytree=0.8。目标函数为multi:softprob，评估指标为mlogloss。使用XGBoost v2.0.3（downgraded）以兼容SHAP的TreeExplainer接口。</w:t>
      </w:r>
    </w:p>
    <w:p>
      <w:pPr>
        <w:pStyle w:val="Heading2"/>
      </w:pPr>
      <w:r>
        <w:rPr>
          <w:rFonts w:ascii="黑体" w:hAnsi="黑体" w:eastAsia="黑体"/>
          <w:color w:val="000000"/>
        </w:rPr>
        <w:t>2.4 实验设计</w:t>
      </w:r>
    </w:p>
    <w:p>
      <w:pPr>
        <w:spacing w:line="360" w:lineRule="auto"/>
        <w:ind w:firstLine="420"/>
      </w:pPr>
      <w:r>
        <w:rPr>
          <w:rFonts w:ascii="宋体" w:hAnsi="宋体" w:eastAsia="宋体"/>
          <w:sz w:val="24"/>
        </w:rPr>
        <w:t>本研究设计了层次递进的实验方案：（1）模型×编码矩阵对比：3种模型（LogReg、RF、XGBoost）×7种编码方案的完整实验矩阵，共21组实验，每组重复3次（种子123、456、789），评价指标为准确率（均值±标准差）；（2）可解释性分析：基于k=2 DPC编码的XGBoost模型，采用SHAP（Lundberg &amp; Lee, 2017）[10]进行全局和类别特异性可解释性分析，使用TreeExplainer计算Shapley值的精确近似；（3）生物学佐证：通过SGD GO注释交叉对照和Fisher精确检验验证关键特征的生物学合理性；（4）窗口消融实验：对比完整序列与不同截断窗口的预测性能，解析定位信号的空间分布。</w:t>
      </w:r>
    </w:p>
    <w:p>
      <w:pPr>
        <w:pStyle w:val="Heading2"/>
      </w:pPr>
      <w:r>
        <w:rPr>
          <w:rFonts w:ascii="黑体" w:hAnsi="黑体" w:eastAsia="黑体"/>
          <w:color w:val="000000"/>
        </w:rPr>
        <w:t>2.5 可解释性分析（SHAP）</w:t>
      </w:r>
    </w:p>
    <w:p>
      <w:pPr>
        <w:spacing w:line="360" w:lineRule="auto"/>
        <w:ind w:firstLine="420"/>
      </w:pPr>
      <w:r>
        <w:rPr>
          <w:rFonts w:ascii="宋体" w:hAnsi="宋体" w:eastAsia="宋体"/>
          <w:sz w:val="24"/>
        </w:rPr>
        <w:t>SHAP（SHapley Additive exPlanations）是一种基于博弈论中Shapley值的模型解释方法（Lundberg &amp; Lee, 2017; Shapley, 1953）[10,11]。对于特征f，其SHAP值φ_f反映了f在所有可能特征组合中对预测结果的平均边际贡献：φ_f = Σ_{S⊆F\{f}} [|S|!(|F|-|S|-1)! / |F|!] × [v(S∪{f}) - v(S)]，其中F为所有特征的集合，S为不包含f的特征子集，v为模型预测函数。本研究使用TreeExplainer对基于k=2 DPC编码的XGBoost模型计算SHAP值，并生成蜂群图（beeswarm plot）和各类别Top-5特征条形图。</w:t>
      </w:r>
    </w:p>
    <w:p>
      <w:pPr>
        <w:pStyle w:val="Heading2"/>
      </w:pPr>
      <w:r>
        <w:rPr>
          <w:rFonts w:ascii="黑体" w:hAnsi="黑体" w:eastAsia="黑体"/>
          <w:color w:val="000000"/>
        </w:rPr>
        <w:t>2.6 生物学佐证与外部验证</w:t>
      </w:r>
    </w:p>
    <w:p>
      <w:pPr>
        <w:spacing w:line="360" w:lineRule="auto"/>
        <w:ind w:firstLine="420"/>
      </w:pPr>
      <w:r>
        <w:rPr>
          <w:rFonts w:ascii="宋体" w:hAnsi="宋体" w:eastAsia="宋体"/>
          <w:sz w:val="24"/>
        </w:rPr>
        <w:t>为验证模型的生物学合理性，本研究建立了独立于模型训练的外部佐证框架。首先，通过SGD REST API获取各蛋白质的GO注释（分子功能、生物学过程、细胞组分三个本体类别）。其次，从UniProt中获取已知功能域（domain）和序列特征（motif）注释。</w:t>
      </w:r>
    </w:p>
    <w:p>
      <w:pPr>
        <w:spacing w:line="360" w:lineRule="auto"/>
        <w:ind w:firstLine="420"/>
      </w:pPr>
      <w:r>
        <w:rPr>
          <w:rFonts w:ascii="宋体" w:hAnsi="宋体" w:eastAsia="宋体"/>
          <w:sz w:val="24"/>
        </w:rPr>
        <w:t>对于SHAP识别的关键二肽特征，在各亚细胞定位类别中构建2×2列联表（含该二肽的蛋白质数/不含该二肽的蛋白质数 vs. 属该类别的蛋白质数/不属该类别的蛋白质数），进行Fisher精确检验评估富集或缺失的统计显著性。多重检验校正采用Benjamini-Hochberg方法（Benjamini &amp; Hochberg, 1995）[12]控制错误发现率（FDR），以校正后P&lt;0.05为显著性阈值。</w:t>
      </w:r>
    </w:p>
    <w:p>
      <w:pPr>
        <w:spacing w:line="360" w:lineRule="auto"/>
        <w:ind w:firstLine="420"/>
      </w:pPr>
      <w:r>
        <w:rPr>
          <w:rFonts w:ascii="宋体" w:hAnsi="宋体" w:eastAsia="宋体"/>
          <w:sz w:val="24"/>
        </w:rPr>
        <w:t>显著富集的特征进一步与已发表文献进行对照：包括信号肽疏水核心理论（von Heijne, 1985; Nielsen et al., 1997）[13,14]、核定位信号的碱性氨基酸模式（Kosugi et al., 2009）[15]、线粒体靶向肽的氨基酸组成偏好（von Heijne, 1986; Roise et al., 1986）[16,17]等。与文献一致的特征标记为"已确认"，文献中未见报道的特征标记为"新颖发现"，为后续实验验证提供候选对象。关键的是，所有佐证信号均来源于独立的外部知识库和文献，避免了从模型输出到模型解释再到特征验证的循环论证。</w:t>
      </w:r>
    </w:p>
    <w:p>
      <w:pPr>
        <w:pStyle w:val="Heading2"/>
      </w:pPr>
      <w:r>
        <w:rPr>
          <w:rFonts w:ascii="黑体" w:hAnsi="黑体" w:eastAsia="黑体"/>
          <w:color w:val="000000"/>
        </w:rPr>
        <w:t>2.7 窗口消融实验</w:t>
      </w:r>
    </w:p>
    <w:p>
      <w:pPr>
        <w:spacing w:line="360" w:lineRule="auto"/>
        <w:ind w:firstLine="420"/>
      </w:pPr>
      <w:r>
        <w:rPr>
          <w:rFonts w:ascii="宋体" w:hAnsi="宋体" w:eastAsia="宋体"/>
          <w:sz w:val="24"/>
        </w:rPr>
        <w:t>设计了五种序列窗口方案以探究定位信号的空间分布：（1）完整序列（Full seq）；（2）N端100残基（N-100aa）；（3）N端200残基（N-200aa）；（4）N端+C端各100残基拼接（N+C 100aa）；（5）中间200残基（Mid 200aa，取序列总长度的25%-75%区间）。对于每种窗口方案，重新计算k=1 AAC和k=2 DPC特征，使用XGBoost模型进行训练和测试（3次重复，种子123/456/789），以准确率均值±标准差作为最终结果。通过与完整序列的准确率对比，量化各区域对定位预测的相对贡献。窗口消融实验的设计思路参考了蛋白质结构域和功能位点的进化保守性分析框架（Nielsen et al., 1997; Teufel et al., 2022）[14,18]。</w:t>
      </w:r>
    </w:p>
    <w:p>
      <w:pPr>
        <w:pStyle w:val="Heading2"/>
      </w:pPr>
      <w:r>
        <w:rPr>
          <w:rFonts w:ascii="黑体" w:hAnsi="黑体" w:eastAsia="黑体"/>
          <w:color w:val="000000"/>
        </w:rPr>
        <w:t>2.8 实现平台与可用性</w:t>
      </w:r>
    </w:p>
    <w:p>
      <w:pPr>
        <w:spacing w:line="360" w:lineRule="auto"/>
        <w:ind w:firstLine="420"/>
      </w:pPr>
      <w:r>
        <w:rPr>
          <w:rFonts w:ascii="宋体" w:hAnsi="宋体" w:eastAsia="宋体"/>
          <w:sz w:val="24"/>
        </w:rPr>
        <w:t>全部数据处理、特征工程、模型训练和可解释性分析均基于Python 3.x实现。主要依赖库：scikit-learn v1.7.2（Pedregosa et al., 2011）[19]、XGBoost v2.0.3（Chen &amp; Guestrin, 2016）[9]、SHAP v0.45+（Lundberg &amp; Lee, 2017）[10]、pandas和NumPy（数据处理）、matplotlib和seaborn（可视化）。数据获取使用UniProt REST API和SGD REST API。所有代码和结果文件将通过GitHub公开（链接待最终版本添加）。</w:t>
      </w:r>
    </w:p>
    <w:p>
      <w:pPr>
        <w:pStyle w:val="Heading1"/>
      </w:pPr>
      <w:r>
        <w:rPr>
          <w:rFonts w:ascii="黑体" w:hAnsi="黑体" w:eastAsia="黑体"/>
          <w:color w:val="000000"/>
        </w:rPr>
        <w:t>参考文献</w:t>
      </w:r>
    </w:p>
    <w:p>
      <w:pPr>
        <w:spacing w:line="276" w:lineRule="auto"/>
        <w:ind w:left="420" w:hanging="420"/>
      </w:pPr>
      <w:r>
        <w:rPr>
          <w:rFonts w:ascii="Times New Roman" w:hAnsi="Times New Roman"/>
          <w:sz w:val="20"/>
        </w:rPr>
        <w:t>[1] UniProt Consortium. UniProt: the Universal Protein Knowledgebase in 2023. Nucleic Acids Res, 2023, 51(D1): D523-D531.</w:t>
      </w:r>
    </w:p>
    <w:p>
      <w:pPr>
        <w:spacing w:line="276" w:lineRule="auto"/>
        <w:ind w:left="420" w:hanging="420"/>
      </w:pPr>
      <w:r>
        <w:rPr>
          <w:rFonts w:ascii="Times New Roman" w:hAnsi="Times New Roman"/>
          <w:sz w:val="20"/>
        </w:rPr>
        <w:t>[2] Cherry JM et al. Saccharomyces Genome Database: the genomics resource of budding yeast. Nucleic Acids Res, 2012, 40(D1): D700-D705.</w:t>
      </w:r>
    </w:p>
    <w:p>
      <w:pPr>
        <w:spacing w:line="276" w:lineRule="auto"/>
        <w:ind w:left="420" w:hanging="420"/>
      </w:pPr>
      <w:r>
        <w:rPr>
          <w:rFonts w:ascii="Times New Roman" w:hAnsi="Times New Roman"/>
          <w:sz w:val="20"/>
        </w:rPr>
        <w:t>[3] Ashburner M et al. Gene Ontology: tool for the unification of biology. Nat Genet, 2000, 25(1): 25-29.</w:t>
      </w:r>
    </w:p>
    <w:p>
      <w:pPr>
        <w:spacing w:line="276" w:lineRule="auto"/>
        <w:ind w:left="420" w:hanging="420"/>
      </w:pPr>
      <w:r>
        <w:rPr>
          <w:rFonts w:ascii="Times New Roman" w:hAnsi="Times New Roman"/>
          <w:sz w:val="20"/>
        </w:rPr>
        <w:t>[4] Yu CS et al. iDNA-Prot|dis: identifying DNA-binding proteins by incorporating amino acid distance-pairs and reduced alphabet profile into the general pseudo amino acid composition. PLoS ONE, 2014, 9(9): e106762.</w:t>
      </w:r>
    </w:p>
    <w:p>
      <w:pPr>
        <w:spacing w:line="276" w:lineRule="auto"/>
        <w:ind w:left="420" w:hanging="420"/>
      </w:pPr>
      <w:r>
        <w:rPr>
          <w:rFonts w:ascii="Times New Roman" w:hAnsi="Times New Roman"/>
          <w:sz w:val="20"/>
        </w:rPr>
        <w:t>[5] Chen Z et al. iFeature: a Python package and web server for features extraction and selection from protein and peptide sequences. Bioinformatics, 2018, 34(14): 2499-2502.</w:t>
      </w:r>
    </w:p>
    <w:p>
      <w:pPr>
        <w:spacing w:line="276" w:lineRule="auto"/>
        <w:ind w:left="420" w:hanging="420"/>
      </w:pPr>
      <w:r>
        <w:rPr>
          <w:rFonts w:ascii="Times New Roman" w:hAnsi="Times New Roman"/>
          <w:sz w:val="20"/>
        </w:rPr>
        <w:t>[6] Bishop CM. Pattern Recognition and Machine Learning. Springer, 2006.</w:t>
      </w:r>
    </w:p>
    <w:p>
      <w:pPr>
        <w:spacing w:line="276" w:lineRule="auto"/>
        <w:ind w:left="420" w:hanging="420"/>
      </w:pPr>
      <w:r>
        <w:rPr>
          <w:rFonts w:ascii="Times New Roman" w:hAnsi="Times New Roman"/>
          <w:sz w:val="20"/>
        </w:rPr>
        <w:t>[7] Hastie T, Tibshirani R, Friedman J. The Elements of Statistical Learning. 2nd ed. Springer, 2009.</w:t>
      </w:r>
    </w:p>
    <w:p>
      <w:pPr>
        <w:spacing w:line="276" w:lineRule="auto"/>
        <w:ind w:left="420" w:hanging="420"/>
      </w:pPr>
      <w:r>
        <w:rPr>
          <w:rFonts w:ascii="Times New Roman" w:hAnsi="Times New Roman"/>
          <w:sz w:val="20"/>
        </w:rPr>
        <w:t>[8] Breiman L. Random Forests. Mach Learn, 2001, 45(1): 5-32.</w:t>
      </w:r>
    </w:p>
    <w:p>
      <w:pPr>
        <w:spacing w:line="276" w:lineRule="auto"/>
        <w:ind w:left="420" w:hanging="420"/>
      </w:pPr>
      <w:r>
        <w:rPr>
          <w:rFonts w:ascii="Times New Roman" w:hAnsi="Times New Roman"/>
          <w:sz w:val="20"/>
        </w:rPr>
        <w:t>[9] Chen T, Guestrin C. XGBoost: A Scalable Tree Boosting System. KDD, 2016: 785-794.</w:t>
      </w:r>
    </w:p>
    <w:p>
      <w:pPr>
        <w:spacing w:line="276" w:lineRule="auto"/>
        <w:ind w:left="420" w:hanging="420"/>
      </w:pPr>
      <w:r>
        <w:rPr>
          <w:rFonts w:ascii="Times New Roman" w:hAnsi="Times New Roman"/>
          <w:sz w:val="20"/>
        </w:rPr>
        <w:t>[10] Lundberg SM, Lee SI. A Unified Approach to Interpreting Model Predictions. NeurIPS, 2017: 4765-4774.</w:t>
      </w:r>
    </w:p>
    <w:p>
      <w:pPr>
        <w:spacing w:line="276" w:lineRule="auto"/>
        <w:ind w:left="420" w:hanging="420"/>
      </w:pPr>
      <w:r>
        <w:rPr>
          <w:rFonts w:ascii="Times New Roman" w:hAnsi="Times New Roman"/>
          <w:sz w:val="20"/>
        </w:rPr>
        <w:t>[11] Shapley LS. A Value for n-Person Games. In: Kuhn HW, Tucker AW (eds), Contributions to the Theory of Games II. Princeton University Press, 1953: 307-317.</w:t>
      </w:r>
    </w:p>
    <w:p>
      <w:pPr>
        <w:spacing w:line="276" w:lineRule="auto"/>
        <w:ind w:left="420" w:hanging="420"/>
      </w:pPr>
      <w:r>
        <w:rPr>
          <w:rFonts w:ascii="Times New Roman" w:hAnsi="Times New Roman"/>
          <w:sz w:val="20"/>
        </w:rPr>
        <w:t>[12] Benjamini Y, Hochberg Y. Controlling the False Discovery Rate: A Practical and Powerful Approach to Multiple Testing. J R Stat Soc B, 1995, 57(1): 289-300.</w:t>
      </w:r>
    </w:p>
    <w:p>
      <w:pPr>
        <w:spacing w:line="276" w:lineRule="auto"/>
        <w:ind w:left="420" w:hanging="420"/>
      </w:pPr>
      <w:r>
        <w:rPr>
          <w:rFonts w:ascii="Times New Roman" w:hAnsi="Times New Roman"/>
          <w:sz w:val="20"/>
        </w:rPr>
        <w:t>[13] von Heijne G. Signal sequences: the limits of variation. J Mol Biol, 1985, 184(1): 99-105.</w:t>
      </w:r>
    </w:p>
    <w:p>
      <w:pPr>
        <w:spacing w:line="276" w:lineRule="auto"/>
        <w:ind w:left="420" w:hanging="420"/>
      </w:pPr>
      <w:r>
        <w:rPr>
          <w:rFonts w:ascii="Times New Roman" w:hAnsi="Times New Roman"/>
          <w:sz w:val="20"/>
        </w:rPr>
        <w:t>[14] Nielsen H et al. Identification of prokaryotic and eukaryotic signal peptides and prediction of their cleavage sites. Protein Eng, 1997, 10(1): 1-6.</w:t>
      </w:r>
    </w:p>
    <w:p>
      <w:pPr>
        <w:spacing w:line="276" w:lineRule="auto"/>
        <w:ind w:left="420" w:hanging="420"/>
      </w:pPr>
      <w:r>
        <w:rPr>
          <w:rFonts w:ascii="Times New Roman" w:hAnsi="Times New Roman"/>
          <w:sz w:val="20"/>
        </w:rPr>
        <w:t>[15] Kosugi S et al. Systematic identification of cell cycle-dependent yeast nucleocytoplasmic shuttling proteins by prediction of composite motifs. PNAS, 2009, 106(25): 10171-10176.</w:t>
      </w:r>
    </w:p>
    <w:p>
      <w:pPr>
        <w:spacing w:line="276" w:lineRule="auto"/>
        <w:ind w:left="420" w:hanging="420"/>
      </w:pPr>
      <w:r>
        <w:rPr>
          <w:rFonts w:ascii="Times New Roman" w:hAnsi="Times New Roman"/>
          <w:sz w:val="20"/>
        </w:rPr>
        <w:t>[16] von Heijne G. Mitochondrial targeting sequences may form amphiphilic helices. EMBO J, 1986, 5(6): 1335-1342.</w:t>
      </w:r>
    </w:p>
    <w:p>
      <w:pPr>
        <w:spacing w:line="276" w:lineRule="auto"/>
        <w:ind w:left="420" w:hanging="420"/>
      </w:pPr>
      <w:r>
        <w:rPr>
          <w:rFonts w:ascii="Times New Roman" w:hAnsi="Times New Roman"/>
          <w:sz w:val="20"/>
        </w:rPr>
        <w:t>[17] Roise D et al. A chemically synthesized pre-sequence of an imported mitochondrial protein can form an amphiphilic helix and perturb natural and artificial phospholipid bilayers. EMBO J, 1986, 5(6): 1327-1334.</w:t>
      </w:r>
    </w:p>
    <w:p>
      <w:pPr>
        <w:spacing w:line="276" w:lineRule="auto"/>
        <w:ind w:left="420" w:hanging="420"/>
      </w:pPr>
      <w:r>
        <w:rPr>
          <w:rFonts w:ascii="Times New Roman" w:hAnsi="Times New Roman"/>
          <w:sz w:val="20"/>
        </w:rPr>
        <w:t>[18] Teufel F et al. SignalP 6.0 predicts all five types of signal peptides using protein language models. Nat Biotechnol, 2022, 40(7): 1023-1025.</w:t>
      </w:r>
    </w:p>
    <w:p>
      <w:pPr>
        <w:spacing w:line="276" w:lineRule="auto"/>
        <w:ind w:left="420" w:hanging="420"/>
      </w:pPr>
      <w:r>
        <w:rPr>
          <w:rFonts w:ascii="Times New Roman" w:hAnsi="Times New Roman"/>
          <w:sz w:val="20"/>
        </w:rPr>
        <w:t>[19] Pedregosa F et al. Scikit-learn: Machine Learning in Python. J Mach Learn Res, 2011, 12: 2825-2830.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