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结果</w:t>
      </w:r>
    </w:p>
    <w:p>
      <w:pPr>
        <w:pStyle w:val="Heading2"/>
      </w:pPr>
      <w:r>
        <w:rPr>
          <w:rFonts w:ascii="黑体" w:hAnsi="黑体" w:eastAsia="黑体"/>
          <w:color w:val="000000"/>
        </w:rPr>
        <w:t>3.1 多模型×多编码方案的预测性能对比</w:t>
      </w:r>
    </w:p>
    <w:p>
      <w:pPr>
        <w:spacing w:line="360" w:lineRule="auto"/>
        <w:ind w:firstLine="420"/>
      </w:pPr>
      <w:r>
        <w:rPr>
          <w:rFonts w:ascii="宋体" w:hAnsi="宋体" w:eastAsia="宋体"/>
          <w:sz w:val="24"/>
        </w:rPr>
        <w:t>为系统评估不同特征提取策略对蛋白质亚细胞定位预测的影响，本研究构建了7种编码方案×3种机器学习模型的完整实验矩阵，每组实验重复3次（随机种子123、456、789），以准确率（Accuracy）作为主要评价指标。7种编码方案包括：单氨基酸组成（k=1 AAC，20维）、二肽组成（k=2 DPC，400维）、三肽组成（k=3 TPC，8000维）、k=1与k=2融合（420维）、二进制编码（5000维）、整数编码（1000维）和One-hot展平编码（20000维）。3种模型包括逻辑回归（LogReg）、随机森林（RF）和XGBoost。</w:t>
      </w:r>
    </w:p>
    <w:p>
      <w:pPr>
        <w:spacing w:line="360" w:lineRule="auto"/>
        <w:ind w:firstLine="420"/>
      </w:pPr>
      <w:r>
        <w:rPr>
          <w:rFonts w:ascii="宋体" w:hAnsi="宋体" w:eastAsia="宋体"/>
          <w:sz w:val="24"/>
        </w:rPr>
        <w:t>在单一编码方案中，k=2 DPC（400维）表现最为稳定，XGBoost准确率为62.4%±0.6%，而k=3 TPC（8000维）虽然特征维度更高，但XGBoost准确率仅为59.2%±0.7%，低于k=2 DPC，提示三肽级别的序列上下文可能引入了冗余特征。尽管如此，所有k-mer频率编码方案的性能均显著优于基于位置特异性氨基酸身份的离散编码，表明位置无关的氨基酸组成和局部共现模式是亚细胞定位预测中最重要的序列特征。</w:t>
      </w:r>
    </w:p>
    <w:p>
      <w:pPr>
        <w:spacing w:line="360" w:lineRule="auto"/>
        <w:ind w:firstLine="420"/>
      </w:pPr>
      <w:r>
        <w:rPr>
          <w:rFonts w:ascii="宋体" w:hAnsi="宋体" w:eastAsia="宋体"/>
          <w:sz w:val="24"/>
        </w:rPr>
        <w:t>值得注意的是，高维离散编码方案在不截断序列的条件下表现显著优于预期。One-hot展平编码（98,200维）的XGBoost准确率达到54.6%±0.8%，远高于五分类随机基线（20%），表明位置特异性的氨基酸身份信息携带了实质性的亚细胞定位信号。Binary编码（24,550维）和Integer编码（4,910维）的XGBoost准确率分别为49.1%±0.8%和51.5%±0.3%，均显著超出随机水平。</w:t>
      </w:r>
    </w:p>
    <w:p>
      <w:pPr>
        <w:spacing w:line="360" w:lineRule="auto"/>
        <w:ind w:firstLine="420"/>
      </w:pPr>
      <w:r>
        <w:rPr>
          <w:rFonts w:ascii="宋体" w:hAnsi="宋体" w:eastAsia="宋体"/>
          <w:sz w:val="24"/>
        </w:rPr>
        <w:t>此外，逻辑回归在k=1 AAC（20维）编码下取得了64.3%±1.2%的准确率，高于其在更高维编码方案下的表现，这表明线性模型在低维特征空间中具有更强的泛化能力。随机森林在多数编码方案下的准确率介于55%至60%之间，表现相对稳定但不如XGBoost。</w:t>
      </w:r>
    </w:p>
    <w:p>
      <w:pPr>
        <w:pStyle w:val="Heading2"/>
      </w:pPr>
      <w:r>
        <w:rPr>
          <w:rFonts w:ascii="黑体" w:hAnsi="黑体" w:eastAsia="黑体"/>
          <w:color w:val="000000"/>
        </w:rPr>
        <w:t>3.2 基于SHAP的可解释性分析</w:t>
      </w:r>
    </w:p>
    <w:p>
      <w:pPr>
        <w:spacing w:line="360" w:lineRule="auto"/>
        <w:ind w:firstLine="420"/>
      </w:pPr>
      <w:r>
        <w:rPr>
          <w:rFonts w:ascii="宋体" w:hAnsi="宋体" w:eastAsia="宋体"/>
          <w:sz w:val="24"/>
        </w:rPr>
        <w:t>为进一步揭示XGBoost模型的决策机制，本研究采用SHAP（SHapley Additive exPlanations）方法对基于k=2 DPC编码的XGBoost模型进行全局和局部可解释性分析。SHAP基于博弈论中的Shapley值，为每个特征分配一个贡献值，反映该特征对模型预测结果的边际贡献。</w:t>
      </w:r>
    </w:p>
    <w:p>
      <w:pPr>
        <w:spacing w:line="360" w:lineRule="auto"/>
        <w:ind w:firstLine="420"/>
      </w:pPr>
      <w:r>
        <w:rPr>
          <w:rFonts w:ascii="宋体" w:hAnsi="宋体" w:eastAsia="宋体"/>
          <w:sz w:val="24"/>
        </w:rPr>
        <w:t>全局SHAP分析显示（图2A），模型预测中贡献最大的15个二肽特征依次为：LF（0.4439）、DD（0.3427）、KR（0.2189）、FF（0.2184）、IK（0.2102）、KV（0.2032）、DI（0.1813）、SN（0.1575）、SD（0.1563）、ED（0.1424）、DY（0.1422）、LI（0.1386）、FK（0.1373）、FL（0.1342）、TS（0.1326）。其中，含苯丙氨酸（F）的二肽（LF、FF）和含碱性氨基酸的二肽（KR）占据主导地位，提示疏水性残基和碱性残基在亚细胞定位决策中起关键作用。</w:t>
      </w:r>
    </w:p>
    <w:p>
      <w:pPr>
        <w:spacing w:line="360" w:lineRule="auto"/>
        <w:ind w:firstLine="420"/>
      </w:pPr>
      <w:r>
        <w:rPr>
          <w:rFonts w:ascii="宋体" w:hAnsi="宋体" w:eastAsia="宋体"/>
          <w:sz w:val="24"/>
        </w:rPr>
        <w:t>类别特异性SHAP分析进一步揭示了不同亚细胞定位类别的特征偏好（图2B）。细胞质（Cytoplasm）类中，HG、LQ、VD等二肽贡献最大，提示细胞质蛋白富含组氨酸和谷氨酰胺残基；膜/分泌途径（Membrane/Secretory）类中，FF、LF、FI等疏水性二肽显著富集，与信号肽（signal peptide）的疏水核心区域高度一致；线粒体（Mitochondria）类中，DD、EE等酸性二肽的SHAP贡献为负值，表明酸性残基的缺失是线粒体蛋白的重要特征；细胞核（Nucleus）类中，KR、RK等碱性二肽贡献最大，与经典核定位信号（NLS）的碱性氨基酸模式高度吻合。</w:t>
      </w:r>
    </w:p>
    <w:p>
      <w:pPr>
        <w:pStyle w:val="Heading2"/>
      </w:pPr>
      <w:r>
        <w:rPr>
          <w:rFonts w:ascii="黑体" w:hAnsi="黑体" w:eastAsia="黑体"/>
          <w:color w:val="000000"/>
        </w:rPr>
        <w:t>3.3 关键序列特征的生物学佐证</w:t>
      </w:r>
    </w:p>
    <w:p>
      <w:pPr>
        <w:spacing w:line="360" w:lineRule="auto"/>
        <w:ind w:firstLine="420"/>
      </w:pPr>
      <w:r>
        <w:rPr>
          <w:rFonts w:ascii="宋体" w:hAnsi="宋体" w:eastAsia="宋体"/>
          <w:sz w:val="24"/>
        </w:rPr>
        <w:t>为验证SHAP分析所识别关键二肽特征的生物学合理性，本研究将模型发现与SGD（Saccharomyces Genome Database）注释及已发表文献进行交叉对照。对每种关键二肽在各亚细胞定位类别中的富集程度进行Fisher精确检验，并采用Benjamini-Hochberg方法校正多重检验（表2）。</w:t>
      </w:r>
    </w:p>
    <w:p>
      <w:pPr>
        <w:spacing w:line="360" w:lineRule="auto"/>
        <w:ind w:firstLine="420"/>
      </w:pPr>
      <w:r>
        <w:rPr>
          <w:rFonts w:ascii="宋体" w:hAnsi="宋体" w:eastAsia="宋体"/>
          <w:sz w:val="24"/>
        </w:rPr>
        <w:t>结果表明，膜/分泌途径类中FF（富集比2.69，校正P&lt;0.001）和LF（富集比1.86，校正P&lt;0.001）的显著富集与经典信号肽理论高度一致。Kalderon等（1984）和Robbins等（1991）的研究表明，信号肽的疏水核心区域（h-region）富含苯丙氨酸、亮氨酸等疏水性氨基酸，这对蛋白质通过Sec61转位子插入内质网膜至关重要。模型所捕获的FF/LF二肽特征正是对这一经典生物学规律的自动学习。</w:t>
      </w:r>
    </w:p>
    <w:p>
      <w:pPr>
        <w:spacing w:line="360" w:lineRule="auto"/>
        <w:ind w:firstLine="420"/>
      </w:pPr>
      <w:r>
        <w:rPr>
          <w:rFonts w:ascii="宋体" w:hAnsi="宋体" w:eastAsia="宋体"/>
          <w:sz w:val="24"/>
        </w:rPr>
        <w:t>细胞核类中KR（富集比1.41，校正P&lt;0.001）的富集与经典核定位信号（NLS）的碱性氨基酸模式一致。Kosugi等（2009）系统分析了酵母核定位信号，发现NLS通常包含连续的碱性氨基酸残基（如KKKRK、KKKR等），其中赖氨酸（K）和精氨酸（R）的组合是最常见的NLS模式。模型所识别的KR二肽正是这一规律的局部特征体现。</w:t>
      </w:r>
    </w:p>
    <w:p>
      <w:pPr>
        <w:spacing w:line="360" w:lineRule="auto"/>
        <w:ind w:firstLine="420"/>
      </w:pPr>
      <w:r>
        <w:rPr>
          <w:rFonts w:ascii="宋体" w:hAnsi="宋体" w:eastAsia="宋体"/>
          <w:sz w:val="24"/>
        </w:rPr>
        <w:t>线粒体类中DD（富集比0.62，校正P&lt;0.001）和EE（富集比0.75，校正P&lt;0.001）的显著缺失与线粒体靶向肽（MTP）的组成特征高度吻合。von Heijne（1986，1989）的经典研究表明，线粒体靶向肽通常呈两亲性α-螺旋结构，富含碱性和疏水性氨基酸，但显著缺乏酸性氨基酸（天冬氨酸D和谷氨酸E）。这一"缺失模式"是模型判断蛋白质是否定位于线粒体的重要负向信号。</w:t>
      </w:r>
    </w:p>
    <w:p>
      <w:pPr>
        <w:spacing w:line="360" w:lineRule="auto"/>
        <w:ind w:firstLine="420"/>
      </w:pPr>
      <w:r>
        <w:rPr>
          <w:rFonts w:ascii="宋体" w:hAnsi="宋体" w:eastAsia="宋体"/>
          <w:sz w:val="24"/>
        </w:rPr>
        <w:t>此外，本研究还发现了若干新颖的序列特征。线粒体类中KG二肽的富集（富集比1.45，校正P&lt;0.001）提示赖氨酸-甘氨酸组合可能在线粒体蛋白定位中发挥尚未被充分认识的作用。细胞质类中HG二肽的轻微富集（富集比1.12，校正P=0.04）则提示组氨酸-甘氨酸组合可能与细胞质蛋白的某些功能特征相关。这些发现为后续实验验证提供了新的候选特征。</w:t>
      </w:r>
    </w:p>
    <w:p>
      <w:pPr>
        <w:pStyle w:val="Heading2"/>
      </w:pPr>
      <w:r>
        <w:rPr>
          <w:rFonts w:ascii="黑体" w:hAnsi="黑体" w:eastAsia="黑体"/>
          <w:color w:val="000000"/>
        </w:rPr>
        <w:t>3.4 序列窗口消融实验</w:t>
      </w:r>
    </w:p>
    <w:p>
      <w:pPr>
        <w:spacing w:line="360" w:lineRule="auto"/>
        <w:ind w:firstLine="420"/>
      </w:pPr>
      <w:r>
        <w:rPr>
          <w:rFonts w:ascii="宋体" w:hAnsi="宋体" w:eastAsia="宋体"/>
          <w:sz w:val="24"/>
        </w:rPr>
        <w:t>为探究蛋白质序列中亚细胞定位信号的空间分布特征，本研究设计了窗口消融实验。以XGBoost为基线模型，分别使用完整序列（Full seq）、N端100残基（N-100aa）、N端200残基（N-200aa）、N端+C端各100残基（N+C 100aa）和中间200残基（Mid 200aa）作为输入特征进行预测。</w:t>
      </w:r>
    </w:p>
    <w:p>
      <w:pPr>
        <w:spacing w:line="360" w:lineRule="auto"/>
        <w:ind w:firstLine="420"/>
      </w:pPr>
      <w:r>
        <w:rPr>
          <w:rFonts w:ascii="宋体" w:hAnsi="宋体" w:eastAsia="宋体"/>
          <w:sz w:val="24"/>
        </w:rPr>
        <w:t>结果表明（图3），k=2 DPC编码在完整序列上取得最高准确率63.1%±0.3%，显著优于N端窗口（N-100aa：57.3%±0.7%，N-200aa：57.4%±0.7%）和中间窗口（Mid 200aa：57.1%±0.2%）。N+C端组合窗口（59.2%±0.2%）优于单独的N端窗口，但低于完整序列，表明蛋白质的亚细胞定位信号并非集中于某一特定区域，而是分散分布于整条多肽链中。</w:t>
      </w:r>
    </w:p>
    <w:p>
      <w:pPr>
        <w:spacing w:line="360" w:lineRule="auto"/>
        <w:ind w:firstLine="420"/>
      </w:pPr>
      <w:r>
        <w:rPr>
          <w:rFonts w:ascii="宋体" w:hAnsi="宋体" w:eastAsia="宋体"/>
          <w:sz w:val="24"/>
        </w:rPr>
        <w:t>k=1 AAC编码呈现类似趋势：完整序列准确率62.4%±0.5%，N端窗口准确率降至54.1%±0.5%，中间窗口降至56.4%±1.1%。两种编码方案的消融结果一致表明，仅使用N端或中间区域的序列信息不足以完全捕获亚细胞定位所需的特征，完整序列中分散分布的局部二肽模式共同构成了定位决策的分子基础。</w:t>
      </w:r>
    </w:p>
    <w:p>
      <w:pPr>
        <w:spacing w:line="360" w:lineRule="auto"/>
        <w:ind w:firstLine="420"/>
      </w:pPr>
      <w:r>
        <w:rPr>
          <w:rFonts w:ascii="宋体" w:hAnsi="宋体" w:eastAsia="宋体"/>
          <w:sz w:val="24"/>
        </w:rPr>
        <w:t>这一结果与经典信号肽理论有所不同。虽然信号肽通常位于N端（von Heijne, 1985），但蛋白质的最终亚细胞定位还受到跨膜域（transmembrane domain）、核定位信号（NLS）、线粒体靶向肽（MTP）等多种定位信号的共同调控，这些信号可分布于蛋白质序列的任意位置。因此，完整序列所包含的全局特征对于准确预测亚细胞定位至关重要。</w:t>
      </w:r>
    </w:p>
    <w:tbl>
      <w:tblPr>
        <w:tblW w:type="auto" w:w="0"/>
        <w:jc w:val="center"/>
        <w:tblLook w:firstColumn="1" w:firstRow="1" w:lastColumn="0" w:lastRow="0" w:noHBand="0" w:noVBand="1" w:val="04A0"/>
      </w:tblPr>
      <w:tblGrid>
        <w:gridCol w:w="1728"/>
        <w:gridCol w:w="1728"/>
        <w:gridCol w:w="1728"/>
        <w:gridCol w:w="1728"/>
        <w:gridCol w:w="1728"/>
      </w:tblGrid>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op w:val="single" w:sz="12" w:color="000000"/>
              <w:bottom w:val="single" w:sz="8" w:color="000000"/>
            </w:tcBorders>
          </w:tcPr>
          <w:p>
            <w:pPr>
              <w:jc w:val="center"/>
            </w:pPr>
            <w:r>
              <w:rPr>
                <w:b/>
                <w:color w:val="000000"/>
              </w:rPr>
            </w:r>
            <w:r>
              <w:rPr>
                <w:rFonts w:ascii="Times New Roman" w:hAnsi="Times New Roman"/>
                <w:b/>
                <w:color w:val="000000"/>
                <w:sz w:val="18"/>
              </w:rPr>
              <w:t>Dipeptide</w:t>
            </w:r>
          </w:p>
        </w:tc>
        <w:tc>
          <w:tcPr>
            <w:tcW w:type="dxa" w:w="1728"/>
            <w:shd w:fill="ffffff" w:val="clear"/>
            <w:tcBorders>
              <w:top w:val="nil" w:sz="0" w:color="auto"/>
              <w:left w:val="nil" w:sz="0" w:color="auto"/>
              <w:bottom w:val="nil" w:sz="0" w:color="auto"/>
              <w:right w:val="nil" w:sz="0" w:color="auto"/>
              <w:insideH w:val="nil" w:sz="0" w:color="auto"/>
              <w:insideV w:val="nil" w:sz="0" w:color="auto"/>
              <w:top w:val="single" w:sz="12" w:color="000000"/>
              <w:bottom w:val="single" w:sz="8" w:color="000000"/>
            </w:tcBorders>
          </w:tcPr>
          <w:p>
            <w:pPr>
              <w:jc w:val="center"/>
            </w:pPr>
            <w:r>
              <w:rPr>
                <w:b/>
                <w:color w:val="000000"/>
              </w:rPr>
            </w:r>
            <w:r>
              <w:rPr>
                <w:rFonts w:ascii="Times New Roman" w:hAnsi="Times New Roman"/>
                <w:b/>
                <w:color w:val="000000"/>
                <w:sz w:val="18"/>
              </w:rPr>
              <w:t>Class</w:t>
            </w:r>
          </w:p>
        </w:tc>
        <w:tc>
          <w:tcPr>
            <w:tcW w:type="dxa" w:w="1728"/>
            <w:shd w:fill="ffffff" w:val="clear"/>
            <w:tcBorders>
              <w:top w:val="nil" w:sz="0" w:color="auto"/>
              <w:left w:val="nil" w:sz="0" w:color="auto"/>
              <w:bottom w:val="nil" w:sz="0" w:color="auto"/>
              <w:right w:val="nil" w:sz="0" w:color="auto"/>
              <w:insideH w:val="nil" w:sz="0" w:color="auto"/>
              <w:insideV w:val="nil" w:sz="0" w:color="auto"/>
              <w:top w:val="single" w:sz="12" w:color="000000"/>
              <w:bottom w:val="single" w:sz="8" w:color="000000"/>
            </w:tcBorders>
          </w:tcPr>
          <w:p>
            <w:pPr>
              <w:jc w:val="center"/>
            </w:pPr>
            <w:r>
              <w:rPr>
                <w:b/>
                <w:color w:val="000000"/>
              </w:rPr>
            </w:r>
            <w:r>
              <w:rPr>
                <w:rFonts w:ascii="Times New Roman" w:hAnsi="Times New Roman"/>
                <w:b/>
                <w:color w:val="000000"/>
                <w:sz w:val="18"/>
              </w:rPr>
              <w:t>Enrich. Ratio</w:t>
            </w:r>
          </w:p>
        </w:tc>
        <w:tc>
          <w:tcPr>
            <w:tcW w:type="dxa" w:w="1728"/>
            <w:shd w:fill="ffffff" w:val="clear"/>
            <w:tcBorders>
              <w:top w:val="nil" w:sz="0" w:color="auto"/>
              <w:left w:val="nil" w:sz="0" w:color="auto"/>
              <w:bottom w:val="nil" w:sz="0" w:color="auto"/>
              <w:right w:val="nil" w:sz="0" w:color="auto"/>
              <w:insideH w:val="nil" w:sz="0" w:color="auto"/>
              <w:insideV w:val="nil" w:sz="0" w:color="auto"/>
              <w:top w:val="single" w:sz="12" w:color="000000"/>
              <w:bottom w:val="single" w:sz="8" w:color="000000"/>
            </w:tcBorders>
          </w:tcPr>
          <w:p>
            <w:pPr>
              <w:jc w:val="center"/>
            </w:pPr>
            <w:r>
              <w:rPr>
                <w:b/>
                <w:color w:val="000000"/>
              </w:rPr>
            </w:r>
            <w:r>
              <w:rPr>
                <w:rFonts w:ascii="Times New Roman" w:hAnsi="Times New Roman"/>
                <w:b/>
                <w:color w:val="000000"/>
                <w:sz w:val="18"/>
              </w:rPr>
              <w:t>p-adj</w:t>
            </w:r>
          </w:p>
        </w:tc>
        <w:tc>
          <w:tcPr>
            <w:tcW w:type="dxa" w:w="1728"/>
            <w:shd w:fill="ffffff" w:val="clear"/>
            <w:tcBorders>
              <w:top w:val="nil" w:sz="0" w:color="auto"/>
              <w:left w:val="nil" w:sz="0" w:color="auto"/>
              <w:bottom w:val="nil" w:sz="0" w:color="auto"/>
              <w:right w:val="nil" w:sz="0" w:color="auto"/>
              <w:insideH w:val="nil" w:sz="0" w:color="auto"/>
              <w:insideV w:val="nil" w:sz="0" w:color="auto"/>
              <w:top w:val="single" w:sz="12" w:color="000000"/>
              <w:bottom w:val="single" w:sz="8" w:color="000000"/>
            </w:tcBorders>
          </w:tcPr>
          <w:p>
            <w:pPr>
              <w:jc w:val="center"/>
            </w:pPr>
            <w:r>
              <w:rPr>
                <w:b/>
                <w:color w:val="000000"/>
              </w:rPr>
            </w:r>
            <w:r>
              <w:rPr>
                <w:rFonts w:ascii="Times New Roman" w:hAnsi="Times New Roman"/>
                <w:b/>
                <w:color w:val="000000"/>
                <w:sz w:val="18"/>
              </w:rPr>
              <w:t>Literature Status</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FF</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Membrane/Secretory</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2.69</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&lt;0.001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Confirmed: signal peptide h-region (von Heijne, 1985)</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LF</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Membrane/Secretory</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1.86</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&lt;0.001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Confirmed: signal peptide h-region (Nielsen et al., 1997)</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FI</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Membrane/Secretory</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1.76</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&lt;0.001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Novel finding</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KR</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Nucleus</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1.41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&lt;0.001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Confirmed: classical NLS basic motif (Kosugi et al., 2009)</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RK</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Nucleus</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1.27</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0.002</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Partly supported</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DD</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Nucleus</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1.60</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&lt;0.001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Enriched: acidic patch hypothesis</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DD</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Mitochondria</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0.62</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&lt;0.001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Depleted: MTP lacks acidic residues (von Heijne, 1986)</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KG</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Mitochondria</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1.45</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&lt;0.001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Novel finding</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EE</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Mitochondria</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0.75</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&lt;0.001</w:t>
            </w:r>
          </w:p>
        </w:tc>
        <w:tc>
          <w:tcPr>
            <w:tcW w:type="dxa" w:w="1728"/>
            <w:shd w:fill="ffffff" w:val="clear"/>
            <w:tcBorders>
              <w:top w:val="nil" w:sz="0" w:color="auto"/>
              <w:left w:val="nil" w:sz="0" w:color="auto"/>
              <w:bottom w:val="nil" w:sz="0" w:color="auto"/>
              <w:right w:val="nil" w:sz="0" w:color="auto"/>
              <w:insideH w:val="nil" w:sz="0" w:color="auto"/>
              <w:insideV w:val="nil" w:sz="0" w:color="auto"/>
            </w:tcBorders>
          </w:tcPr>
          <w:p>
            <w:pPr>
              <w:jc w:val="center"/>
            </w:pPr>
            <w:r>
              <w:rPr>
                <w:color w:val="000000"/>
                <w:sz w:val="18"/>
              </w:rPr>
            </w:r>
            <w:r>
              <w:rPr>
                <w:rFonts w:ascii="Times New Roman" w:hAnsi="Times New Roman"/>
                <w:color w:val="000000"/>
                <w:sz w:val="18"/>
              </w:rPr>
              <w:t>Depleted: MTP amphiphilic helix (Roise et al., 1986)</w:t>
            </w:r>
          </w:p>
        </w:tc>
      </w:tr>
      <w:tr>
        <w:trPr>
          <w:trHeight w:val="510"/>
        </w:trPr>
        <w:tc>
          <w:tcPr>
            <w:tcW w:type="dxa" w:w="1728"/>
            <w:shd w:fill="ffffff" w:val="clear"/>
            <w:tcBorders>
              <w:top w:val="nil" w:sz="0" w:color="auto"/>
              <w:left w:val="nil" w:sz="0" w:color="auto"/>
              <w:bottom w:val="nil" w:sz="0" w:color="auto"/>
              <w:right w:val="nil" w:sz="0" w:color="auto"/>
              <w:insideH w:val="nil" w:sz="0" w:color="auto"/>
              <w:insideV w:val="nil" w:sz="0" w:color="auto"/>
              <w:bottom w:val="single" w:sz="12" w:color="000000"/>
            </w:tcBorders>
          </w:tcPr>
          <w:p>
            <w:pPr>
              <w:jc w:val="center"/>
            </w:pPr>
            <w:r>
              <w:rPr>
                <w:color w:val="000000"/>
                <w:sz w:val="18"/>
              </w:rPr>
            </w:r>
            <w:r>
              <w:rPr>
                <w:rFonts w:ascii="Times New Roman" w:hAnsi="Times New Roman"/>
                <w:color w:val="000000"/>
                <w:sz w:val="18"/>
              </w:rPr>
              <w:t>HG</w:t>
            </w:r>
          </w:p>
        </w:tc>
        <w:tc>
          <w:tcPr>
            <w:tcW w:type="dxa" w:w="1728"/>
            <w:shd w:fill="ffffff" w:val="clear"/>
            <w:tcBorders>
              <w:top w:val="nil" w:sz="0" w:color="auto"/>
              <w:left w:val="nil" w:sz="0" w:color="auto"/>
              <w:bottom w:val="nil" w:sz="0" w:color="auto"/>
              <w:right w:val="nil" w:sz="0" w:color="auto"/>
              <w:insideH w:val="nil" w:sz="0" w:color="auto"/>
              <w:insideV w:val="nil" w:sz="0" w:color="auto"/>
              <w:bottom w:val="single" w:sz="12" w:color="000000"/>
            </w:tcBorders>
          </w:tcPr>
          <w:p>
            <w:pPr>
              <w:jc w:val="center"/>
            </w:pPr>
            <w:r>
              <w:rPr>
                <w:color w:val="000000"/>
                <w:sz w:val="18"/>
              </w:rPr>
            </w:r>
            <w:r>
              <w:rPr>
                <w:rFonts w:ascii="Times New Roman" w:hAnsi="Times New Roman"/>
                <w:color w:val="000000"/>
                <w:sz w:val="18"/>
              </w:rPr>
              <w:t>Cytoplasm</w:t>
            </w:r>
          </w:p>
        </w:tc>
        <w:tc>
          <w:tcPr>
            <w:tcW w:type="dxa" w:w="1728"/>
            <w:shd w:fill="ffffff" w:val="clear"/>
            <w:tcBorders>
              <w:top w:val="nil" w:sz="0" w:color="auto"/>
              <w:left w:val="nil" w:sz="0" w:color="auto"/>
              <w:bottom w:val="nil" w:sz="0" w:color="auto"/>
              <w:right w:val="nil" w:sz="0" w:color="auto"/>
              <w:insideH w:val="nil" w:sz="0" w:color="auto"/>
              <w:insideV w:val="nil" w:sz="0" w:color="auto"/>
              <w:bottom w:val="single" w:sz="12" w:color="000000"/>
            </w:tcBorders>
          </w:tcPr>
          <w:p>
            <w:pPr>
              <w:jc w:val="center"/>
            </w:pPr>
            <w:r>
              <w:rPr>
                <w:color w:val="000000"/>
                <w:sz w:val="18"/>
              </w:rPr>
            </w:r>
            <w:r>
              <w:rPr>
                <w:rFonts w:ascii="Times New Roman" w:hAnsi="Times New Roman"/>
                <w:color w:val="000000"/>
                <w:sz w:val="18"/>
              </w:rPr>
              <w:t>1.12</w:t>
            </w:r>
          </w:p>
        </w:tc>
        <w:tc>
          <w:tcPr>
            <w:tcW w:type="dxa" w:w="1728"/>
            <w:shd w:fill="ffffff" w:val="clear"/>
            <w:tcBorders>
              <w:top w:val="nil" w:sz="0" w:color="auto"/>
              <w:left w:val="nil" w:sz="0" w:color="auto"/>
              <w:bottom w:val="nil" w:sz="0" w:color="auto"/>
              <w:right w:val="nil" w:sz="0" w:color="auto"/>
              <w:insideH w:val="nil" w:sz="0" w:color="auto"/>
              <w:insideV w:val="nil" w:sz="0" w:color="auto"/>
              <w:bottom w:val="single" w:sz="12" w:color="000000"/>
            </w:tcBorders>
          </w:tcPr>
          <w:p>
            <w:pPr>
              <w:jc w:val="center"/>
            </w:pPr>
            <w:r>
              <w:rPr>
                <w:color w:val="000000"/>
                <w:sz w:val="18"/>
              </w:rPr>
            </w:r>
            <w:r>
              <w:rPr>
                <w:rFonts w:ascii="Times New Roman" w:hAnsi="Times New Roman"/>
                <w:color w:val="000000"/>
                <w:sz w:val="18"/>
              </w:rPr>
              <w:t>0.04</w:t>
            </w:r>
          </w:p>
        </w:tc>
        <w:tc>
          <w:tcPr>
            <w:tcW w:type="dxa" w:w="1728"/>
            <w:shd w:fill="ffffff" w:val="clear"/>
            <w:tcBorders>
              <w:top w:val="nil" w:sz="0" w:color="auto"/>
              <w:left w:val="nil" w:sz="0" w:color="auto"/>
              <w:bottom w:val="nil" w:sz="0" w:color="auto"/>
              <w:right w:val="nil" w:sz="0" w:color="auto"/>
              <w:insideH w:val="nil" w:sz="0" w:color="auto"/>
              <w:insideV w:val="nil" w:sz="0" w:color="auto"/>
              <w:bottom w:val="single" w:sz="12" w:color="000000"/>
            </w:tcBorders>
          </w:tcPr>
          <w:p>
            <w:pPr>
              <w:jc w:val="center"/>
            </w:pPr>
            <w:r>
              <w:rPr>
                <w:color w:val="000000"/>
                <w:sz w:val="18"/>
              </w:rPr>
            </w:r>
            <w:r>
              <w:rPr>
                <w:rFonts w:ascii="Times New Roman" w:hAnsi="Times New Roman"/>
                <w:color w:val="000000"/>
                <w:sz w:val="18"/>
              </w:rPr>
              <w:t>Novel finding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