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F3826">
      <w:pPr>
        <w:pStyle w:val="153"/>
      </w:pPr>
    </w:p>
    <w:p w14:paraId="2AF9E461">
      <w:pPr>
        <w:pStyle w:val="15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安视播</w:t>
      </w:r>
    </w:p>
    <w:p w14:paraId="6607C78C">
      <w:pPr>
        <w:pStyle w:val="153"/>
      </w:pPr>
      <w:r>
        <w:t xml:space="preserve">基于安路FPGA的</w:t>
      </w:r>
    </w:p>
    <w:p w14:paraId="34FF8C35">
      <w:pPr>
        <w:pStyle w:val="153"/>
      </w:pPr>
      <w:r>
        <w:t xml:space="preserve">校园电子广告牌</w:t>
      </w:r>
    </w:p>
    <w:p w14:paraId="23F0CC30">
      <w:pPr>
        <w:pStyle w:val="153"/>
      </w:pPr>
      <w:r>
        <w:t xml:space="preserve">与应急信息发布系统</w:t>
      </w:r>
    </w:p>
    <w:p w14:paraId="7A09FAD8">
      <w:pPr>
        <w:pStyle w:val="153"/>
      </w:pPr>
    </w:p>
    <w:p w14:paraId="08DD1453">
      <w:pPr>
        <w:pStyle w:val="156"/>
      </w:pPr>
      <w:r>
        <w:t xml:space="preserve">开发板型号：HX4S20C</w:t>
      </w:r>
    </w:p>
    <w:p w14:paraId="40A20D57">
      <w:pPr>
        <w:pStyle w:val="156"/>
      </w:pPr>
      <w:r>
        <w:t xml:space="preserve">主芯片（FPGA）： EG4S20BG256</w:t>
      </w:r>
    </w:p>
    <w:p w14:paraId="31FFB2C2">
      <w:pPr>
        <w:pStyle w:val="55"/>
        <w:jc w:val="center"/>
      </w:pPr>
      <w:r>
        <w:t xml:space="preserve">2026-10</w:t>
      </w:r>
    </w:p>
    <w:p w14:paraId="54D2C31D">
      <w:r>
        <w:br w:type="page"/>
      </w:r>
    </w:p>
    <w:p w14:paraId="4F1E0E14">
      <w:pPr>
        <w:pStyle w:val="160"/>
        <w:outlineLvl w:val="9"/>
      </w:pPr>
      <w:r>
        <w:t xml:space="preserve">目录</w:t>
      </w:r>
    </w:p>
    <w:p w14:paraId="69FB77F3">
      <w:pPr>
        <w:pStyle w:val="59"/>
        <w:tabs>
          <w:tab w:val="right" w:leader="dot" w:pos="8220"/>
        </w:tabs>
      </w:pPr>
      <w:r>
        <w:fldChar w:fldCharType="begin"/>
      </w:r>
      <w:r>
        <w:instrText> TOC \o "1-2" \h \z \u </w:instrText>
      </w:r>
      <w:r>
        <w:fldChar w:fldCharType="separate"/>
      </w:r>
      <w:r>
        <w:t xml:space="preserve">1 概述</w:t>
      </w:r>
      <w:r>
        <w:tab/>
      </w:r>
      <w:r>
        <w:fldChar w:fldCharType="begin"/>
      </w:r>
      <w:r>
        <w:instrText> PAGEREF AnshiboH0 \h </w:instrText>
      </w:r>
      <w:r>
        <w:fldChar w:fldCharType="separate"/>
      </w:r>
      <w:r>
        <w:t>—</w:t>
      </w:r>
      <w:r>
        <w:fldChar w:fldCharType="end"/>
      </w:r>
    </w:p>
    <w:p w14:paraId="69FB77F3">
      <w:pPr>
        <w:pStyle w:val="59"/>
        <w:tabs>
          <w:tab w:val="right" w:leader="dot" w:pos="8220"/>
        </w:tabs>
      </w:pPr>
      <w:r>
        <w:t xml:space="preserve">2 功能与原理</w:t>
      </w:r>
      <w:r>
        <w:tab/>
      </w:r>
      <w:r>
        <w:fldChar w:fldCharType="begin"/>
      </w:r>
      <w:r>
        <w:instrText> PAGEREF AnshiboH1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2.1 HDMI显示与音频链路</w:t>
      </w:r>
      <w:r>
        <w:tab/>
      </w:r>
      <w:r>
        <w:fldChar w:fldCharType="begin"/>
      </w:r>
      <w:r>
        <w:instrText> PAGEREF AnshiboH2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2.2 TF资源与BMP读取</w:t>
      </w:r>
      <w:r>
        <w:tab/>
      </w:r>
      <w:r>
        <w:fldChar w:fldCharType="begin"/>
      </w:r>
      <w:r>
        <w:instrText> PAGEREF AnshiboH3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2.3 系统架构与时钟结构</w:t>
      </w:r>
      <w:r>
        <w:tab/>
      </w:r>
      <w:r>
        <w:fldChar w:fldCharType="begin"/>
      </w:r>
      <w:r>
        <w:instrText> PAGEREF AnshiboH4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2.4 缩放 转场与图层处理</w:t>
      </w:r>
      <w:r>
        <w:tab/>
      </w:r>
      <w:r>
        <w:fldChar w:fldCharType="begin"/>
      </w:r>
      <w:r>
        <w:instrText> PAGEREF AnshiboH5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2.5 分级预警与音画联动</w:t>
      </w:r>
      <w:r>
        <w:tab/>
      </w:r>
      <w:r>
        <w:fldChar w:fldCharType="begin"/>
      </w:r>
      <w:r>
        <w:instrText> PAGEREF AnshiboH6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2.6 可选串口发布</w:t>
      </w:r>
      <w:r>
        <w:tab/>
      </w:r>
      <w:r>
        <w:fldChar w:fldCharType="begin"/>
      </w:r>
      <w:r>
        <w:instrText> PAGEREF AnshiboH7 \h </w:instrText>
      </w:r>
      <w:r>
        <w:fldChar w:fldCharType="separate"/>
      </w:r>
      <w:r>
        <w:t>—</w:t>
      </w:r>
      <w:r>
        <w:fldChar w:fldCharType="end"/>
      </w:r>
    </w:p>
    <w:p w14:paraId="69FB77F3">
      <w:pPr>
        <w:pStyle w:val="59"/>
        <w:tabs>
          <w:tab w:val="right" w:leader="dot" w:pos="8220"/>
        </w:tabs>
      </w:pPr>
      <w:r>
        <w:t xml:space="preserve">3 模块接口</w:t>
      </w:r>
      <w:r>
        <w:tab/>
      </w:r>
      <w:r>
        <w:fldChar w:fldCharType="begin"/>
      </w:r>
      <w:r>
        <w:instrText> PAGEREF AnshiboH8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3.1 顶层模块</w:t>
      </w:r>
      <w:r>
        <w:tab/>
      </w:r>
      <w:r>
        <w:fldChar w:fldCharType="begin"/>
      </w:r>
      <w:r>
        <w:instrText> PAGEREF AnshiboH9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3.2 TF与BMP模块</w:t>
      </w:r>
      <w:r>
        <w:tab/>
      </w:r>
      <w:r>
        <w:fldChar w:fldCharType="begin"/>
      </w:r>
      <w:r>
        <w:instrText> PAGEREF AnshiboH10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3.3 HDMI视频与发射模块</w:t>
      </w:r>
      <w:r>
        <w:tab/>
      </w:r>
      <w:r>
        <w:fldChar w:fldCharType="begin"/>
      </w:r>
      <w:r>
        <w:instrText> PAGEREF AnshiboH11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3.4 FIFO与SDRAM模块</w:t>
      </w:r>
      <w:r>
        <w:tab/>
      </w:r>
      <w:r>
        <w:fldChar w:fldCharType="begin"/>
      </w:r>
      <w:r>
        <w:instrText> PAGEREF AnshiboH12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3.5 音频与应急门控模块</w:t>
      </w:r>
      <w:r>
        <w:tab/>
      </w:r>
      <w:r>
        <w:fldChar w:fldCharType="begin"/>
      </w:r>
      <w:r>
        <w:instrText> PAGEREF AnshiboH13 \h </w:instrText>
      </w:r>
      <w:r>
        <w:fldChar w:fldCharType="separate"/>
      </w:r>
      <w:r>
        <w:t>—</w:t>
      </w:r>
      <w:r>
        <w:fldChar w:fldCharType="end"/>
      </w:r>
    </w:p>
    <w:p w14:paraId="69FB77F3">
      <w:pPr>
        <w:pStyle w:val="59"/>
        <w:tabs>
          <w:tab w:val="right" w:leader="dot" w:pos="8220"/>
        </w:tabs>
      </w:pPr>
      <w:r>
        <w:t xml:space="preserve">4 实验步骤</w:t>
      </w:r>
      <w:r>
        <w:tab/>
      </w:r>
      <w:r>
        <w:fldChar w:fldCharType="begin"/>
      </w:r>
      <w:r>
        <w:instrText> PAGEREF AnshiboH14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4.1 连接与资源准备</w:t>
      </w:r>
      <w:r>
        <w:tab/>
      </w:r>
      <w:r>
        <w:fldChar w:fldCharType="begin"/>
      </w:r>
      <w:r>
        <w:instrText> PAGEREF AnshiboH15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4.2 编译 固化与操作</w:t>
      </w:r>
      <w:r>
        <w:tab/>
      </w:r>
      <w:r>
        <w:fldChar w:fldCharType="begin"/>
      </w:r>
      <w:r>
        <w:instrText> PAGEREF AnshiboH16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4.3 功能测试与实现结果</w:t>
      </w:r>
      <w:r>
        <w:tab/>
      </w:r>
      <w:r>
        <w:fldChar w:fldCharType="begin"/>
      </w:r>
      <w:r>
        <w:instrText> PAGEREF AnshiboH17 \h </w:instrText>
      </w:r>
      <w:r>
        <w:fldChar w:fldCharType="separate"/>
      </w:r>
      <w:r>
        <w:t>—</w:t>
      </w:r>
      <w:r>
        <w:fldChar w:fldCharType="end"/>
      </w:r>
    </w:p>
    <w:p w14:paraId="301099D9">
      <w:pPr>
        <w:pStyle w:val="73"/>
        <w:tabs>
          <w:tab w:val="right" w:leader="dot" w:pos="8220"/>
        </w:tabs>
      </w:pPr>
      <w:r>
        <w:t xml:space="preserve">4.4 异常检查与交付说明</w:t>
      </w:r>
      <w:r>
        <w:tab/>
      </w:r>
      <w:r>
        <w:fldChar w:fldCharType="begin"/>
      </w:r>
      <w:r>
        <w:instrText> PAGEREF AnshiboH18 \h </w:instrText>
      </w:r>
      <w:r>
        <w:fldChar w:fldCharType="separate"/>
      </w:r>
      <w:r>
        <w:t>—</w:t>
      </w:r>
      <w:r>
        <w:fldChar w:fldCharType="end"/>
      </w:r>
      <w:r>
        <w:fldChar w:fldCharType="end"/>
      </w:r>
    </w:p>
    <w:p>
      <w:r>
        <w:br w:type="page"/>
      </w:r>
    </w:p>
    <w:p w14:paraId="45335DDB">
      <w:pPr>
        <w:pStyle w:val="160"/>
        <w:keepNext/>
        <w:outlineLvl w:val="0"/>
      </w:pPr>
      <w:bookmarkStart w:id="100" w:name="AnshiboH0"/>
      <w:r>
        <w:t xml:space="preserve">1 概述</w:t>
      </w:r>
      <w:bookmarkEnd w:id="100"/>
    </w:p>
    <w:p w14:paraId="1D62B51D">
      <w:pPr>
        <w:pStyle w:val="151"/>
      </w:pPr>
      <w:r>
        <w:t xml:space="preserve">安视播面向教学楼、校园公共大厅和实验室入口的信息展示与应急提示。系统以FPGA为核心，从TF卡读取校园海报、课程占用安排、活动通知及安全提示，输出HDMI画面；发生预警时显示分级信息，并按等级输出提示音。</w:t>
      </w:r>
    </w:p>
    <w:p w14:paraId="1D62B51D">
      <w:pPr>
        <w:pStyle w:val="151"/>
      </w:pPr>
      <w:r>
        <w:t xml:space="preserve">日常信息与应急资源角色独立。NORMAL目录支持最多16张合法BMP，ALERT/EVAC.BMP固定作为应急底图。修改合规素材或可选播放列表后重新上电即可生效，不需要修改RTL或重新烧录。</w:t>
      </w:r>
    </w:p>
    <w:p w14:paraId="1D62B51D">
      <w:pPr>
        <w:pStyle w:val="151"/>
        <w:keepNext/>
      </w:pPr>
      <w:r>
        <w:rPr>
          <w:b/>
        </w:rPr>
        <w:t xml:space="preserve">主要功能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7476"/>
      </w:tblGrid>
      <w:tr>
        <w:trPr>
          <w:cantSplit/>
          <w:tblHeader/>
        </w:trPr>
        <w:tc>
          <w:tcPr>
            <w:tcW w:w="2162" w:type="dxa"/>
          </w:tcPr>
          <w:p w14:paraId="66029419">
            <w:r>
              <w:rPr>
                <w:b/>
              </w:rPr>
              <w:t xml:space="preserve">功能</w:t>
            </w:r>
          </w:p>
        </w:tc>
        <w:tc>
          <w:tcPr>
            <w:tcW w:w="7476" w:type="dxa"/>
          </w:tcPr>
          <w:p w14:paraId="66029419">
            <w:r>
              <w:rPr>
                <w:b/>
              </w:rPr>
              <w:t xml:space="preserve">实现方式</w:t>
            </w:r>
          </w:p>
        </w:tc>
      </w:tr>
      <w:tr>
        <w:trPr>
          <w:cantSplit/>
        </w:trPr>
        <w:tc>
          <w:tcPr>
            <w:tcW w:w="2162" w:type="dxa"/>
          </w:tcPr>
          <w:p w14:paraId="66029419">
            <w:r>
              <w:t xml:space="preserve">资源与轮播</w:t>
            </w:r>
          </w:p>
        </w:tc>
        <w:tc>
          <w:tcPr>
            <w:tcW w:w="7476" w:type="dxa"/>
          </w:tcPr>
          <w:p w14:paraId="66029419">
            <w:r>
              <w:t xml:space="preserve">FAT32只读目录和簇链解析，编号排序与可选播放列表</w:t>
            </w:r>
          </w:p>
        </w:tc>
      </w:tr>
      <w:tr>
        <w:trPr>
          <w:cantSplit/>
        </w:trPr>
        <w:tc>
          <w:tcPr>
            <w:tcW w:w="2162" w:type="dxa"/>
          </w:tcPr>
          <w:p w14:paraId="66029419">
            <w:r>
              <w:t xml:space="preserve">图像适配</w:t>
            </w:r>
          </w:p>
        </w:tc>
        <w:tc>
          <w:tcPr>
            <w:tcW w:w="7476" w:type="dxa"/>
          </w:tcPr>
          <w:p w14:paraId="66029419">
            <w:r>
              <w:t xml:space="preserve">RGB24无压缩BMP，最近邻缩放至640×480</w:t>
            </w:r>
          </w:p>
        </w:tc>
      </w:tr>
      <w:tr>
        <w:trPr>
          <w:cantSplit/>
        </w:trPr>
        <w:tc>
          <w:tcPr>
            <w:tcW w:w="2162" w:type="dxa"/>
          </w:tcPr>
          <w:p w14:paraId="66029419">
            <w:r>
              <w:t xml:space="preserve">缓存与转场</w:t>
            </w:r>
          </w:p>
        </w:tc>
        <w:tc>
          <w:tcPr>
            <w:tcW w:w="7476" w:type="dxa"/>
          </w:tcPr>
          <w:p w14:paraId="66029419">
            <w:r>
              <w:t xml:space="preserve">两帧SDRAM缓存、下一张预加载、SLIDE/FADE/CUT</w:t>
            </w:r>
          </w:p>
        </w:tc>
      </w:tr>
      <w:tr>
        <w:trPr>
          <w:cantSplit/>
        </w:trPr>
        <w:tc>
          <w:tcPr>
            <w:tcW w:w="2162" w:type="dxa"/>
          </w:tcPr>
          <w:p w14:paraId="66029419">
            <w:r>
              <w:t xml:space="preserve">图层与参数</w:t>
            </w:r>
          </w:p>
        </w:tc>
        <w:tc>
          <w:tcPr>
            <w:tcW w:w="7476" w:type="dxa"/>
          </w:tcPr>
          <w:p w14:paraId="66029419">
            <w:r>
              <w:t xml:space="preserve">滚动字幕、运行时间、状态、五档亮度与对比度</w:t>
            </w:r>
          </w:p>
        </w:tc>
      </w:tr>
      <w:tr>
        <w:trPr>
          <w:cantSplit/>
        </w:trPr>
        <w:tc>
          <w:tcPr>
            <w:tcW w:w="2162" w:type="dxa"/>
          </w:tcPr>
          <w:p w14:paraId="66029419">
            <w:r>
              <w:t xml:space="preserve">应急与音频</w:t>
            </w:r>
          </w:p>
        </w:tc>
        <w:tc>
          <w:tcPr>
            <w:tcW w:w="7476" w:type="dxa"/>
          </w:tcPr>
          <w:p w14:paraId="66029419">
            <w:r>
              <w:t xml:space="preserve">三级预警，本地优先，提示音与应急显示帧门控</w:t>
            </w:r>
          </w:p>
        </w:tc>
      </w:tr>
      <w:tr>
        <w:trPr>
          <w:cantSplit/>
        </w:trPr>
        <w:tc>
          <w:tcPr>
            <w:tcW w:w="2162" w:type="dxa"/>
          </w:tcPr>
          <w:p w14:paraId="66029419">
            <w:r>
              <w:t xml:space="preserve">额外管理</w:t>
            </w:r>
          </w:p>
        </w:tc>
        <w:tc>
          <w:tcPr>
            <w:tcW w:w="7476" w:type="dxa"/>
          </w:tcPr>
          <w:p w14:paraId="66029419">
            <w:r>
              <w:t xml:space="preserve">串口更新普通字幕，事务式发布等级、区域与正文</w:t>
            </w:r>
          </w:p>
        </w:tc>
      </w:tr>
    </w:tbl>
    <w:p w14:paraId="1D62B51D">
      <w:pPr>
        <w:pStyle w:val="151"/>
        <w:keepNext/>
      </w:pPr>
      <w:r>
        <w:rPr>
          <w:b/>
        </w:rPr>
        <w:t xml:space="preserve">应用流程</w:t>
      </w:r>
    </w:p>
    <w:p w14:paraId="1D62B51D">
      <w:pPr>
        <w:pStyle w:val="151"/>
      </w:pPr>
      <w:r>
        <w:t xml:space="preserve">常态显示海报与滚动通知；一级提醒保持日常播放；二级显示警戒页并间歇发声；三级显示应急底图与疏散文字并持续交替报警。进入和解除应急均绕过动画，解除后恢复日常资源和字幕。</w:t>
      </w:r>
    </w:p>
    <w:p w14:paraId="1D62B51D">
      <w:pPr>
        <w:pStyle w:val="151"/>
      </w:pPr>
      <w:r>
        <w:t xml:space="preserve">核心图像解析、缓存、渲染、仲裁及音频生成均由FPGA实现。串口电脑作为可选发布入口，不生成展示画面；断开电脑后本地按键、轮播、调节和应急仍可运行。系统不提供火情检测或自动疏散路线规划。</w:t>
      </w:r>
    </w:p>
    <w:p>
      <w:r>
        <w:br w:type="page"/>
      </w:r>
    </w:p>
    <w:p w14:paraId="45335DDB">
      <w:pPr>
        <w:pStyle w:val="160"/>
        <w:keepNext/>
        <w:outlineLvl w:val="0"/>
      </w:pPr>
      <w:bookmarkStart w:id="101" w:name="AnshiboH1"/>
      <w:r>
        <w:t xml:space="preserve">2 功能与原理</w:t>
      </w:r>
      <w:bookmarkEnd w:id="101"/>
    </w:p>
    <w:p w14:paraId="2AA86CA1">
      <w:pPr>
        <w:pStyle w:val="162"/>
        <w:keepNext/>
        <w:outlineLvl w:val="1"/>
      </w:pPr>
      <w:bookmarkStart w:id="102" w:name="AnshiboH2"/>
      <w:r>
        <w:t xml:space="preserve">2.1 HDMI显示与音频链路</w:t>
      </w:r>
      <w:bookmarkEnd w:id="102"/>
    </w:p>
    <w:p w14:paraId="1D62B51D">
      <w:pPr>
        <w:pStyle w:val="151"/>
      </w:pPr>
      <w:r>
        <w:t xml:space="preserve">视频和音频均通过开发板HDMI_B接口输出。HDMI链路采用三个TMDS数据通道和一个时钟通道；本系统由安路HDMI 1.4b发射IP完成视频与音频组包及编码，PHY将10位通道数据串行化输出。</w:t>
      </w:r>
    </w:p>
    <w:p w14:paraId="1D62B51D">
      <w:pPr>
        <w:pStyle w:val="151"/>
      </w:pPr>
      <w:r>
        <w:t xml:space="preserve">显示采用RGB888格式。video_timing_data生成行场同步与DE，读FIFO输出像素，经延迟对齐和campus_osd处理，再由video_rgb_to_axis_640x480转换为带帧起始、行结束和有效标志的视频流，供HDMI发射核消费。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6961"/>
      </w:tblGrid>
      <w:tr>
        <w:trPr>
          <w:cantSplit/>
          <w:tblHeader/>
        </w:trPr>
        <w:tc>
          <w:tcPr>
            <w:tcW w:w="2677" w:type="dxa"/>
          </w:tcPr>
          <w:p w14:paraId="66029419">
            <w:r>
              <w:rPr>
                <w:b/>
              </w:rPr>
              <w:t xml:space="preserve">通路</w:t>
            </w:r>
          </w:p>
        </w:tc>
        <w:tc>
          <w:tcPr>
            <w:tcW w:w="6961" w:type="dxa"/>
          </w:tcPr>
          <w:p w14:paraId="66029419">
            <w:r>
              <w:rPr>
                <w:b/>
              </w:rPr>
              <w:t xml:space="preserve">数据及用途</w:t>
            </w:r>
          </w:p>
        </w:tc>
      </w:tr>
      <w:tr>
        <w:trPr>
          <w:cantSplit/>
        </w:trPr>
        <w:tc>
          <w:tcPr>
            <w:tcW w:w="2677" w:type="dxa"/>
          </w:tcPr>
          <w:p w14:paraId="66029419">
            <w:r>
              <w:t xml:space="preserve">视频输入</w:t>
            </w:r>
          </w:p>
        </w:tc>
        <w:tc>
          <w:tcPr>
            <w:tcW w:w="6961" w:type="dxa"/>
          </w:tcPr>
          <w:p w14:paraId="66029419">
            <w:r>
              <w:t xml:space="preserve">24位RGB，DE有效区为640×480</w:t>
            </w:r>
          </w:p>
        </w:tc>
      </w:tr>
      <w:tr>
        <w:trPr>
          <w:cantSplit/>
        </w:trPr>
        <w:tc>
          <w:tcPr>
            <w:tcW w:w="2677" w:type="dxa"/>
          </w:tcPr>
          <w:p w14:paraId="66029419">
            <w:r>
              <w:t xml:space="preserve">视频流标志</w:t>
            </w:r>
          </w:p>
        </w:tc>
        <w:tc>
          <w:tcPr>
            <w:tcW w:w="6961" w:type="dxa"/>
          </w:tcPr>
          <w:p w14:paraId="66029419">
            <w:r>
              <w:t xml:space="preserve">user表示帧起始，last表示行结束，valid表示有效像素</w:t>
            </w:r>
          </w:p>
        </w:tc>
      </w:tr>
      <w:tr>
        <w:trPr>
          <w:cantSplit/>
        </w:trPr>
        <w:tc>
          <w:tcPr>
            <w:tcW w:w="2677" w:type="dxa"/>
          </w:tcPr>
          <w:p w14:paraId="66029419">
            <w:r>
              <w:t xml:space="preserve">音频输入</w:t>
            </w:r>
          </w:p>
        </w:tc>
        <w:tc>
          <w:tcPr>
            <w:tcW w:w="6961" w:type="dxa"/>
          </w:tcPr>
          <w:p w14:paraId="66029419">
            <w:r>
              <w:t xml:space="preserve">24位左右声道PCM及样本有效</w:t>
            </w:r>
          </w:p>
        </w:tc>
      </w:tr>
      <w:tr>
        <w:trPr>
          <w:cantSplit/>
        </w:trPr>
        <w:tc>
          <w:tcPr>
            <w:tcW w:w="2677" w:type="dxa"/>
          </w:tcPr>
          <w:p w14:paraId="66029419">
            <w:r>
              <w:t xml:space="preserve">音频时钟恢复</w:t>
            </w:r>
          </w:p>
        </w:tc>
        <w:tc>
          <w:tcPr>
            <w:tcW w:w="6961" w:type="dxa"/>
          </w:tcPr>
          <w:p w14:paraId="66029419">
            <w:r>
              <w:t xml:space="preserve">N=6144，CTS按样本节拍和视频时钟计算</w:t>
            </w:r>
          </w:p>
        </w:tc>
      </w:tr>
      <w:tr>
        <w:trPr>
          <w:cantSplit/>
        </w:trPr>
        <w:tc>
          <w:tcPr>
            <w:tcW w:w="2677" w:type="dxa"/>
          </w:tcPr>
          <w:p w14:paraId="66029419">
            <w:r>
              <w:t xml:space="preserve">DDC</w:t>
            </w:r>
          </w:p>
        </w:tc>
        <w:tc>
          <w:tcPr>
            <w:tcW w:w="6961" w:type="dxa"/>
          </w:tcPr>
          <w:p w14:paraId="66029419">
            <w:r>
              <w:t xml:space="preserve">启动触发EDID读取，输出SCL及双向SDA</w:t>
            </w:r>
          </w:p>
        </w:tc>
      </w:tr>
      <w:tr>
        <w:trPr>
          <w:cantSplit/>
        </w:trPr>
        <w:tc>
          <w:tcPr>
            <w:tcW w:w="2677" w:type="dxa"/>
          </w:tcPr>
          <w:p w14:paraId="66029419">
            <w:r>
              <w:t xml:space="preserve">物理输出</w:t>
            </w:r>
          </w:p>
        </w:tc>
        <w:tc>
          <w:tcPr>
            <w:tcW w:w="6961" w:type="dxa"/>
          </w:tcPr>
          <w:p w14:paraId="66029419">
            <w:r>
              <w:t xml:space="preserve">TMDS的CLK/D0/D1/D2，约束绑定HDMI_B</w:t>
            </w:r>
          </w:p>
        </w:tc>
      </w:tr>
    </w:tbl>
    <w:p w14:paraId="1D62B51D">
      <w:pPr>
        <w:pStyle w:val="151"/>
        <w:keepNext/>
      </w:pPr>
      <w:r>
        <w:rPr>
          <w:b/>
        </w:rPr>
        <w:t xml:space="preserve">音频与终端条件</w:t>
      </w:r>
    </w:p>
    <w:p w14:paraId="1D62B51D">
      <w:pPr>
        <w:pStyle w:val="151"/>
      </w:pPr>
      <w:r>
        <w:t xml:space="preserve">提示音由FPGA相位累加器生成，经过I2S发送、I2S_receiver接收及ACR参数计算进入HDMI核。普通模式输出静音，音频时钟与零样本传输仍持续，不从TF读取音频文件。</w:t>
      </w:r>
    </w:p>
    <w:p w14:paraId="1D62B51D">
      <w:pPr>
        <w:pStyle w:val="151"/>
      </w:pPr>
      <w:r>
        <w:t xml:space="preserve">需要支持HDMI音频的显示或音频接收设备。若显示器通过自身音频输出接音箱，应启用HDMI声音并检查音量；单独将音箱连接电脑不能播放开发板HDMI音频。</w:t>
      </w:r>
    </w:p>
    <w:p w14:paraId="1D62B51D">
      <w:pPr>
        <w:pStyle w:val="151"/>
      </w:pPr>
      <w:r>
        <w:t xml:space="preserve">当前有效区640×480，总时序800×525，像素时钟25 MHz，刷新率约59.52 Hz。帧缓存完整后才允许显示图片，首图加载等待不等于HDMI链路故障。</w:t>
      </w:r>
    </w:p>
    <w:p w14:paraId="2AA86CA1">
      <w:pPr>
        <w:pStyle w:val="162"/>
        <w:keepNext/>
        <w:outlineLvl w:val="1"/>
      </w:pPr>
      <w:bookmarkStart w:id="103" w:name="AnshiboH3"/>
      <w:r>
        <w:t xml:space="preserve">2.2 TF资源与BMP读取</w:t>
      </w:r>
      <w:bookmarkEnd w:id="103"/>
    </w:p>
    <w:p w14:paraId="1D62B51D">
      <w:pPr>
        <w:pStyle w:val="151"/>
      </w:pPr>
      <w:r>
        <w:t xml:space="preserve">TF卡使用FAT32、512字节扇区。fat32_resources检查卷几何与活动FAT，读取根目录及资源子目录，沿文件簇链映射逻辑扇区；支持MBR分区和无分区表卷，图片不必连续存放。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9"/>
        <w:gridCol w:w="6549"/>
      </w:tblGrid>
      <w:tr>
        <w:trPr>
          <w:cantSplit/>
          <w:tblHeader/>
        </w:trPr>
        <w:tc>
          <w:tcPr>
            <w:tcW w:w="3089" w:type="dxa"/>
          </w:tcPr>
          <w:p w14:paraId="66029419">
            <w:r>
              <w:rPr>
                <w:b/>
              </w:rPr>
              <w:t xml:space="preserve">路径</w:t>
            </w:r>
          </w:p>
        </w:tc>
        <w:tc>
          <w:tcPr>
            <w:tcW w:w="6549" w:type="dxa"/>
          </w:tcPr>
          <w:p w14:paraId="66029419">
            <w:r>
              <w:rPr>
                <w:b/>
              </w:rPr>
              <w:t xml:space="preserve">约定</w:t>
            </w:r>
          </w:p>
        </w:tc>
      </w:tr>
      <w:tr>
        <w:trPr>
          <w:cantSplit/>
        </w:trPr>
        <w:tc>
          <w:tcPr>
            <w:tcW w:w="3089" w:type="dxa"/>
          </w:tcPr>
          <w:p w14:paraId="66029419">
            <w:r>
              <w:t xml:space="preserve">NORMAL/NNN.BMP</w:t>
            </w:r>
          </w:p>
        </w:tc>
        <w:tc>
          <w:tcPr>
            <w:tcW w:w="6549" w:type="dxa"/>
          </w:tcPr>
          <w:p w14:paraId="66029419">
            <w:r>
              <w:t xml:space="preserve">编号000至999，最多16张合法日常图，默认编号顺序</w:t>
            </w:r>
          </w:p>
        </w:tc>
      </w:tr>
      <w:tr>
        <w:trPr>
          <w:cantSplit/>
        </w:trPr>
        <w:tc>
          <w:tcPr>
            <w:tcW w:w="3089" w:type="dxa"/>
          </w:tcPr>
          <w:p w14:paraId="66029419">
            <w:r>
              <w:t xml:space="preserve">ALERT/EVAC.BMP</w:t>
            </w:r>
          </w:p>
        </w:tc>
        <w:tc>
          <w:tcPr>
            <w:tcW w:w="6549" w:type="dxa"/>
          </w:tcPr>
          <w:p w14:paraId="66029419">
            <w:r>
              <w:t xml:space="preserve">独立应急底图，不占日常图片名额</w:t>
            </w:r>
          </w:p>
        </w:tc>
      </w:tr>
      <w:tr>
        <w:trPr>
          <w:cantSplit/>
        </w:trPr>
        <w:tc>
          <w:tcPr>
            <w:tcW w:w="3089" w:type="dxa"/>
          </w:tcPr>
          <w:p w14:paraId="66029419">
            <w:r>
              <w:t xml:space="preserve">PLAYLIST.TXT</w:t>
            </w:r>
          </w:p>
        </w:tc>
        <w:tc>
          <w:tcPr>
            <w:tcW w:w="6549" w:type="dxa"/>
          </w:tcPr>
          <w:p w14:paraId="66029419">
            <w:r>
              <w:t xml:space="preserve">可选，最多512字节和16条；如001.BMP,5，停留1至60秒</w:t>
            </w:r>
          </w:p>
        </w:tc>
      </w:tr>
    </w:tbl>
    <w:p w14:paraId="1D62B51D">
      <w:pPr>
        <w:pStyle w:val="151"/>
      </w:pPr>
      <w:r>
        <w:t xml:space="preserve">仅使用8.3短文件名，不支持中文长文件名、exFAT或运行中热更新。未配置有效播放列表时按编号排序，每张默认停留5秒。列表可改变顺序、重复引用或选取部分图片，SHOW选择的是播放条目，不是文件名编号。</w:t>
      </w:r>
    </w:p>
    <w:p w14:paraId="1D62B51D">
      <w:pPr>
        <w:pStyle w:val="151"/>
        <w:keepNext/>
      </w:pPr>
      <w:r>
        <w:rPr>
          <w:b/>
        </w:rPr>
        <w:t xml:space="preserve">BMP头与像素数据</w:t>
      </w:r>
    </w:p>
    <w:p w14:paraId="1D62B51D">
      <w:pPr>
        <w:pStyle w:val="151"/>
      </w:pPr>
      <w:r>
        <w:t xml:space="preserve">bmp_read检查BM标识、数据偏移、位深、压缩与尺寸，只接收正高度24位无压缩BMP，宽1至1280、高1至960。典型文件头14字节、信息头40字节，实际读取以头中数据偏移为准，不把所有文件的像素起点强制固定为54字节。</w:t>
      </w:r>
    </w:p>
    <w:p w14:paraId="1D62B51D">
      <w:pPr>
        <w:pStyle w:val="151"/>
      </w:pPr>
      <w:r>
        <w:t xml:space="preserve">像素采用BGR字节排列，解析后转换为RGB。行字节数为4×ceil(3×W/4)，包含4字节对齐填充。正高度BMP自底向上保存，内存写地址进行垂直翻转，使显示方向正确。</w:t>
      </w:r>
    </w:p>
    <w:p w14:paraId="1D62B51D">
      <w:pPr>
        <w:pStyle w:val="151"/>
        <w:keepNext/>
      </w:pPr>
      <w:r>
        <w:rPr>
          <w:b/>
        </w:rPr>
        <w:t xml:space="preserve">读取与降级</w:t>
      </w:r>
    </w:p>
    <w:p w14:paraId="1D62B51D">
      <w:pPr>
        <w:pStyle w:val="151"/>
      </w:pPr>
      <w:r>
        <w:t xml:space="preserve">非法BMP头不进入资源索引。加载时，源处理完成与内存整帧写完成必须同时成立，才能提交新画面；写侧通过write_ready背压，缩放输出设置节拍间隔。</w:t>
      </w:r>
    </w:p>
    <w:p w14:paraId="1D62B51D">
      <w:pPr>
        <w:pStyle w:val="151"/>
      </w:pPr>
      <w:r>
        <w:t xml:space="preserve">无日常资源显示内置背景和资源提示；无应急底图仍保留预警文字与提示音。坏簇或提前结束时排空无效写事务，保持旧画面或改用内置背景。目录有扫描上限，不修复TF文件系统。</w:t>
      </w:r>
    </w:p>
    <w:p w14:paraId="2AA86CA1">
      <w:pPr>
        <w:pStyle w:val="162"/>
        <w:keepNext/>
        <w:outlineLvl w:val="1"/>
      </w:pPr>
      <w:bookmarkStart w:id="104" w:name="AnshiboH4"/>
      <w:r>
        <w:t xml:space="preserve">2.3 系统架构与时钟结构</w:t>
      </w:r>
      <w:bookmarkEnd w:id="104"/>
    </w:p>
    <w:p>
      <w:r>
        <w:drawing>
          <wp:inline xmlns:a="http://schemas.openxmlformats.org/drawingml/2006/main" xmlns:pic="http://schemas.openxmlformats.org/drawingml/2006/picture">
            <wp:extent cx="5940000" cy="194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AnshiboDiagram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0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7917C8">
      <w:pPr>
        <w:pStyle w:val="172"/>
      </w:pPr>
      <w:r>
        <w:t xml:space="preserve">图1 系统数据与控制结构</w:t>
      </w:r>
    </w:p>
    <w:p w14:paraId="1D62B51D">
      <w:pPr>
        <w:pStyle w:val="151"/>
      </w:pPr>
      <w:r>
        <w:t xml:space="preserve">视频链路为TF读取、BMP解析缩放、写FIFO、SDRAM、读FIFO、视频时序及叠加、AXI视频流、HDMI发射核与PHY。音频生成和交互控制为并行通路。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5"/>
        <w:gridCol w:w="6343"/>
      </w:tblGrid>
      <w:tr>
        <w:trPr>
          <w:cantSplit/>
          <w:tblHeader/>
        </w:trPr>
        <w:tc>
          <w:tcPr>
            <w:tcW w:w="3295" w:type="dxa"/>
          </w:tcPr>
          <w:p w14:paraId="66029419">
            <w:r>
              <w:rPr>
                <w:b/>
              </w:rPr>
              <w:t xml:space="preserve">时钟</w:t>
            </w:r>
          </w:p>
        </w:tc>
        <w:tc>
          <w:tcPr>
            <w:tcW w:w="6343" w:type="dxa"/>
          </w:tcPr>
          <w:p w14:paraId="66029419">
            <w:r>
              <w:rPr>
                <w:b/>
              </w:rPr>
              <w:t xml:space="preserve">当前用途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50 MHz clk</w:t>
            </w:r>
          </w:p>
        </w:tc>
        <w:tc>
          <w:tcPr>
            <w:tcW w:w="6343" w:type="dxa"/>
          </w:tcPr>
          <w:p w14:paraId="66029419">
            <w:r>
              <w:t xml:space="preserve">板载输入参考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100 MHz sd_card_clk</w:t>
            </w:r>
          </w:p>
        </w:tc>
        <w:tc>
          <w:tcPr>
            <w:tcW w:w="6343" w:type="dxa"/>
          </w:tcPr>
          <w:p w14:paraId="66029419">
            <w:r>
              <w:t xml:space="preserve">TF资源索引、BMP与控制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约41.667 MHz ext_mem_clk</w:t>
            </w:r>
          </w:p>
        </w:tc>
        <w:tc>
          <w:tcPr>
            <w:tcW w:w="6343" w:type="dxa"/>
          </w:tcPr>
          <w:p w14:paraId="66029419">
            <w:r>
              <w:t xml:space="preserve">SDRAM用户缓存访问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25 MHz video_clk</w:t>
            </w:r>
          </w:p>
        </w:tc>
        <w:tc>
          <w:tcPr>
            <w:tcW w:w="6343" w:type="dxa"/>
          </w:tcPr>
          <w:p w14:paraId="66029419">
            <w:r>
              <w:t xml:space="preserve">像素、图层与视频输入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125 MHz hdmi_5x_clk</w:t>
            </w:r>
          </w:p>
        </w:tc>
        <w:tc>
          <w:tcPr>
            <w:tcW w:w="6343" w:type="dxa"/>
          </w:tcPr>
          <w:p w14:paraId="66029419">
            <w:r>
              <w:t xml:space="preserve">TMDS串行发送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约12.295082 MHz audio_mclk</w:t>
            </w:r>
          </w:p>
        </w:tc>
        <w:tc>
          <w:tcPr>
            <w:tcW w:w="6343" w:type="dxa"/>
          </w:tcPr>
          <w:p w14:paraId="66029419">
            <w:r>
              <w:t xml:space="preserve">I2S与提示音</w:t>
            </w:r>
          </w:p>
        </w:tc>
      </w:tr>
    </w:tbl>
    <w:p w14:paraId="1D62B51D">
      <w:pPr>
        <w:pStyle w:val="151"/>
      </w:pPr>
      <w:r>
        <w:t xml:space="preserve">写FIFO在100 MHz与内存域之间传输，读FIFO在内存与视频域之间传输。请求确认、完成翻转及缓存标签通过同步器传递；整帧提交、转场取消和旧缓存释放由握手协调，避免覆盖仍在显示的帧。</w:t>
      </w:r>
    </w:p>
    <w:p w14:paraId="1D62B51D">
      <w:pPr>
        <w:pStyle w:val="151"/>
        <w:keepNext/>
      </w:pPr>
      <w:r>
        <w:rPr>
          <w:b/>
        </w:rPr>
        <w:t xml:space="preserve">双缓冲与预读</w:t>
      </w:r>
    </w:p>
    <w:p w14:paraId="1D62B51D">
      <w:pPr>
        <w:pStyle w:val="151"/>
      </w:pPr>
      <w:r>
        <w:t xml:space="preserve">每帧640×480=307200个32位字，两个区域的基地址分别为0和307200，两帧共2457600字节。显示当前帧时预读下一张；缓存命中后直接转场，未命中则读取指定文件。预读不提高TF带宽，到期但尚未完成时仍显示旧图并保留切换请求。</w:t>
      </w:r>
    </w:p>
    <w:p w14:paraId="1D62B51D">
      <w:pPr>
        <w:pStyle w:val="151"/>
      </w:pPr>
      <w:r>
        <w:t xml:space="preserve">相接滑动时两帧同时被读，完成读端释放后才可重写旧帧。应急请求优先；正在写入的普通预读先安全排空，再服务应急，因此可能增加紧急切换等待。</w:t>
      </w:r>
    </w:p>
    <w:p w14:paraId="2AA86CA1">
      <w:pPr>
        <w:pStyle w:val="162"/>
        <w:keepNext/>
        <w:outlineLvl w:val="1"/>
      </w:pPr>
      <w:bookmarkStart w:id="105" w:name="AnshiboH5"/>
      <w:r>
        <w:t xml:space="preserve">2.4 缩放 转场与图层处理</w:t>
      </w:r>
      <w:bookmarkEnd w:id="105"/>
    </w:p>
    <w:p w14:paraId="1D62B51D">
      <w:pPr>
        <w:pStyle w:val="151"/>
        <w:keepNext/>
      </w:pPr>
      <w:r>
        <w:rPr>
          <w:b/>
        </w:rPr>
        <w:t xml:space="preserve">最近邻缩放</w:t>
      </w:r>
    </w:p>
    <w:p w14:paraId="1D62B51D">
      <w:pPr>
        <w:pStyle w:val="151"/>
      </w:pPr>
      <w:r>
        <w:t xml:space="preserve">目标坐标(x,y)对应源像素xs=floor(x×W/640)、ys=floor(y×H/480)。流式行缓存按坐标累计关系采样、丢弃或重复行，输出640×480。算法成本较低；不提供双线性插值或缩小时抗混叠，非4:3图片直接拉伸。</w:t>
      </w:r>
    </w:p>
    <w:p w14:paraId="1D62B51D">
      <w:pPr>
        <w:pStyle w:val="151"/>
        <w:keepNext/>
      </w:pPr>
      <w:r>
        <w:rPr>
          <w:b/>
        </w:rPr>
        <w:t xml:space="preserve">相接滑动与可选特效</w:t>
      </w:r>
    </w:p>
    <w:p w14:paraId="1D62B51D">
      <w:pPr>
        <w:pStyle w:val="151"/>
      </w:pPr>
      <w:r>
        <w:t xml:space="preserve">设水平偏移d，x&lt;640-d时读取旧图x+d，否则读取新图x-(640-d)。两段同行拼接填满整行，没有黑色画面夹在两图之间。每视频帧推进40像素，16步运动约268.8 ms；加载和缓存采用时间另计。</w:t>
      </w:r>
    </w:p>
    <w:p w14:paraId="1D62B51D">
      <w:pPr>
        <w:pStyle w:val="151"/>
      </w:pPr>
      <w:r>
        <w:t xml:space="preserve">默认SLIDE，FADE为淡出后淡入，CUT直接切换。进入和解除二、三级预警旁路动画，但仍等待完整图片和读缓存就绪，不属于零延迟切屏。</w:t>
      </w:r>
    </w:p>
    <w:p w14:paraId="1D62B51D">
      <w:pPr>
        <w:pStyle w:val="151"/>
        <w:keepNext/>
      </w:pPr>
      <w:r>
        <w:rPr>
          <w:b/>
        </w:rPr>
        <w:t xml:space="preserve">亮度 对比度与OSD</w:t>
      </w:r>
    </w:p>
    <w:p w14:paraId="1D62B51D">
      <w:pPr>
        <w:pStyle w:val="151"/>
      </w:pPr>
      <w:r>
        <w:t xml:space="preserve">单通道Cout=clamp(g×(Cin-128)+128+b,0,255)。对比度五档增益为0.5、0.75、1、1.25、1.5，亮度五档偏移为-64、-32、0、32、64，默认均为第2档索引；采用移位、加法和饱和裁剪。</w:t>
      </w:r>
    </w:p>
    <w:p w14:paraId="1D62B51D">
      <w:pPr>
        <w:pStyle w:val="151"/>
      </w:pPr>
      <w:r>
        <w:t xml:space="preserve">图片处理后叠加状态、运行时长、通知和波形。SW1控制普通文字与波形，SW2开启调节，SW3选择对比度或亮度；参数显示与当前设置一致。时间表示运行时长，不是日期或实时时钟。</w:t>
      </w:r>
    </w:p>
    <w:p w14:paraId="1D62B51D">
      <w:pPr>
        <w:pStyle w:val="151"/>
        <w:keepNext/>
      </w:pPr>
      <w:r>
        <w:rPr>
          <w:b/>
        </w:rPr>
        <w:t xml:space="preserve">动态文字与音频波形</w:t>
      </w:r>
    </w:p>
    <w:p w14:paraId="1D62B51D">
      <w:pPr>
        <w:pStyle w:val="151"/>
      </w:pPr>
      <w:r>
        <w:t xml:space="preserve">字库共607个字形，包含95个ASCII字符及512个汉字和中文标点。普通字幕最多64字符，备用银行接收后在帧边界整体替换。滚动偏移按视频帧推进，不随图片转场一起平移。</w:t>
      </w:r>
    </w:p>
    <w:p w14:paraId="1D62B51D">
      <w:pPr>
        <w:pStyle w:val="151"/>
      </w:pPr>
      <w:r>
        <w:t xml:space="preserve">内部PCM样本保存为波形快照并映射到屏幕坐标。日常静音时波形接近基线；没有外部麦克风采集或FFT频谱分析。</w:t>
      </w:r>
    </w:p>
    <w:p w14:paraId="2AA86CA1">
      <w:pPr>
        <w:pStyle w:val="162"/>
        <w:keepNext/>
        <w:outlineLvl w:val="1"/>
      </w:pPr>
      <w:bookmarkStart w:id="106" w:name="AnshiboH6"/>
      <w:r>
        <w:t xml:space="preserve">2.5 分级预警与音画联动</w:t>
      </w:r>
      <w:bookmarkEnd w:id="106"/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5519"/>
        <w:gridCol w:w="3089"/>
      </w:tblGrid>
      <w:tr>
        <w:trPr>
          <w:cantSplit/>
          <w:tblHeader/>
        </w:trPr>
        <w:tc>
          <w:tcPr>
            <w:tcW w:w="1030" w:type="dxa"/>
          </w:tcPr>
          <w:p w14:paraId="66029419">
            <w:r>
              <w:rPr>
                <w:b/>
              </w:rPr>
              <w:t xml:space="preserve">等级</w:t>
            </w:r>
          </w:p>
        </w:tc>
        <w:tc>
          <w:tcPr>
            <w:tcW w:w="5519" w:type="dxa"/>
          </w:tcPr>
          <w:p w14:paraId="66029419">
            <w:r>
              <w:rPr>
                <w:b/>
              </w:rPr>
              <w:t xml:space="preserve">画面</w:t>
            </w:r>
          </w:p>
        </w:tc>
        <w:tc>
          <w:tcPr>
            <w:tcW w:w="3089" w:type="dxa"/>
          </w:tcPr>
          <w:p w14:paraId="66029419">
            <w:r>
              <w:rPr>
                <w:b/>
              </w:rPr>
              <w:t xml:space="preserve">声音</w:t>
            </w:r>
          </w:p>
        </w:tc>
      </w:tr>
      <w:tr>
        <w:trPr>
          <w:cantSplit/>
        </w:trPr>
        <w:tc>
          <w:tcPr>
            <w:tcW w:w="1030" w:type="dxa"/>
          </w:tcPr>
          <w:p w14:paraId="66029419">
            <w:r>
              <w:t xml:space="preserve">一级</w:t>
            </w:r>
          </w:p>
        </w:tc>
        <w:tc>
          <w:tcPr>
            <w:tcW w:w="5519" w:type="dxa"/>
          </w:tcPr>
          <w:p w14:paraId="66029419">
            <w:r>
              <w:t xml:space="preserve">提示叠加，日常播放继续</w:t>
            </w:r>
          </w:p>
        </w:tc>
        <w:tc>
          <w:tcPr>
            <w:tcW w:w="3089" w:type="dxa"/>
          </w:tcPr>
          <w:p w14:paraId="66029419">
            <w:r>
              <w:t xml:space="preserve">静音</w:t>
            </w:r>
          </w:p>
        </w:tc>
      </w:tr>
      <w:tr>
        <w:trPr>
          <w:cantSplit/>
        </w:trPr>
        <w:tc>
          <w:tcPr>
            <w:tcW w:w="1030" w:type="dxa"/>
          </w:tcPr>
          <w:p w14:paraId="66029419">
            <w:r>
              <w:t xml:space="preserve">二级</w:t>
            </w:r>
          </w:p>
        </w:tc>
        <w:tc>
          <w:tcPr>
            <w:tcW w:w="5519" w:type="dxa"/>
          </w:tcPr>
          <w:p w14:paraId="66029419">
            <w:r>
              <w:t xml:space="preserve">警戒页与区域、正文</w:t>
            </w:r>
          </w:p>
        </w:tc>
        <w:tc>
          <w:tcPr>
            <w:tcW w:w="3089" w:type="dxa"/>
          </w:tcPr>
          <w:p w14:paraId="66029419">
            <w:r>
              <w:t xml:space="preserve">间歇约880 Hz</w:t>
            </w:r>
          </w:p>
        </w:tc>
      </w:tr>
      <w:tr>
        <w:trPr>
          <w:cantSplit/>
        </w:trPr>
        <w:tc>
          <w:tcPr>
            <w:tcW w:w="1030" w:type="dxa"/>
          </w:tcPr>
          <w:p w14:paraId="66029419">
            <w:r>
              <w:t xml:space="preserve">三级</w:t>
            </w:r>
          </w:p>
        </w:tc>
        <w:tc>
          <w:tcPr>
            <w:tcW w:w="5519" w:type="dxa"/>
          </w:tcPr>
          <w:p w14:paraId="66029419">
            <w:r>
              <w:t xml:space="preserve">EVAC应急底图与疏散信息</w:t>
            </w:r>
          </w:p>
        </w:tc>
        <w:tc>
          <w:tcPr>
            <w:tcW w:w="3089" w:type="dxa"/>
          </w:tcPr>
          <w:p w14:paraId="66029419">
            <w:r>
              <w:t xml:space="preserve">约660/880 Hz交替</w:t>
            </w:r>
          </w:p>
        </w:tc>
      </w:tr>
    </w:tbl>
    <w:p w14:paraId="1D62B51D">
      <w:pPr>
        <w:pStyle w:val="151"/>
      </w:pPr>
      <w:r>
        <w:t xml:space="preserve">本地与后台等级独立记录，较高等级优先，同级本地优先。KEY3选择和确认等级，选择期间KEY2改变候选；长按KEY3约2秒进入三级。解除后台不清除本地记录，解除本地后仍可能显示保留的后台事件。</w:t>
      </w:r>
    </w:p>
    <w:p w14:paraId="1D62B51D">
      <w:pPr>
        <w:pStyle w:val="151"/>
      </w:pPr>
      <w:r>
        <w:t xml:space="preserve">32位相位累加器以相位最高位输出正负幅度方波PCM，频率近似Δphase×Fs/2^32。二级加入间歇包络，三级切换频率；左右声道复用样本。音频实际采样率约48.028 kHz，为名义48 kHz配置，约0.058%偏差。</w:t>
      </w:r>
    </w:p>
    <w:p w14:paraId="1D62B51D">
      <w:pPr>
        <w:pStyle w:val="151"/>
      </w:pPr>
      <w:r>
        <w:t xml:space="preserve">emergency_audio_frame_gate检查模式、加载完成、目标缓存和实际读缓存标签。在匹配应急帧的首个有效像素处允许报警，解除时关闭使能。门控对齐的是FPGA内部事件，不宣称显示器与扬声器物理零时间差。</w:t>
      </w:r>
    </w:p>
    <w:p w14:paraId="2AA86CA1">
      <w:pPr>
        <w:pStyle w:val="162"/>
        <w:keepNext/>
        <w:outlineLvl w:val="1"/>
      </w:pPr>
      <w:bookmarkStart w:id="107" w:name="AnshiboH7"/>
      <w:r>
        <w:t xml:space="preserve">2.6 可选串口发布</w:t>
      </w:r>
      <w:bookmarkEnd w:id="107"/>
    </w:p>
    <w:p w14:paraId="1D62B51D">
      <w:pPr>
        <w:pStyle w:val="151"/>
      </w:pPr>
      <w:r>
        <w:t xml:space="preserve">USB-UART使用115200、8N1、无流控。TEXT更新普通通知，PUBLISH录入编号、等级、区域与正文；区域1至16字符、正文1至64字符。电脑工具只编码字形与CRC，不生成图像，FPGA保存、检错、仲裁及渲染。</w:t>
      </w:r>
    </w:p>
    <w:p w14:paraId="1D62B51D">
      <w:pPr>
        <w:pStyle w:val="151"/>
      </w:pPr>
      <w:r>
        <w:t xml:space="preserve">事件按EBEGIN、ECHAR、ECOMMIT传输。CRC16采用CCITT-FALSE，初值0xFFFF、多项式0x1021、不反射、最终异或0。数量、长度及校验均通过后才提交，并在帧边界共同安装内容和等级。</w:t>
      </w:r>
    </w:p>
    <w:p w14:paraId="1D62B51D">
      <w:pPr>
        <w:pStyle w:val="151"/>
      </w:pPr>
      <w:r>
        <w:t xml:space="preserve">同编号同内容返回DUP，同编号不同内容报错；CLEAR只清除后台。ESTATUS区分待显示、已输出及本地覆盖，APPLIED仅说明FPGA已输出对应事件帧。串口断开不自动解除已发布事件；复位后动态内容清零。</w:t>
      </w:r>
    </w:p>
    <w:p>
      <w:r>
        <w:br w:type="page"/>
      </w:r>
    </w:p>
    <w:p w14:paraId="45335DDB">
      <w:pPr>
        <w:pStyle w:val="160"/>
        <w:keepNext/>
        <w:outlineLvl w:val="0"/>
      </w:pPr>
      <w:bookmarkStart w:id="108" w:name="AnshiboH8"/>
      <w:r>
        <w:t xml:space="preserve">3 模块接口</w:t>
      </w:r>
      <w:bookmarkEnd w:id="108"/>
    </w:p>
    <w:p w14:paraId="2AA86CA1">
      <w:pPr>
        <w:pStyle w:val="162"/>
        <w:keepNext/>
        <w:outlineLvl w:val="1"/>
      </w:pPr>
      <w:bookmarkStart w:id="109" w:name="AnshiboH9"/>
      <w:r>
        <w:t xml:space="preserve">3.1 顶层模块</w:t>
      </w:r>
      <w:bookmarkEnd w:id="109"/>
    </w:p>
    <w:p w14:paraId="1D62B51D">
      <w:pPr>
        <w:pStyle w:val="151"/>
      </w:pPr>
      <w:r>
        <w:t xml:space="preserve">顶层top位于src/user_source/hdl_source/top_tf_hdmi_audio.v，工程为src/td_project/anshibo.al。表1按当前源码列出外部端口；KEY编号指板上标识，与RTL名称不同。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0"/>
        <w:gridCol w:w="659"/>
        <w:gridCol w:w="865"/>
        <w:gridCol w:w="5004"/>
      </w:tblGrid>
      <w:tr>
        <w:trPr>
          <w:cantSplit/>
          <w:tblHeader/>
        </w:trPr>
        <w:tc>
          <w:tcPr>
            <w:tcW w:w="3110" w:type="dxa"/>
          </w:tcPr>
          <w:p w14:paraId="66029419">
            <w:r>
              <w:rPr>
                <w:b/>
              </w:rPr>
              <w:t xml:space="preserve">信号</w:t>
            </w:r>
          </w:p>
        </w:tc>
        <w:tc>
          <w:tcPr>
            <w:tcW w:w="659" w:type="dxa"/>
          </w:tcPr>
          <w:p w14:paraId="66029419">
            <w:r>
              <w:rPr>
                <w:b/>
              </w:rPr>
              <w:t xml:space="preserve">位宽</w:t>
            </w:r>
          </w:p>
        </w:tc>
        <w:tc>
          <w:tcPr>
            <w:tcW w:w="865" w:type="dxa"/>
          </w:tcPr>
          <w:p w14:paraId="66029419">
            <w:r>
              <w:rPr>
                <w:b/>
              </w:rPr>
              <w:t xml:space="preserve">方向</w:t>
            </w:r>
          </w:p>
        </w:tc>
        <w:tc>
          <w:tcPr>
            <w:tcW w:w="5004" w:type="dxa"/>
          </w:tcPr>
          <w:p w14:paraId="66029419">
            <w:r>
              <w:rPr>
                <w:b/>
              </w:rPr>
              <w:t xml:space="preserve">功能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clk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50 MHz板载参考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rst_n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KEY1复位，低有效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key1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KEY2，普通模式下一张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key2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KEY4，自动轮播开关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key_mode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KEY3，等级选择/确认和长按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subtitle_switch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SW1，普通文字和波形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adjustment_switch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SW2，参数调节模式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contrast_switch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SW3，对比度1/亮度0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uart_rx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CH340至FPGA，F12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uart_tx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FPGA至CH340，D12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seg_sel</w:t>
            </w:r>
          </w:p>
        </w:tc>
        <w:tc>
          <w:tcPr>
            <w:tcW w:w="659" w:type="dxa"/>
          </w:tcPr>
          <w:p w14:paraId="66029419">
            <w:r>
              <w:t xml:space="preserve">6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数码管片选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seg_data</w:t>
            </w:r>
          </w:p>
        </w:tc>
        <w:tc>
          <w:tcPr>
            <w:tcW w:w="659" w:type="dxa"/>
          </w:tcPr>
          <w:p w14:paraId="66029419">
            <w:r>
              <w:t xml:space="preserve">8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数码管段选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HDMI_CLK_P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HDMI_B TMDS时钟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HDMI_D2_P/D1_P/D0_P</w:t>
            </w:r>
          </w:p>
        </w:tc>
        <w:tc>
          <w:tcPr>
            <w:tcW w:w="659" w:type="dxa"/>
          </w:tcPr>
          <w:p w14:paraId="66029419">
            <w:r>
              <w:t xml:space="preserve">各1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HDMI_B三个TMDS数据通道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HDMI_DDC_SCL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DDC时钟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HDMI_DDC_SDA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双向</w:t>
            </w:r>
          </w:p>
        </w:tc>
        <w:tc>
          <w:tcPr>
            <w:tcW w:w="5004" w:type="dxa"/>
          </w:tcPr>
          <w:p w14:paraId="66029419">
            <w:r>
              <w:t xml:space="preserve">DDC数据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sd_ncs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TF SPI片选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sd_dclk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TF SPI时钟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sd_mosi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输出</w:t>
            </w:r>
          </w:p>
        </w:tc>
        <w:tc>
          <w:tcPr>
            <w:tcW w:w="5004" w:type="dxa"/>
          </w:tcPr>
          <w:p w14:paraId="66029419">
            <w:r>
              <w:t xml:space="preserve">TF主发从收</w:t>
            </w:r>
          </w:p>
        </w:tc>
      </w:tr>
      <w:tr>
        <w:trPr>
          <w:cantSplit/>
        </w:trPr>
        <w:tc>
          <w:tcPr>
            <w:tcW w:w="3110" w:type="dxa"/>
          </w:tcPr>
          <w:p w14:paraId="66029419">
            <w:r>
              <w:t xml:space="preserve">sd_miso</w:t>
            </w:r>
          </w:p>
        </w:tc>
        <w:tc>
          <w:tcPr>
            <w:tcW w:w="659" w:type="dxa"/>
          </w:tcPr>
          <w:p w14:paraId="66029419">
            <w:r>
              <w:t xml:space="preserve">1</w:t>
            </w:r>
          </w:p>
        </w:tc>
        <w:tc>
          <w:tcPr>
            <w:tcW w:w="865" w:type="dxa"/>
          </w:tcPr>
          <w:p w14:paraId="66029419">
            <w:r>
              <w:t xml:space="preserve">输入</w:t>
            </w:r>
          </w:p>
        </w:tc>
        <w:tc>
          <w:tcPr>
            <w:tcW w:w="5004" w:type="dxa"/>
          </w:tcPr>
          <w:p w14:paraId="66029419">
            <w:r>
              <w:t xml:space="preserve">TF主收从发</w:t>
            </w:r>
          </w:p>
        </w:tc>
      </w:tr>
    </w:tbl>
    <w:p w14:paraId="467917C8">
      <w:pPr>
        <w:pStyle w:val="172"/>
      </w:pPr>
      <w:r>
        <w:t xml:space="preserve">表1 顶层端口。实际引脚和电气配置见src/user_source/constraints_source/pin.adc；SDRAM控制由下层模块与器件绑定资源完成，不在该顶层重复列引脚。</w:t>
      </w:r>
    </w:p>
    <w:p w14:paraId="2AA86CA1">
      <w:pPr>
        <w:pStyle w:val="162"/>
        <w:keepNext/>
        <w:outlineLvl w:val="1"/>
      </w:pPr>
      <w:bookmarkStart w:id="110" w:name="AnshiboH10"/>
      <w:r>
        <w:t xml:space="preserve">3.2 TF与BMP模块</w:t>
      </w:r>
      <w:bookmarkEnd w:id="110"/>
    </w:p>
    <w:p w14:paraId="1D62B51D">
      <w:pPr>
        <w:pStyle w:val="151"/>
      </w:pPr>
      <w:r>
        <w:t xml:space="preserve">sd_card_bmp协调资源、加载、预读、轮播及缓存提交；当前RESOURCE_ENABLE、PREFETCH_ENABLE、FRAME_READER_FEEDBACK均启用。下表为主要接口，完整端口见SD/sd_card_bmp.v。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4"/>
        <w:gridCol w:w="783"/>
        <w:gridCol w:w="1091"/>
        <w:gridCol w:w="4489"/>
      </w:tblGrid>
      <w:tr>
        <w:trPr>
          <w:cantSplit/>
          <w:tblHeader/>
        </w:trPr>
        <w:tc>
          <w:tcPr>
            <w:tcW w:w="3274" w:type="dxa"/>
          </w:tcPr>
          <w:p w14:paraId="66029419">
            <w:r>
              <w:rPr>
                <w:b/>
              </w:rPr>
              <w:t xml:space="preserve">信号</w:t>
            </w:r>
          </w:p>
        </w:tc>
        <w:tc>
          <w:tcPr>
            <w:tcW w:w="783" w:type="dxa"/>
          </w:tcPr>
          <w:p w14:paraId="66029419">
            <w:r>
              <w:rPr>
                <w:b/>
              </w:rPr>
              <w:t xml:space="preserve">位宽</w:t>
            </w:r>
          </w:p>
        </w:tc>
        <w:tc>
          <w:tcPr>
            <w:tcW w:w="1091" w:type="dxa"/>
          </w:tcPr>
          <w:p w14:paraId="66029419">
            <w:r>
              <w:rPr>
                <w:b/>
              </w:rPr>
              <w:t xml:space="preserve">方向</w:t>
            </w:r>
          </w:p>
        </w:tc>
        <w:tc>
          <w:tcPr>
            <w:tcW w:w="4489" w:type="dxa"/>
          </w:tcPr>
          <w:p w14:paraId="66029419">
            <w:r>
              <w:rPr>
                <w:b/>
              </w:rPr>
              <w:t xml:space="preserve">功能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clk / rst</w:t>
            </w:r>
          </w:p>
        </w:tc>
        <w:tc>
          <w:tcPr>
            <w:tcW w:w="783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489" w:type="dxa"/>
          </w:tcPr>
          <w:p w14:paraId="66029419">
            <w:r>
              <w:t xml:space="preserve">100 MHz与高有效复位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key_next / key_auto</w:t>
            </w:r>
          </w:p>
        </w:tc>
        <w:tc>
          <w:tcPr>
            <w:tcW w:w="783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489" w:type="dxa"/>
          </w:tcPr>
          <w:p w14:paraId="66029419">
            <w:r>
              <w:t xml:space="preserve">消抖前普通按键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command_valid/code/value</w:t>
            </w:r>
          </w:p>
        </w:tc>
        <w:tc>
          <w:tcPr>
            <w:tcW w:w="783" w:type="dxa"/>
          </w:tcPr>
          <w:p w14:paraId="66029419">
            <w:r>
              <w:t xml:space="preserve">1/4/5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489" w:type="dxa"/>
          </w:tcPr>
          <w:p w14:paraId="66029419">
            <w:r>
              <w:t xml:space="preserve">同域控制命令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resource_normal_count</w:t>
            </w:r>
          </w:p>
        </w:tc>
        <w:tc>
          <w:tcPr>
            <w:tcW w:w="783" w:type="dxa"/>
          </w:tcPr>
          <w:p w14:paraId="66029419">
            <w:r>
              <w:t xml:space="preserve">5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合法日常BMP数量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resource_active_count/index</w:t>
            </w:r>
          </w:p>
        </w:tc>
        <w:tc>
          <w:tcPr>
            <w:tcW w:w="783" w:type="dxa"/>
          </w:tcPr>
          <w:p w14:paraId="66029419">
            <w:r>
              <w:t xml:space="preserve">各5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播放条目数量/当前索引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resource_seconds</w:t>
            </w:r>
          </w:p>
        </w:tc>
        <w:tc>
          <w:tcPr>
            <w:tcW w:w="783" w:type="dxa"/>
          </w:tcPr>
          <w:p w14:paraId="66029419">
            <w:r>
              <w:t xml:space="preserve">6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当前画面停留秒数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resource_flags</w:t>
            </w:r>
          </w:p>
        </w:tc>
        <w:tc>
          <w:tcPr>
            <w:tcW w:w="783" w:type="dxa"/>
          </w:tcPr>
          <w:p w14:paraId="66029419">
            <w:r>
              <w:t xml:space="preserve">8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资源异常位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display_valid</w:t>
            </w:r>
          </w:p>
        </w:tc>
        <w:tc>
          <w:tcPr>
            <w:tcW w:w="783" w:type="dxa"/>
          </w:tcPr>
          <w:p w14:paraId="66029419">
            <w:r>
              <w:t xml:space="preserve">1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首图已提交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o_emergency_mode/loaded</w:t>
            </w:r>
          </w:p>
        </w:tc>
        <w:tc>
          <w:tcPr>
            <w:tcW w:w="783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应急模式/图片完整提交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write_finish_toggle</w:t>
            </w:r>
          </w:p>
        </w:tc>
        <w:tc>
          <w:tcPr>
            <w:tcW w:w="783" w:type="dxa"/>
          </w:tcPr>
          <w:p w14:paraId="66029419">
            <w:r>
              <w:t xml:space="preserve">1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489" w:type="dxa"/>
          </w:tcPr>
          <w:p w14:paraId="66029419">
            <w:r>
              <w:t xml:space="preserve">内存整帧写完翻转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write_buf_idx/disp_buf_idx</w:t>
            </w:r>
          </w:p>
        </w:tc>
        <w:tc>
          <w:tcPr>
            <w:tcW w:w="783" w:type="dxa"/>
          </w:tcPr>
          <w:p w14:paraId="66029419">
            <w:r>
              <w:t xml:space="preserve">各2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写/显示缓存编号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write_req / write_req_ack</w:t>
            </w:r>
          </w:p>
        </w:tc>
        <w:tc>
          <w:tcPr>
            <w:tcW w:w="783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输出/输入</w:t>
            </w:r>
          </w:p>
        </w:tc>
        <w:tc>
          <w:tcPr>
            <w:tcW w:w="4489" w:type="dxa"/>
          </w:tcPr>
          <w:p w14:paraId="66029419">
            <w:r>
              <w:t xml:space="preserve">写事务请求/应答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write_ready</w:t>
            </w:r>
          </w:p>
        </w:tc>
        <w:tc>
          <w:tcPr>
            <w:tcW w:w="783" w:type="dxa"/>
          </w:tcPr>
          <w:p w14:paraId="66029419">
            <w:r>
              <w:t xml:space="preserve">1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489" w:type="dxa"/>
          </w:tcPr>
          <w:p w14:paraId="66029419">
            <w:r>
              <w:t xml:space="preserve">FIFO写侧背压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write_en / write_data</w:t>
            </w:r>
          </w:p>
        </w:tc>
        <w:tc>
          <w:tcPr>
            <w:tcW w:w="783" w:type="dxa"/>
          </w:tcPr>
          <w:p w14:paraId="66029419">
            <w:r>
              <w:t xml:space="preserve">1/32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像素写使能与数据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read_active_index_async</w:t>
            </w:r>
          </w:p>
        </w:tc>
        <w:tc>
          <w:tcPr>
            <w:tcW w:w="783" w:type="dxa"/>
          </w:tcPr>
          <w:p w14:paraId="66029419">
            <w:r>
              <w:t xml:space="preserve">2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489" w:type="dxa"/>
          </w:tcPr>
          <w:p w14:paraId="66029419">
            <w:r>
              <w:t xml:space="preserve">实际读端缓存标签</w:t>
            </w:r>
          </w:p>
        </w:tc>
      </w:tr>
      <w:tr>
        <w:trPr>
          <w:cantSplit/>
        </w:trPr>
        <w:tc>
          <w:tcPr>
            <w:tcW w:w="3274" w:type="dxa"/>
          </w:tcPr>
          <w:p w14:paraId="66029419">
            <w:r>
              <w:t xml:space="preserve">transition_pending</w:t>
            </w:r>
          </w:p>
        </w:tc>
        <w:tc>
          <w:tcPr>
            <w:tcW w:w="783" w:type="dxa"/>
          </w:tcPr>
          <w:p w14:paraId="66029419">
            <w:r>
              <w:t xml:space="preserve">1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489" w:type="dxa"/>
          </w:tcPr>
          <w:p w14:paraId="66029419">
            <w:r>
              <w:t xml:space="preserve">完整目标可进入转场</w:t>
            </w:r>
          </w:p>
        </w:tc>
      </w:tr>
    </w:tbl>
    <w:p w14:paraId="467917C8">
      <w:pPr>
        <w:pStyle w:val="172"/>
      </w:pPr>
      <w:r>
        <w:t xml:space="preserve">表2 图片控制主要接口。read_slide_mix_async与取消确认等信号保护旧缓存释放，避免相接转场或应急取消时覆盖正在读的数据。</w:t>
      </w:r>
    </w:p>
    <w:p w14:paraId="1D62B51D">
      <w:pPr>
        <w:pStyle w:val="151"/>
        <w:keepNext/>
      </w:pPr>
      <w:r>
        <w:rPr>
          <w:b/>
        </w:rPr>
        <w:t xml:space="preserve">BMP及FAT32子模块</w:t>
      </w:r>
    </w:p>
    <w:p w14:paraId="1D62B51D">
      <w:pPr>
        <w:pStyle w:val="151"/>
      </w:pPr>
      <w:r>
        <w:t xml:space="preserve">bmp_read的load_start触发加载，ready与load_failed反馈结束和失败；sd_sec_read、sd_sec_read_addr及数据有效/结束组成逻辑扇区读取接口，bmp_data为24位RGB。FAT32模块将逻辑扇区映射到实际簇链，其catalog_ready并不等于无错误，需要同时查看resource_flags。</w:t>
      </w:r>
    </w:p>
    <w:p w14:paraId="2AA86CA1">
      <w:pPr>
        <w:pStyle w:val="162"/>
        <w:keepNext/>
        <w:outlineLvl w:val="1"/>
      </w:pPr>
      <w:bookmarkStart w:id="111" w:name="AnshiboH11"/>
      <w:r>
        <w:t xml:space="preserve">3.3 HDMI视频与发射模块</w:t>
      </w:r>
      <w:bookmarkEnd w:id="111"/>
    </w:p>
    <w:p w14:paraId="1D62B51D">
      <w:pPr>
        <w:pStyle w:val="151"/>
      </w:pPr>
      <w:r>
        <w:t xml:space="preserve">视频链路的时序和像素必须匹配。当前输出分辨率固定640×480；修改输入素材不需要改视频PLL，修改输出分辨率则必须同步调整时序、帧长、地址和HDMI配置。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2"/>
        <w:gridCol w:w="700"/>
        <w:gridCol w:w="1091"/>
        <w:gridCol w:w="4325"/>
      </w:tblGrid>
      <w:tr>
        <w:trPr>
          <w:cantSplit/>
          <w:tblHeader/>
        </w:trPr>
        <w:tc>
          <w:tcPr>
            <w:tcW w:w="3522" w:type="dxa"/>
          </w:tcPr>
          <w:p w14:paraId="66029419">
            <w:r>
              <w:rPr>
                <w:b/>
              </w:rPr>
              <w:t xml:space="preserve">模块或信号</w:t>
            </w:r>
          </w:p>
        </w:tc>
        <w:tc>
          <w:tcPr>
            <w:tcW w:w="700" w:type="dxa"/>
          </w:tcPr>
          <w:p w14:paraId="66029419">
            <w:r>
              <w:rPr>
                <w:b/>
              </w:rPr>
              <w:t xml:space="preserve">位宽</w:t>
            </w:r>
          </w:p>
        </w:tc>
        <w:tc>
          <w:tcPr>
            <w:tcW w:w="1091" w:type="dxa"/>
          </w:tcPr>
          <w:p w14:paraId="66029419">
            <w:r>
              <w:rPr>
                <w:b/>
              </w:rPr>
              <w:t xml:space="preserve">方向</w:t>
            </w:r>
          </w:p>
        </w:tc>
        <w:tc>
          <w:tcPr>
            <w:tcW w:w="4325" w:type="dxa"/>
          </w:tcPr>
          <w:p w14:paraId="66029419">
            <w:r>
              <w:rPr>
                <w:b/>
              </w:rPr>
              <w:t xml:space="preserve">说明</w:t>
            </w:r>
          </w:p>
        </w:tc>
      </w:tr>
      <w:tr>
        <w:trPr>
          <w:cantSplit/>
        </w:trPr>
        <w:tc>
          <w:tcPr>
            <w:tcW w:w="3522" w:type="dxa"/>
          </w:tcPr>
          <w:p w14:paraId="66029419">
            <w:r>
              <w:t xml:space="preserve">video_timing_data.video_clk/rst</w:t>
            </w:r>
          </w:p>
        </w:tc>
        <w:tc>
          <w:tcPr>
            <w:tcW w:w="700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325" w:type="dxa"/>
          </w:tcPr>
          <w:p w14:paraId="66029419">
            <w:r>
              <w:t xml:space="preserve">25 MHz与复位</w:t>
            </w:r>
          </w:p>
        </w:tc>
      </w:tr>
      <w:tr>
        <w:trPr>
          <w:cantSplit/>
        </w:trPr>
        <w:tc>
          <w:tcPr>
            <w:tcW w:w="3522" w:type="dxa"/>
          </w:tcPr>
          <w:p w14:paraId="66029419">
            <w:r>
              <w:t xml:space="preserve">read_req / read_req_ack</w:t>
            </w:r>
          </w:p>
        </w:tc>
        <w:tc>
          <w:tcPr>
            <w:tcW w:w="700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输出/输入</w:t>
            </w:r>
          </w:p>
        </w:tc>
        <w:tc>
          <w:tcPr>
            <w:tcW w:w="4325" w:type="dxa"/>
          </w:tcPr>
          <w:p w14:paraId="66029419">
            <w:r>
              <w:t xml:space="preserve">整帧读取握手</w:t>
            </w:r>
          </w:p>
        </w:tc>
      </w:tr>
      <w:tr>
        <w:trPr>
          <w:cantSplit/>
        </w:trPr>
        <w:tc>
          <w:tcPr>
            <w:tcW w:w="3522" w:type="dxa"/>
          </w:tcPr>
          <w:p w14:paraId="66029419">
            <w:r>
              <w:t xml:space="preserve">hs / vs / de</w:t>
            </w:r>
          </w:p>
        </w:tc>
        <w:tc>
          <w:tcPr>
            <w:tcW w:w="700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325" w:type="dxa"/>
          </w:tcPr>
          <w:p w14:paraId="66029419">
            <w:r>
              <w:t xml:space="preserve">行同步/场同步/有效区</w:t>
            </w:r>
          </w:p>
        </w:tc>
      </w:tr>
      <w:tr>
        <w:trPr>
          <w:cantSplit/>
        </w:trPr>
        <w:tc>
          <w:tcPr>
            <w:tcW w:w="3522" w:type="dxa"/>
          </w:tcPr>
          <w:p w14:paraId="66029419">
            <w:r>
              <w:t xml:space="preserve">video_rgb_to_axis.I_clk/I_rst</w:t>
            </w:r>
          </w:p>
        </w:tc>
        <w:tc>
          <w:tcPr>
            <w:tcW w:w="700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325" w:type="dxa"/>
          </w:tcPr>
          <w:p w14:paraId="66029419">
            <w:r>
              <w:t xml:space="preserve">像素时钟与复位</w:t>
            </w:r>
          </w:p>
        </w:tc>
      </w:tr>
      <w:tr>
        <w:trPr>
          <w:cantSplit/>
        </w:trPr>
        <w:tc>
          <w:tcPr>
            <w:tcW w:w="3522" w:type="dxa"/>
          </w:tcPr>
          <w:p w14:paraId="66029419">
            <w:r>
              <w:t xml:space="preserve">I_vs / I_de</w:t>
            </w:r>
          </w:p>
        </w:tc>
        <w:tc>
          <w:tcPr>
            <w:tcW w:w="700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325" w:type="dxa"/>
          </w:tcPr>
          <w:p w14:paraId="66029419">
            <w:r>
              <w:t xml:space="preserve">对齐后场同步与有效</w:t>
            </w:r>
          </w:p>
        </w:tc>
      </w:tr>
      <w:tr>
        <w:trPr>
          <w:cantSplit/>
        </w:trPr>
        <w:tc>
          <w:tcPr>
            <w:tcW w:w="3522" w:type="dxa"/>
          </w:tcPr>
          <w:p w14:paraId="66029419">
            <w:r>
              <w:t xml:space="preserve">I_rgb</w:t>
            </w:r>
          </w:p>
        </w:tc>
        <w:tc>
          <w:tcPr>
            <w:tcW w:w="700" w:type="dxa"/>
          </w:tcPr>
          <w:p w14:paraId="66029419">
            <w:r>
              <w:t xml:space="preserve">24</w:t>
            </w:r>
          </w:p>
        </w:tc>
        <w:tc>
          <w:tcPr>
            <w:tcW w:w="1091" w:type="dxa"/>
          </w:tcPr>
          <w:p w14:paraId="66029419">
            <w:r>
              <w:t xml:space="preserve">输入</w:t>
            </w:r>
          </w:p>
        </w:tc>
        <w:tc>
          <w:tcPr>
            <w:tcW w:w="4325" w:type="dxa"/>
          </w:tcPr>
          <w:p w14:paraId="66029419">
            <w:r>
              <w:t xml:space="preserve">图层合成后RGB</w:t>
            </w:r>
          </w:p>
        </w:tc>
      </w:tr>
      <w:tr>
        <w:trPr>
          <w:cantSplit/>
        </w:trPr>
        <w:tc>
          <w:tcPr>
            <w:tcW w:w="3522" w:type="dxa"/>
          </w:tcPr>
          <w:p w14:paraId="66029419">
            <w:r>
              <w:t xml:space="preserve">O_video_user/valid/last</w:t>
            </w:r>
          </w:p>
        </w:tc>
        <w:tc>
          <w:tcPr>
            <w:tcW w:w="700" w:type="dxa"/>
          </w:tcPr>
          <w:p w14:paraId="66029419">
            <w:r>
              <w:t xml:space="preserve">各1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325" w:type="dxa"/>
          </w:tcPr>
          <w:p w14:paraId="66029419">
            <w:r>
              <w:t xml:space="preserve">帧首/有效/行末</w:t>
            </w:r>
          </w:p>
        </w:tc>
      </w:tr>
      <w:tr>
        <w:trPr>
          <w:cantSplit/>
        </w:trPr>
        <w:tc>
          <w:tcPr>
            <w:tcW w:w="3522" w:type="dxa"/>
          </w:tcPr>
          <w:p w14:paraId="66029419">
            <w:r>
              <w:t xml:space="preserve">O_video_data</w:t>
            </w:r>
          </w:p>
        </w:tc>
        <w:tc>
          <w:tcPr>
            <w:tcW w:w="700" w:type="dxa"/>
          </w:tcPr>
          <w:p w14:paraId="66029419">
            <w:r>
              <w:t xml:space="preserve">24</w:t>
            </w:r>
          </w:p>
        </w:tc>
        <w:tc>
          <w:tcPr>
            <w:tcW w:w="1091" w:type="dxa"/>
          </w:tcPr>
          <w:p w14:paraId="66029419">
            <w:r>
              <w:t xml:space="preserve">输出</w:t>
            </w:r>
          </w:p>
        </w:tc>
        <w:tc>
          <w:tcPr>
            <w:tcW w:w="4325" w:type="dxa"/>
          </w:tcPr>
          <w:p w14:paraId="66029419">
            <w:r>
              <w:t xml:space="preserve">AXI视频流像素</w:t>
            </w:r>
          </w:p>
        </w:tc>
      </w:tr>
    </w:tbl>
    <w:p w14:paraId="467917C8">
      <w:pPr>
        <w:pStyle w:val="172"/>
      </w:pPr>
      <w:r>
        <w:t xml:space="preserve">表3 时序与视频流主要接口。video_rgb_to_axis_640x480和campus_osd是同一源文件中的不同模块，不将两者接口混为一体。</w:t>
      </w:r>
    </w:p>
    <w:p w14:paraId="1D62B51D">
      <w:pPr>
        <w:pStyle w:val="151"/>
        <w:keepNext/>
      </w:pPr>
      <w:r>
        <w:rPr>
          <w:b/>
        </w:rPr>
        <w:t xml:space="preserve">HDMI发射IP与PHY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9"/>
        <w:gridCol w:w="1318"/>
        <w:gridCol w:w="3851"/>
      </w:tblGrid>
      <w:tr>
        <w:trPr>
          <w:cantSplit/>
          <w:tblHeader/>
        </w:trPr>
        <w:tc>
          <w:tcPr>
            <w:tcW w:w="4469" w:type="dxa"/>
          </w:tcPr>
          <w:p w14:paraId="66029419">
            <w:r>
              <w:rPr>
                <w:b/>
              </w:rPr>
              <w:t xml:space="preserve">接口组</w:t>
            </w:r>
          </w:p>
        </w:tc>
        <w:tc>
          <w:tcPr>
            <w:tcW w:w="1318" w:type="dxa"/>
          </w:tcPr>
          <w:p w14:paraId="66029419">
            <w:r>
              <w:rPr>
                <w:b/>
              </w:rPr>
              <w:t xml:space="preserve">方向</w:t>
            </w:r>
          </w:p>
        </w:tc>
        <w:tc>
          <w:tcPr>
            <w:tcW w:w="3851" w:type="dxa"/>
          </w:tcPr>
          <w:p w14:paraId="66029419">
            <w:r>
              <w:rPr>
                <w:b/>
              </w:rPr>
              <w:t xml:space="preserve">用途</w:t>
            </w:r>
          </w:p>
        </w:tc>
      </w:tr>
      <w:tr>
        <w:trPr>
          <w:cantSplit/>
        </w:trPr>
        <w:tc>
          <w:tcPr>
            <w:tcW w:w="4469" w:type="dxa"/>
          </w:tcPr>
          <w:p w14:paraId="66029419">
            <w:r>
              <w:t xml:space="preserve">I_pixel_clk / I_rst</w:t>
            </w:r>
          </w:p>
        </w:tc>
        <w:tc>
          <w:tcPr>
            <w:tcW w:w="1318" w:type="dxa"/>
          </w:tcPr>
          <w:p w14:paraId="66029419">
            <w:r>
              <w:t xml:space="preserve">输入</w:t>
            </w:r>
          </w:p>
        </w:tc>
        <w:tc>
          <w:tcPr>
            <w:tcW w:w="3851" w:type="dxa"/>
          </w:tcPr>
          <w:p w14:paraId="66029419">
            <w:r>
              <w:t xml:space="preserve">视频参考和复位</w:t>
            </w:r>
          </w:p>
        </w:tc>
      </w:tr>
      <w:tr>
        <w:trPr>
          <w:cantSplit/>
        </w:trPr>
        <w:tc>
          <w:tcPr>
            <w:tcW w:w="4469" w:type="dxa"/>
          </w:tcPr>
          <w:p w14:paraId="66029419">
            <w:r>
              <w:t xml:space="preserve">I_axis_s_*</w:t>
            </w:r>
          </w:p>
        </w:tc>
        <w:tc>
          <w:tcPr>
            <w:tcW w:w="1318" w:type="dxa"/>
          </w:tcPr>
          <w:p w14:paraId="66029419">
            <w:r>
              <w:t xml:space="preserve">输入</w:t>
            </w:r>
          </w:p>
        </w:tc>
        <w:tc>
          <w:tcPr>
            <w:tcW w:w="3851" w:type="dxa"/>
          </w:tcPr>
          <w:p w14:paraId="66029419">
            <w:r>
              <w:t xml:space="preserve">视频流及帧/行标志</w:t>
            </w:r>
          </w:p>
        </w:tc>
      </w:tr>
      <w:tr>
        <w:trPr>
          <w:cantSplit/>
        </w:trPr>
        <w:tc>
          <w:tcPr>
            <w:tcW w:w="4469" w:type="dxa"/>
          </w:tcPr>
          <w:p w14:paraId="66029419">
            <w:r>
              <w:t xml:space="preserve">I_audio_valid / left/right_data</w:t>
            </w:r>
          </w:p>
        </w:tc>
        <w:tc>
          <w:tcPr>
            <w:tcW w:w="1318" w:type="dxa"/>
          </w:tcPr>
          <w:p w14:paraId="66029419">
            <w:r>
              <w:t xml:space="preserve">输入</w:t>
            </w:r>
          </w:p>
        </w:tc>
        <w:tc>
          <w:tcPr>
            <w:tcW w:w="3851" w:type="dxa"/>
          </w:tcPr>
          <w:p w14:paraId="66029419">
            <w:r>
              <w:t xml:space="preserve">样本有效及24位左右PCM</w:t>
            </w:r>
          </w:p>
        </w:tc>
      </w:tr>
      <w:tr>
        <w:trPr>
          <w:cantSplit/>
        </w:trPr>
        <w:tc>
          <w:tcPr>
            <w:tcW w:w="4469" w:type="dxa"/>
          </w:tcPr>
          <w:p w14:paraId="66029419">
            <w:r>
              <w:t xml:space="preserve">I_acr_valid / cts / n</w:t>
            </w:r>
          </w:p>
        </w:tc>
        <w:tc>
          <w:tcPr>
            <w:tcW w:w="1318" w:type="dxa"/>
          </w:tcPr>
          <w:p w14:paraId="66029419">
            <w:r>
              <w:t xml:space="preserve">输入</w:t>
            </w:r>
          </w:p>
        </w:tc>
        <w:tc>
          <w:tcPr>
            <w:tcW w:w="3851" w:type="dxa"/>
          </w:tcPr>
          <w:p w14:paraId="66029419">
            <w:r>
              <w:t xml:space="preserve">音频时钟恢复参数</w:t>
            </w:r>
          </w:p>
        </w:tc>
      </w:tr>
      <w:tr>
        <w:trPr>
          <w:cantSplit/>
        </w:trPr>
        <w:tc>
          <w:tcPr>
            <w:tcW w:w="4469" w:type="dxa"/>
          </w:tcPr>
          <w:p w14:paraId="66029419">
            <w:r>
              <w:t xml:space="preserve">I_edid_read_trig</w:t>
            </w:r>
          </w:p>
        </w:tc>
        <w:tc>
          <w:tcPr>
            <w:tcW w:w="1318" w:type="dxa"/>
          </w:tcPr>
          <w:p w14:paraId="66029419">
            <w:r>
              <w:t xml:space="preserve">输入</w:t>
            </w:r>
          </w:p>
        </w:tc>
        <w:tc>
          <w:tcPr>
            <w:tcW w:w="3851" w:type="dxa"/>
          </w:tcPr>
          <w:p w14:paraId="66029419">
            <w:r>
              <w:t xml:space="preserve">启动EDID读取</w:t>
            </w:r>
          </w:p>
        </w:tc>
      </w:tr>
      <w:tr>
        <w:trPr>
          <w:cantSplit/>
        </w:trPr>
        <w:tc>
          <w:tcPr>
            <w:tcW w:w="4469" w:type="dxa"/>
          </w:tcPr>
          <w:p w14:paraId="66029419">
            <w:r>
              <w:t xml:space="preserve">O_ddc_scl / IO_ddc_sda</w:t>
            </w:r>
          </w:p>
        </w:tc>
        <w:tc>
          <w:tcPr>
            <w:tcW w:w="1318" w:type="dxa"/>
          </w:tcPr>
          <w:p w14:paraId="66029419">
            <w:r>
              <w:t xml:space="preserve">输出/双向</w:t>
            </w:r>
          </w:p>
        </w:tc>
        <w:tc>
          <w:tcPr>
            <w:tcW w:w="3851" w:type="dxa"/>
          </w:tcPr>
          <w:p w14:paraId="66029419">
            <w:r>
              <w:t xml:space="preserve">DDC交互</w:t>
            </w:r>
          </w:p>
        </w:tc>
      </w:tr>
      <w:tr>
        <w:trPr>
          <w:cantSplit/>
        </w:trPr>
        <w:tc>
          <w:tcPr>
            <w:tcW w:w="4469" w:type="dxa"/>
          </w:tcPr>
          <w:p w14:paraId="66029419">
            <w:r>
              <w:t xml:space="preserve">O_ch0/1/2/clk_tmds_data</w:t>
            </w:r>
          </w:p>
        </w:tc>
        <w:tc>
          <w:tcPr>
            <w:tcW w:w="1318" w:type="dxa"/>
          </w:tcPr>
          <w:p w14:paraId="66029419">
            <w:r>
              <w:t xml:space="preserve">输出</w:t>
            </w:r>
          </w:p>
        </w:tc>
        <w:tc>
          <w:tcPr>
            <w:tcW w:w="3851" w:type="dxa"/>
          </w:tcPr>
          <w:p w14:paraId="66029419">
            <w:r>
              <w:t xml:space="preserve">10位TMDS通道至PHY</w:t>
            </w:r>
          </w:p>
        </w:tc>
      </w:tr>
    </w:tbl>
    <w:p w14:paraId="467917C8">
      <w:pPr>
        <w:pStyle w:val="172"/>
      </w:pPr>
      <w:r>
        <w:t xml:space="preserve">表4 发射核接口组。PHY在125 MHz域串行化；当前音频接口有效连接，未沿用纯视频例程中的音频置零配置。</w:t>
      </w:r>
    </w:p>
    <w:p w14:paraId="2AA86CA1">
      <w:pPr>
        <w:pStyle w:val="162"/>
        <w:keepNext/>
        <w:outlineLvl w:val="1"/>
      </w:pPr>
      <w:bookmarkStart w:id="112" w:name="AnshiboH12"/>
      <w:r>
        <w:t xml:space="preserve">3.4 FIFO与SDRAM模块</w:t>
      </w:r>
      <w:bookmarkEnd w:id="112"/>
    </w:p>
    <w:p w14:paraId="1D62B51D">
      <w:pPr>
        <w:pStyle w:val="151"/>
      </w:pPr>
      <w:r>
        <w:t xml:space="preserve">frame_read_write封装读写FIFO与SDRAM用户事务，默认MEM_DATA_BITS=32、ADDR_BITS=21。读写在时钟域间缓冲，存储访问由控制器仲裁；不能把两个逻辑通路并行理解为SDRAM同一时刻双端口访问。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0"/>
        <w:gridCol w:w="1112"/>
        <w:gridCol w:w="3666"/>
      </w:tblGrid>
      <w:tr>
        <w:trPr>
          <w:cantSplit/>
          <w:tblHeader/>
        </w:trPr>
        <w:tc>
          <w:tcPr>
            <w:tcW w:w="4860" w:type="dxa"/>
          </w:tcPr>
          <w:p w14:paraId="66029419">
            <w:r>
              <w:rPr>
                <w:b/>
              </w:rPr>
              <w:t xml:space="preserve">接口组</w:t>
            </w:r>
          </w:p>
        </w:tc>
        <w:tc>
          <w:tcPr>
            <w:tcW w:w="1112" w:type="dxa"/>
          </w:tcPr>
          <w:p w14:paraId="66029419">
            <w:r>
              <w:rPr>
                <w:b/>
              </w:rPr>
              <w:t xml:space="preserve">方向</w:t>
            </w:r>
          </w:p>
        </w:tc>
        <w:tc>
          <w:tcPr>
            <w:tcW w:w="3666" w:type="dxa"/>
          </w:tcPr>
          <w:p w14:paraId="66029419">
            <w:r>
              <w:rPr>
                <w:b/>
              </w:rPr>
              <w:t xml:space="preserve">用途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mem_clk / Sdr_init_done / Sdr_busy</w:t>
            </w:r>
          </w:p>
        </w:tc>
        <w:tc>
          <w:tcPr>
            <w:tcW w:w="1112" w:type="dxa"/>
          </w:tcPr>
          <w:p w14:paraId="66029419">
            <w:r>
              <w:t xml:space="preserve">输入</w:t>
            </w:r>
          </w:p>
        </w:tc>
        <w:tc>
          <w:tcPr>
            <w:tcW w:w="3666" w:type="dxa"/>
          </w:tcPr>
          <w:p w14:paraId="66029419">
            <w:r>
              <w:t xml:space="preserve">内存时钟、初始化与忙状态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read_clk/read_req/read_len</w:t>
            </w:r>
          </w:p>
        </w:tc>
        <w:tc>
          <w:tcPr>
            <w:tcW w:w="1112" w:type="dxa"/>
          </w:tcPr>
          <w:p w14:paraId="66029419">
            <w:r>
              <w:t xml:space="preserve">输入</w:t>
            </w:r>
          </w:p>
        </w:tc>
        <w:tc>
          <w:tcPr>
            <w:tcW w:w="3666" w:type="dxa"/>
          </w:tcPr>
          <w:p w14:paraId="66029419">
            <w:r>
              <w:t xml:space="preserve">视频侧读取请求及帧长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read_req_ack/read_data</w:t>
            </w:r>
          </w:p>
        </w:tc>
        <w:tc>
          <w:tcPr>
            <w:tcW w:w="1112" w:type="dxa"/>
          </w:tcPr>
          <w:p w14:paraId="66029419">
            <w:r>
              <w:t xml:space="preserve">输出</w:t>
            </w:r>
          </w:p>
        </w:tc>
        <w:tc>
          <w:tcPr>
            <w:tcW w:w="3666" w:type="dxa"/>
          </w:tcPr>
          <w:p w14:paraId="66029419">
            <w:r>
              <w:t xml:space="preserve">读请求应答与32位数据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read_addr_index / write_addr_index</w:t>
            </w:r>
          </w:p>
        </w:tc>
        <w:tc>
          <w:tcPr>
            <w:tcW w:w="1112" w:type="dxa"/>
          </w:tcPr>
          <w:p w14:paraId="66029419">
            <w:r>
              <w:t xml:space="preserve">输入</w:t>
            </w:r>
          </w:p>
        </w:tc>
        <w:tc>
          <w:tcPr>
            <w:tcW w:w="3666" w:type="dxa"/>
          </w:tcPr>
          <w:p w14:paraId="66029419">
            <w:r>
              <w:t xml:space="preserve">两帧地址区域选择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read_active_index / read_slide_mix</w:t>
            </w:r>
          </w:p>
        </w:tc>
        <w:tc>
          <w:tcPr>
            <w:tcW w:w="1112" w:type="dxa"/>
          </w:tcPr>
          <w:p w14:paraId="66029419">
            <w:r>
              <w:t xml:space="preserve">输出</w:t>
            </w:r>
          </w:p>
        </w:tc>
        <w:tc>
          <w:tcPr>
            <w:tcW w:w="3666" w:type="dxa"/>
          </w:tcPr>
          <w:p w14:paraId="66029419">
            <w:r>
              <w:t xml:space="preserve">实际读帧及混读反馈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slide_offset / slide_target_index</w:t>
            </w:r>
          </w:p>
        </w:tc>
        <w:tc>
          <w:tcPr>
            <w:tcW w:w="1112" w:type="dxa"/>
          </w:tcPr>
          <w:p w14:paraId="66029419">
            <w:r>
              <w:t xml:space="preserve">输入</w:t>
            </w:r>
          </w:p>
        </w:tc>
        <w:tc>
          <w:tcPr>
            <w:tcW w:w="3666" w:type="dxa"/>
          </w:tcPr>
          <w:p w14:paraId="66029419">
            <w:r>
              <w:t xml:space="preserve">水平偏移及新图缓存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write_clk/write_req/write_en/write_data</w:t>
            </w:r>
          </w:p>
        </w:tc>
        <w:tc>
          <w:tcPr>
            <w:tcW w:w="1112" w:type="dxa"/>
          </w:tcPr>
          <w:p w14:paraId="66029419">
            <w:r>
              <w:t xml:space="preserve">输入</w:t>
            </w:r>
          </w:p>
        </w:tc>
        <w:tc>
          <w:tcPr>
            <w:tcW w:w="3666" w:type="dxa"/>
          </w:tcPr>
          <w:p w14:paraId="66029419">
            <w:r>
              <w:t xml:space="preserve">TF侧写入事务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write_req_ack/write_finish/write_ready</w:t>
            </w:r>
          </w:p>
        </w:tc>
        <w:tc>
          <w:tcPr>
            <w:tcW w:w="1112" w:type="dxa"/>
          </w:tcPr>
          <w:p w14:paraId="66029419">
            <w:r>
              <w:t xml:space="preserve">输出</w:t>
            </w:r>
          </w:p>
        </w:tc>
        <w:tc>
          <w:tcPr>
            <w:tcW w:w="3666" w:type="dxa"/>
          </w:tcPr>
          <w:p w14:paraId="66029419">
            <w:r>
              <w:t xml:space="preserve">应答、完整写入与背压</w:t>
            </w:r>
          </w:p>
        </w:tc>
      </w:tr>
      <w:tr>
        <w:trPr>
          <w:cantSplit/>
        </w:trPr>
        <w:tc>
          <w:tcPr>
            <w:tcW w:w="4860" w:type="dxa"/>
          </w:tcPr>
          <w:p w14:paraId="66029419">
            <w:r>
              <w:t xml:space="preserve">App_rd_en/addr  App_wr_en/addr/din</w:t>
            </w:r>
          </w:p>
        </w:tc>
        <w:tc>
          <w:tcPr>
            <w:tcW w:w="1112" w:type="dxa"/>
          </w:tcPr>
          <w:p w14:paraId="66029419">
            <w:r>
              <w:t xml:space="preserve">输出</w:t>
            </w:r>
          </w:p>
        </w:tc>
        <w:tc>
          <w:tcPr>
            <w:tcW w:w="3666" w:type="dxa"/>
          </w:tcPr>
          <w:p w14:paraId="66029419">
            <w:r>
              <w:t xml:space="preserve">SDRAM用户读写接口</w:t>
            </w:r>
          </w:p>
        </w:tc>
      </w:tr>
    </w:tbl>
    <w:p w14:paraId="1D62B51D">
      <w:pPr>
        <w:pStyle w:val="151"/>
      </w:pPr>
      <w:r>
        <w:t xml:space="preserve">表5 内存与FIFO接口组，完整位宽见SD/frame_read_write.v。SDRAM沿用官方控制及加密模块，当前用户接口约41.667 MHz。</w:t>
      </w:r>
    </w:p>
    <w:p w14:paraId="2AA86CA1">
      <w:pPr>
        <w:pStyle w:val="162"/>
        <w:keepNext/>
        <w:outlineLvl w:val="1"/>
      </w:pPr>
      <w:bookmarkStart w:id="113" w:name="AnshiboH13"/>
      <w:r>
        <w:t xml:space="preserve">3.5 音频与应急门控模块</w:t>
      </w:r>
      <w:bookmarkEnd w:id="113"/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5"/>
        <w:gridCol w:w="3171"/>
        <w:gridCol w:w="3171"/>
      </w:tblGrid>
      <w:tr>
        <w:trPr>
          <w:cantSplit/>
          <w:tblHeader/>
        </w:trPr>
        <w:tc>
          <w:tcPr>
            <w:tcW w:w="3295" w:type="dxa"/>
          </w:tcPr>
          <w:p w14:paraId="66029419">
            <w:r>
              <w:rPr>
                <w:b/>
              </w:rPr>
              <w:t xml:space="preserve">模块</w:t>
            </w:r>
          </w:p>
        </w:tc>
        <w:tc>
          <w:tcPr>
            <w:tcW w:w="3171" w:type="dxa"/>
          </w:tcPr>
          <w:p w14:paraId="66029419">
            <w:r>
              <w:rPr>
                <w:b/>
              </w:rPr>
              <w:t xml:space="preserve">主要输入</w:t>
            </w:r>
          </w:p>
        </w:tc>
        <w:tc>
          <w:tcPr>
            <w:tcW w:w="3171" w:type="dxa"/>
          </w:tcPr>
          <w:p w14:paraId="66029419">
            <w:r>
              <w:rPr>
                <w:b/>
              </w:rPr>
              <w:t xml:space="preserve">主要输出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hdmi_audio_tone_i2s_64fs</w:t>
            </w:r>
          </w:p>
        </w:tc>
        <w:tc>
          <w:tcPr>
            <w:tcW w:w="3171" w:type="dxa"/>
          </w:tcPr>
          <w:p w14:paraId="66029419">
            <w:r>
              <w:t xml:space="preserve">I_mclk、I_rst、I_enable、I_alert_level</w:t>
            </w:r>
          </w:p>
        </w:tc>
        <w:tc>
          <w:tcPr>
            <w:tcW w:w="3171" w:type="dxa"/>
          </w:tcPr>
          <w:p w14:paraId="66029419">
            <w:r>
              <w:t xml:space="preserve">I2S BCLK/LRCK/DOUT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I2S_receiver</w:t>
            </w:r>
          </w:p>
        </w:tc>
        <w:tc>
          <w:tcPr>
            <w:tcW w:w="3171" w:type="dxa"/>
          </w:tcPr>
          <w:p w14:paraId="66029419">
            <w:r>
              <w:t xml:space="preserve">I_clk、I_rst、I_i2s_*</w:t>
            </w:r>
          </w:p>
        </w:tc>
        <w:tc>
          <w:tcPr>
            <w:tcW w:w="3171" w:type="dxa"/>
          </w:tcPr>
          <w:p w14:paraId="66029419">
            <w:r>
              <w:t xml:space="preserve">valid及24位左右PCM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audio_arc_calculate</w:t>
            </w:r>
          </w:p>
        </w:tc>
        <w:tc>
          <w:tcPr>
            <w:tcW w:w="3171" w:type="dxa"/>
          </w:tcPr>
          <w:p w14:paraId="66029419">
            <w:r>
              <w:t xml:space="preserve">I_clk、I_rst、I_audio_valid</w:t>
            </w:r>
          </w:p>
        </w:tc>
        <w:tc>
          <w:tcPr>
            <w:tcW w:w="3171" w:type="dxa"/>
          </w:tcPr>
          <w:p w14:paraId="66029419">
            <w:r>
              <w:t xml:space="preserve">valid、20位CTS/N</w:t>
            </w:r>
          </w:p>
        </w:tc>
      </w:tr>
      <w:tr>
        <w:trPr>
          <w:cantSplit/>
        </w:trPr>
        <w:tc>
          <w:tcPr>
            <w:tcW w:w="3295" w:type="dxa"/>
          </w:tcPr>
          <w:p w14:paraId="66029419">
            <w:r>
              <w:t xml:space="preserve">emergency_audio_frame_gate</w:t>
            </w:r>
          </w:p>
        </w:tc>
        <w:tc>
          <w:tcPr>
            <w:tcW w:w="3171" w:type="dxa"/>
          </w:tcPr>
          <w:p w14:paraId="66029419">
            <w:r>
              <w:t xml:space="preserve">vs/de、模式、加载及缓存标签</w:t>
            </w:r>
          </w:p>
        </w:tc>
        <w:tc>
          <w:tcPr>
            <w:tcW w:w="3171" w:type="dxa"/>
          </w:tcPr>
          <w:p w14:paraId="66029419">
            <w:r>
              <w:t xml:space="preserve">audio_enable、picture_ready、restore_ready</w:t>
            </w:r>
          </w:p>
        </w:tc>
      </w:tr>
    </w:tbl>
    <w:p w14:paraId="467917C8">
      <w:pPr>
        <w:pStyle w:val="172"/>
      </w:pPr>
      <w:r>
        <w:t xml:space="preserve">表6 音频与显示就绪模块。分级控制由graded_alert_ctrl仲裁；event_packet_buffer处理事件双银行、CRC和提交代次，uart_console负责8N1命令接收与应答。</w:t>
      </w:r>
    </w:p>
    <w:p>
      <w:r>
        <w:br w:type="page"/>
      </w:r>
    </w:p>
    <w:p w14:paraId="45335DDB">
      <w:pPr>
        <w:pStyle w:val="160"/>
        <w:keepNext/>
        <w:outlineLvl w:val="0"/>
      </w:pPr>
      <w:bookmarkStart w:id="114" w:name="AnshiboH14"/>
      <w:r>
        <w:t xml:space="preserve">4 实验步骤</w:t>
      </w:r>
      <w:bookmarkEnd w:id="114"/>
    </w:p>
    <w:p w14:paraId="2AA86CA1">
      <w:pPr>
        <w:pStyle w:val="162"/>
        <w:keepNext/>
        <w:outlineLvl w:val="1"/>
      </w:pPr>
      <w:bookmarkStart w:id="115" w:name="AnshiboH15"/>
      <w:r>
        <w:t xml:space="preserve">4.1 连接与资源准备</w:t>
      </w:r>
      <w:bookmarkEnd w:id="115"/>
    </w:p>
    <w:p w14:paraId="1D62B51D">
      <w:pPr>
        <w:pStyle w:val="151"/>
      </w:pPr>
      <w:r>
        <w:t xml:space="preserve">开发板连接下载线与电源；HDMI_B连接显示器或带音频输出的接收设备，音箱接相应音频输出。FAT32 TF卡根目录复制tf_resources中的NORMAL及ALERT，插入板卡。串口为选配，用USB-UART连接电脑。</w:t>
      </w:r>
    </w:p>
    <w:p w14:paraId="1D62B51D">
      <w:pPr>
        <w:pStyle w:val="151"/>
      </w:pPr>
      <w:r>
        <w:t xml:space="preserve">NORMAL放置NNN.BMP，ALERT放EVAC.BMP。必须是真正RGB24无压缩BMP，不能直接把PNG/JPG改后缀；支持宽1至1280、高1至960。首次验证不放PLAYLIST.TXT，确认正常后再配置。修改素材时断电取卡，安全弹出后重新上电。</w:t>
      </w:r>
    </w:p>
    <w:p w14:paraId="2AA86CA1">
      <w:pPr>
        <w:pStyle w:val="162"/>
        <w:keepNext/>
        <w:outlineLvl w:val="1"/>
      </w:pPr>
      <w:bookmarkStart w:id="116" w:name="AnshiboH16"/>
      <w:r>
        <w:t xml:space="preserve">4.2 编译 固化与操作</w:t>
      </w:r>
      <w:bookmarkEnd w:id="116"/>
    </w:p>
    <w:p w14:paraId="1D62B51D">
      <w:pPr>
        <w:pStyle w:val="151"/>
      </w:pPr>
      <w:r>
        <w:t xml:space="preserve">步骤1  TD 6.2.1打开src/td_project/anshibo.al，选择top及EG4S20BG256，保留随包引脚和时序约束。执行综合、布局布线、时序检查及bit流生成；命令行构建从src/td_project运行../../tools/build_td.tcl。</w:t>
      </w:r>
    </w:p>
    <w:p w14:paraId="1D62B51D">
      <w:pPr>
        <w:pStyle w:val="151"/>
      </w:pPr>
      <w:r>
        <w:t xml:space="preserve">步骤2  BitWriter的PROGRAM_SRAM下载firmware/anshibo_prefetch.bit进行验证。通过后按开发板流程使用PROGRAM_FLASH固化，等待完成再断电；重新上电不执行下载，检查独立启动。</w:t>
      </w:r>
    </w:p>
    <w:p w14:paraId="1D62B51D">
      <w:pPr>
        <w:pStyle w:val="151"/>
      </w:pPr>
      <w:r>
        <w:t xml:space="preserve">步骤3  等待首图完整提交。KEY2切换下一张，KEY4开启/关闭自动轮播。默认停留5秒，较大文件未预读完可能继续等待；005显示几秒后再切006可观察预加载效果。</w:t>
      </w:r>
    </w:p>
    <w:p w14:paraId="1D62B51D">
      <w:pPr>
        <w:pStyle w:val="151"/>
      </w:pPr>
      <w:r>
        <w:t xml:space="preserve">步骤4  SW1控制普通字幕波形，SW2进入参数调节，SW3选择对比度或亮度。KEY3选择/确认预警等级，选择中KEY2改变候选，长按KEY3约2秒进入三级；解除后恢复日常。</w:t>
      </w:r>
    </w:p>
    <w:p w14:paraId="1D62B51D">
      <w:pPr>
        <w:pStyle w:val="151"/>
      </w:pPr>
      <w:r>
        <w:t xml:space="preserve">步骤5  可选运行tools/launch_uart.cmd并输入COM编号。依次测试PING、RESOURCES、TEXT 请到操场集合、TRANSITION FADE/CUT/SLIDE。PUBLISH录入新编号、等级、区域和正文；ESTATUS查询，CLEAR解除后台。每条等待回复，OK只表示受理。</w:t>
      </w:r>
    </w:p>
    <w:p w14:paraId="467917C8">
      <w:pPr>
        <w:pStyle w:val="172"/>
      </w:pPr>
      <w:r>
        <w:t xml:space="preserve">复位或断电后普通字幕、事件与远程设置不保留；无需连接电脑即可完成核心现场演示。</w:t>
      </w:r>
    </w:p>
    <w:p w14:paraId="2AA86CA1">
      <w:pPr>
        <w:pStyle w:val="162"/>
        <w:keepNext/>
        <w:outlineLvl w:val="1"/>
      </w:pPr>
      <w:bookmarkStart w:id="117" w:name="AnshiboH17"/>
      <w:r>
        <w:t xml:space="preserve">4.3 功能测试与实现结果</w:t>
      </w:r>
      <w:bookmarkEnd w:id="117"/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  <w:gridCol w:w="7167"/>
      </w:tblGrid>
      <w:tr>
        <w:trPr>
          <w:cantSplit/>
          <w:tblHeader/>
        </w:trPr>
        <w:tc>
          <w:tcPr>
            <w:tcW w:w="2471" w:type="dxa"/>
          </w:tcPr>
          <w:p w14:paraId="66029419">
            <w:r>
              <w:rPr>
                <w:b/>
              </w:rPr>
              <w:t xml:space="preserve">项目</w:t>
            </w:r>
          </w:p>
        </w:tc>
        <w:tc>
          <w:tcPr>
            <w:tcW w:w="7167" w:type="dxa"/>
          </w:tcPr>
          <w:p w14:paraId="66029419">
            <w:r>
              <w:rPr>
                <w:b/>
              </w:rPr>
              <w:t xml:space="preserve">检查要点</w:t>
            </w:r>
          </w:p>
        </w:tc>
      </w:tr>
      <w:tr>
        <w:trPr>
          <w:cantSplit/>
        </w:trPr>
        <w:tc>
          <w:tcPr>
            <w:tcW w:w="2471" w:type="dxa"/>
          </w:tcPr>
          <w:p w14:paraId="66029419">
            <w:r>
              <w:t xml:space="preserve">独立启动</w:t>
            </w:r>
          </w:p>
        </w:tc>
        <w:tc>
          <w:tcPr>
            <w:tcW w:w="7167" w:type="dxa"/>
          </w:tcPr>
          <w:p w14:paraId="66029419">
            <w:r>
              <w:t xml:space="preserve">Flash固化后断电重启，不执行下载</w:t>
            </w:r>
          </w:p>
        </w:tc>
      </w:tr>
      <w:tr>
        <w:trPr>
          <w:cantSplit/>
        </w:trPr>
        <w:tc>
          <w:tcPr>
            <w:tcW w:w="2471" w:type="dxa"/>
          </w:tcPr>
          <w:p w14:paraId="66029419">
            <w:r>
              <w:t xml:space="preserve">日常展示</w:t>
            </w:r>
          </w:p>
        </w:tc>
        <w:tc>
          <w:tcPr>
            <w:tcW w:w="7167" w:type="dxa"/>
          </w:tcPr>
          <w:p w14:paraId="66029419">
            <w:r>
              <w:t xml:space="preserve">手动、自动、首尾循环及目录新增图片</w:t>
            </w:r>
          </w:p>
        </w:tc>
      </w:tr>
      <w:tr>
        <w:trPr>
          <w:cantSplit/>
        </w:trPr>
        <w:tc>
          <w:tcPr>
            <w:tcW w:w="2471" w:type="dxa"/>
          </w:tcPr>
          <w:p w14:paraId="66029419">
            <w:r>
              <w:t xml:space="preserve">五项拓展</w:t>
            </w:r>
          </w:p>
        </w:tc>
        <w:tc>
          <w:tcPr>
            <w:tcW w:w="7167" w:type="dxa"/>
          </w:tcPr>
          <w:p w14:paraId="66029419">
            <w:r>
              <w:t xml:space="preserve">字幕图层、三种转场、缩放、参数OSD、PCM波形</w:t>
            </w:r>
          </w:p>
        </w:tc>
      </w:tr>
      <w:tr>
        <w:trPr>
          <w:cantSplit/>
        </w:trPr>
        <w:tc>
          <w:tcPr>
            <w:tcW w:w="2471" w:type="dxa"/>
          </w:tcPr>
          <w:p w14:paraId="66029419">
            <w:r>
              <w:t xml:space="preserve">预读与应急</w:t>
            </w:r>
          </w:p>
        </w:tc>
        <w:tc>
          <w:tcPr>
            <w:tcW w:w="7167" w:type="dxa"/>
          </w:tcPr>
          <w:p w14:paraId="66029419">
            <w:r>
              <w:t xml:space="preserve">预读中触发、无普通帧闪出、直接切屏与恢复</w:t>
            </w:r>
          </w:p>
        </w:tc>
      </w:tr>
      <w:tr>
        <w:trPr>
          <w:cantSplit/>
        </w:trPr>
        <w:tc>
          <w:tcPr>
            <w:tcW w:w="2471" w:type="dxa"/>
          </w:tcPr>
          <w:p w14:paraId="66029419">
            <w:r>
              <w:t xml:space="preserve">后台更新</w:t>
            </w:r>
          </w:p>
        </w:tc>
        <w:tc>
          <w:tcPr>
            <w:tcW w:w="7167" w:type="dxa"/>
          </w:tcPr>
          <w:p w14:paraId="66029419">
            <w:r>
              <w:t xml:space="preserve">TEXT与PUBLISH正确，本地同级或更高优先</w:t>
            </w:r>
          </w:p>
        </w:tc>
      </w:tr>
      <w:tr>
        <w:trPr>
          <w:cantSplit/>
        </w:trPr>
        <w:tc>
          <w:tcPr>
            <w:tcW w:w="2471" w:type="dxa"/>
          </w:tcPr>
          <w:p w14:paraId="66029419">
            <w:r>
              <w:t xml:space="preserve">异常与稳定</w:t>
            </w:r>
          </w:p>
        </w:tc>
        <w:tc>
          <w:tcPr>
            <w:tcW w:w="7167" w:type="dxa"/>
          </w:tcPr>
          <w:p w14:paraId="66029419">
            <w:r>
              <w:t xml:space="preserve">缺图降级、重复操作、持续轮播无卡死或花屏</w:t>
            </w:r>
          </w:p>
        </w:tc>
      </w:tr>
    </w:tbl>
    <w:p w14:paraId="1D62B51D">
      <w:pPr>
        <w:pStyle w:val="151"/>
      </w:pPr>
      <w:r>
        <w:t xml:space="preserve">表7 最终上板检查项目。当前预加载版本及串口功能由用户反馈运行正常；仿真覆盖BMP像素、FAT32簇链、读帧释放、事件事务和应急帧门控。未记录最终固化重启次数、连续运行小时数及物理端到端延迟。</w:t>
      </w:r>
    </w:p>
    <w:p w14:paraId="1D62B51D">
      <w:pPr>
        <w:pStyle w:val="151"/>
        <w:keepNext/>
      </w:pPr>
      <w:r>
        <w:rPr>
          <w:b/>
        </w:rPr>
        <w:t xml:space="preserve">编译资源与时序</w:t>
      </w:r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2"/>
        <w:gridCol w:w="5766"/>
      </w:tblGrid>
      <w:tr>
        <w:trPr>
          <w:cantSplit/>
          <w:tblHeader/>
        </w:trPr>
        <w:tc>
          <w:tcPr>
            <w:tcW w:w="3872" w:type="dxa"/>
          </w:tcPr>
          <w:p w14:paraId="66029419">
            <w:r>
              <w:rPr>
                <w:b/>
              </w:rPr>
              <w:t xml:space="preserve">资源</w:t>
            </w:r>
          </w:p>
        </w:tc>
        <w:tc>
          <w:tcPr>
            <w:tcW w:w="5766" w:type="dxa"/>
          </w:tcPr>
          <w:p w14:paraId="66029419">
            <w:r>
              <w:rPr>
                <w:b/>
              </w:rPr>
              <w:t xml:space="preserve">结果</w:t>
            </w:r>
          </w:p>
        </w:tc>
      </w:tr>
      <w:tr>
        <w:trPr>
          <w:cantSplit/>
        </w:trPr>
        <w:tc>
          <w:tcPr>
            <w:tcW w:w="3872" w:type="dxa"/>
          </w:tcPr>
          <w:p w14:paraId="66029419">
            <w:r>
              <w:t xml:space="preserve">LUT / 寄存器</w:t>
            </w:r>
          </w:p>
        </w:tc>
        <w:tc>
          <w:tcPr>
            <w:tcW w:w="5766" w:type="dxa"/>
          </w:tcPr>
          <w:p w14:paraId="66029419">
            <w:r>
              <w:t xml:space="preserve">15008/19600  8294/19600</w:t>
            </w:r>
          </w:p>
        </w:tc>
      </w:tr>
      <w:tr>
        <w:trPr>
          <w:cantSplit/>
        </w:trPr>
        <w:tc>
          <w:tcPr>
            <w:tcW w:w="3872" w:type="dxa"/>
          </w:tcPr>
          <w:p w14:paraId="66029419">
            <w:r>
              <w:t xml:space="preserve">BRAM / DSP</w:t>
            </w:r>
          </w:p>
        </w:tc>
        <w:tc>
          <w:tcPr>
            <w:tcW w:w="5766" w:type="dxa"/>
          </w:tcPr>
          <w:p w14:paraId="66029419">
            <w:r>
              <w:t xml:space="preserve">60/64  7/29</w:t>
            </w:r>
          </w:p>
        </w:tc>
      </w:tr>
      <w:tr>
        <w:trPr>
          <w:cantSplit/>
        </w:trPr>
        <w:tc>
          <w:tcPr>
            <w:tcW w:w="3872" w:type="dxa"/>
          </w:tcPr>
          <w:p w14:paraId="66029419">
            <w:r>
              <w:t xml:space="preserve">建立时间余量 SWNS</w:t>
            </w:r>
          </w:p>
        </w:tc>
        <w:tc>
          <w:tcPr>
            <w:tcW w:w="5766" w:type="dxa"/>
          </w:tcPr>
          <w:p w14:paraId="66029419">
            <w:r>
              <w:t xml:space="preserve">+0.108 ns</w:t>
            </w:r>
          </w:p>
        </w:tc>
      </w:tr>
      <w:tr>
        <w:trPr>
          <w:cantSplit/>
        </w:trPr>
        <w:tc>
          <w:tcPr>
            <w:tcW w:w="3872" w:type="dxa"/>
          </w:tcPr>
          <w:p w14:paraId="66029419">
            <w:r>
              <w:t xml:space="preserve">保持时间余量 HWNS</w:t>
            </w:r>
          </w:p>
        </w:tc>
        <w:tc>
          <w:tcPr>
            <w:tcW w:w="5766" w:type="dxa"/>
          </w:tcPr>
          <w:p w14:paraId="66029419">
            <w:r>
              <w:t xml:space="preserve">+0.003 ns</w:t>
            </w:r>
          </w:p>
        </w:tc>
      </w:tr>
      <w:tr>
        <w:trPr>
          <w:cantSplit/>
        </w:trPr>
        <w:tc>
          <w:tcPr>
            <w:tcW w:w="3872" w:type="dxa"/>
          </w:tcPr>
          <w:p w14:paraId="66029419">
            <w:r>
              <w:t xml:space="preserve">STA覆盖率</w:t>
            </w:r>
          </w:p>
        </w:tc>
        <w:tc>
          <w:tcPr>
            <w:tcW w:w="5766" w:type="dxa"/>
          </w:tcPr>
          <w:p w14:paraId="66029419">
            <w:r>
              <w:t xml:space="preserve">99.94%</w:t>
            </w:r>
          </w:p>
        </w:tc>
      </w:tr>
    </w:tbl>
    <w:p w14:paraId="1D62B51D">
      <w:pPr>
        <w:pStyle w:val="151"/>
      </w:pPr>
      <w:r>
        <w:t xml:space="preserve">表8 2026年10月8日提交源码重新编译结果。建立与保持检查通过；官方加密模块、时钟布线等仍有警告，不将编译成功解释为所有外部接口约束完整。</w:t>
      </w:r>
    </w:p>
    <w:p w14:paraId="1D62B51D">
      <w:pPr>
        <w:pStyle w:val="151"/>
        <w:keepNext/>
      </w:pPr>
      <w:r>
        <w:rPr>
          <w:b/>
        </w:rPr>
        <w:t xml:space="preserve">仿真量化边界</w:t>
      </w:r>
    </w:p>
    <w:p w14:paraId="1D62B51D">
      <w:pPr>
        <w:pStyle w:val="151"/>
      </w:pPr>
      <w:r>
        <w:t xml:space="preserve">25 MHz实际视频时序下，5种注入相位的缓存提交至可启动帧首像素等待约1.41至14.21 ms，报警使能与该像素判定在同一仿真时刻。该结果只针对内部帧门控，不代表终端物理音画差。模型强制的卡初始化和人工读写时延不用于真实启动时间宣传。</w:t>
      </w:r>
    </w:p>
    <w:p w14:paraId="2AA86CA1">
      <w:pPr>
        <w:pStyle w:val="162"/>
        <w:keepNext/>
        <w:outlineLvl w:val="1"/>
      </w:pPr>
      <w:bookmarkStart w:id="118" w:name="AnshiboH18"/>
      <w:r>
        <w:t xml:space="preserve">4.4 异常检查与交付说明</w:t>
      </w:r>
      <w:bookmarkEnd w:id="118"/>
    </w:p>
    <w:tbl>
      <w:tblPr>
        <w:tblStyle w:val="88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3"/>
        <w:gridCol w:w="6755"/>
      </w:tblGrid>
      <w:tr>
        <w:trPr>
          <w:cantSplit/>
          <w:tblHeader/>
        </w:trPr>
        <w:tc>
          <w:tcPr>
            <w:tcW w:w="2883" w:type="dxa"/>
          </w:tcPr>
          <w:p w14:paraId="66029419">
            <w:r>
              <w:rPr>
                <w:b/>
              </w:rPr>
              <w:t xml:space="preserve">现象</w:t>
            </w:r>
          </w:p>
        </w:tc>
        <w:tc>
          <w:tcPr>
            <w:tcW w:w="6755" w:type="dxa"/>
          </w:tcPr>
          <w:p w14:paraId="66029419">
            <w:r>
              <w:rPr>
                <w:b/>
              </w:rPr>
              <w:t xml:space="preserve">检查方法</w:t>
            </w:r>
          </w:p>
        </w:tc>
      </w:tr>
      <w:tr>
        <w:trPr>
          <w:cantSplit/>
        </w:trPr>
        <w:tc>
          <w:tcPr>
            <w:tcW w:w="2883" w:type="dxa"/>
          </w:tcPr>
          <w:p w14:paraId="66029419">
            <w:r>
              <w:t xml:space="preserve">没有图片</w:t>
            </w:r>
          </w:p>
        </w:tc>
        <w:tc>
          <w:tcPr>
            <w:tcW w:w="6755" w:type="dxa"/>
          </w:tcPr>
          <w:p w14:paraId="66029419">
            <w:r>
              <w:t xml:space="preserve">确认HDMI_B、FAT32、资源目录、RGB24及有效尺寸，查询RESOURCES</w:t>
            </w:r>
          </w:p>
        </w:tc>
      </w:tr>
      <w:tr>
        <w:trPr>
          <w:cantSplit/>
        </w:trPr>
        <w:tc>
          <w:tcPr>
            <w:tcW w:w="2883" w:type="dxa"/>
          </w:tcPr>
          <w:p w14:paraId="66029419">
            <w:r>
              <w:t xml:space="preserve">日常没有声音</w:t>
            </w:r>
          </w:p>
        </w:tc>
        <w:tc>
          <w:tcPr>
            <w:tcW w:w="6755" w:type="dxa"/>
          </w:tcPr>
          <w:p w14:paraId="66029419">
            <w:r>
              <w:t xml:space="preserve">普通模式为静音；触发二/三级再检查音频设置和音量</w:t>
            </w:r>
          </w:p>
        </w:tc>
      </w:tr>
      <w:tr>
        <w:trPr>
          <w:cantSplit/>
        </w:trPr>
        <w:tc>
          <w:tcPr>
            <w:tcW w:w="2883" w:type="dxa"/>
          </w:tcPr>
          <w:p w14:paraId="66029419">
            <w:r>
              <w:t xml:space="preserve">中文无法发送</w:t>
            </w:r>
          </w:p>
        </w:tc>
        <w:tc>
          <w:tcPr>
            <w:tcW w:w="6755" w:type="dxa"/>
          </w:tcPr>
          <w:p w14:paraId="66029419">
            <w:r>
              <w:t xml:space="preserve">仅支持随包607字形；不支持字符不改变当前内容</w:t>
            </w:r>
          </w:p>
        </w:tc>
      </w:tr>
      <w:tr>
        <w:trPr>
          <w:cantSplit/>
        </w:trPr>
        <w:tc>
          <w:tcPr>
            <w:tcW w:w="2883" w:type="dxa"/>
          </w:tcPr>
          <w:p w14:paraId="66029419">
            <w:r>
              <w:t xml:space="preserve">后台清除后仍预警</w:t>
            </w:r>
          </w:p>
        </w:tc>
        <w:tc>
          <w:tcPr>
            <w:tcW w:w="6755" w:type="dxa"/>
          </w:tcPr>
          <w:p w14:paraId="66029419">
            <w:r>
              <w:t xml:space="preserve">检查本地等级，CLEAR不清除本地</w:t>
            </w:r>
          </w:p>
        </w:tc>
      </w:tr>
      <w:tr>
        <w:trPr>
          <w:cantSplit/>
        </w:trPr>
        <w:tc>
          <w:tcPr>
            <w:tcW w:w="2883" w:type="dxa"/>
          </w:tcPr>
          <w:p w14:paraId="66029419">
            <w:r>
              <w:t xml:space="preserve">切换大图仍有等待</w:t>
            </w:r>
          </w:p>
        </w:tc>
        <w:tc>
          <w:tcPr>
            <w:tcW w:w="6755" w:type="dxa"/>
          </w:tcPr>
          <w:p w14:paraId="66029419">
            <w:r>
              <w:t xml:space="preserve">检查目标是否完成预读；预读不提高TF带宽</w:t>
            </w:r>
          </w:p>
        </w:tc>
      </w:tr>
      <w:tr>
        <w:trPr>
          <w:cantSplit/>
        </w:trPr>
        <w:tc>
          <w:tcPr>
            <w:tcW w:w="2883" w:type="dxa"/>
          </w:tcPr>
          <w:p w14:paraId="66029419">
            <w:r>
              <w:t xml:space="preserve">误认为显示日期</w:t>
            </w:r>
          </w:p>
        </w:tc>
        <w:tc>
          <w:tcPr>
            <w:tcW w:w="6755" w:type="dxa"/>
          </w:tcPr>
          <w:p w14:paraId="66029419">
            <w:r>
              <w:t xml:space="preserve">当前是运行时长，不含RTC日期</w:t>
            </w:r>
          </w:p>
        </w:tc>
      </w:tr>
      <w:tr>
        <w:trPr>
          <w:cantSplit/>
        </w:trPr>
        <w:tc>
          <w:tcPr>
            <w:tcW w:w="2883" w:type="dxa"/>
          </w:tcPr>
          <w:p w14:paraId="66029419">
            <w:r>
              <w:t xml:space="preserve">改TF图片未生效</w:t>
            </w:r>
          </w:p>
        </w:tc>
        <w:tc>
          <w:tcPr>
            <w:tcW w:w="6755" w:type="dxa"/>
          </w:tcPr>
          <w:p w14:paraId="66029419">
            <w:r>
              <w:t xml:space="preserve">断电更换后重新上电，使用列表时增加对应条目</w:t>
            </w:r>
          </w:p>
        </w:tc>
      </w:tr>
    </w:tbl>
    <w:p w14:paraId="1D62B51D">
      <w:pPr>
        <w:pStyle w:val="151"/>
      </w:pPr>
      <w:r>
        <w:t xml:space="preserve">表9 常见现象与排查。无应急底图时用内置背景和应急文字降级，不据图片缺失推测实际疏散路线。</w:t>
      </w:r>
    </w:p>
    <w:p w14:paraId="1D62B51D">
      <w:pPr>
        <w:pStyle w:val="151"/>
        <w:keepNext/>
      </w:pPr>
      <w:r>
        <w:rPr>
          <w:b/>
        </w:rPr>
        <w:t xml:space="preserve">交付与来源</w:t>
      </w:r>
    </w:p>
    <w:p w14:paraId="1D62B51D">
      <w:pPr>
        <w:pStyle w:val="151"/>
      </w:pPr>
      <w:r>
        <w:t xml:space="preserve">源码目录含src、tb、sim、tools、tf_resources、assets、firmware和measurements；SOURCE_GUIDE.md说明模块，SOURCE_ORIGIN.md说明官方模块、IP及扩展，SHA256SUMS.txt提供校验。GitHub仓库为https://github.com/Fish354xx/anshibo-fpga，当前分支event-publish。</w:t>
      </w:r>
    </w:p>
    <w:p w14:paraId="1D62B51D">
      <w:pPr>
        <w:pStyle w:val="151"/>
      </w:pPr>
      <w:r>
        <w:t xml:space="preserve">SPI、SDRAM、HDMI基础模块及部分IP沿用官方参考，资源管理、图像处理、图层、转场、缓存调度和分级事件为项目实现与扩展，开发中使用AI辅助。文档接口按当前源文件核对，不把旧例程功能或参数视为当前实现。</w:t>
      </w:r>
    </w:p>
    <w:p w14:paraId="1D62B51D">
      <w:pPr>
        <w:pStyle w:val="151"/>
        <w:keepNext/>
      </w:pPr>
      <w:r>
        <w:rPr>
          <w:b/>
        </w:rPr>
        <w:t xml:space="preserve">限制与改进方向</w:t>
      </w:r>
    </w:p>
    <w:p w14:paraId="1D62B51D">
      <w:pPr>
        <w:pStyle w:val="151"/>
      </w:pPr>
      <w:r>
        <w:t xml:space="preserve">当前不支持视频解码、联网、全中文字库、RTC日期、事件持久化或语音播报。BRAM已使用93.75%，进一步扩展应控制存储。可增加应急专用缓存或可安全中断的写事务，降低预读对紧急响应的影响；优化缩放滤波并补充物理音画测量。</w:t>
      </w:r>
    </w:p>
    <w:p w14:paraId="467917C8">
      <w:pPr>
        <w:pStyle w:val="172"/>
      </w:pPr>
      <w:r>
        <w:t xml:space="preserve">参考：安路选题指南选题一1.3至1.5；HX4S20C官方手册及HDMI IP文档；项目源码及measurements中的资源、预读、事件和时序验证记录。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pos w:val="beneathText"/>
      </w:footnotePr>
      <w:pgSz w:w="11906" w:h="16838"/>
      <w:pgMar w:top="1134" w:right="1134" w:bottom="1134" w:left="1134" w:header="720" w:footer="720" w:gutter="0"/>
      <w:pgNumType w:fmt="upperRoman"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24009106"/>
      <w:docPartObj>
        <w:docPartGallery w:val="autotext"/>
      </w:docPartObj>
    </w:sdtPr>
    <w:sdtContent>
      <w:p w14:paraId="0C5E31A2">
        <w:pPr>
          <w:pStyle w:val="5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A69D7F">
    <w:pPr>
      <w:pStyle w:val="55"/>
      <w:jc w:val="right"/>
    </w:pPr>
  </w:p>
  <w:p w14:paraId="5509A43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B62E0">
    <w:pPr>
      <w:pStyle w:val="55"/>
    </w:pPr>
  </w:p>
  <w:p w14:paraId="62FB73A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1467056"/>
      <w:docPartObj>
        <w:docPartGallery w:val="autotext"/>
      </w:docPartObj>
    </w:sdtPr>
    <w:sdtContent>
      <w:p w14:paraId="6AF4FBA7">
        <w:pPr>
          <w:pStyle w:val="5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B0FDEA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A88EC">
    <w:pPr>
      <w:pStyle w:val="57"/>
    </w:pPr>
    <w:r>
      <w:rPr>
        <w:rStyle w:val="90"/>
        <w:rFonts w:hint="eastAsia" w:eastAsiaTheme="minorEastAsia"/>
        <w:caps w:val="0"/>
      </w:rPr>
      <w:ptab w:relativeTo="margin" w:alignment="right" w:leader="none"/>
    </w:r>
  </w:p>
  <w:p w14:paraId="5233DE7A">
    <w:pPr>
      <w:pStyle w:val="158"/>
      <w:jc w:val="both"/>
      <w:rPr>
        <w:rFonts w:hint="eastAsia"/>
      </w:rPr>
    </w:pPr>
    <w:r>
      <w:rPr>
        <w:rFonts w:hint="eastAsia" w:ascii="新宋体" w:hAnsi="新宋体"/>
        <w:caps/>
        <w:lang w:val="zh-CN" w:bidi="zh-CN"/>
      </w:rPr>
      <w:drawing>
        <wp:inline distT="0" distB="0" distL="0" distR="0">
          <wp:extent cx="380365" cy="380365"/>
          <wp:effectExtent l="0" t="0" r="635" b="635"/>
          <wp:docPr id="167913107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9131073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9808" cy="38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安视播技术说明文档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BDB84">
    <w:pPr>
      <w:pStyle w:val="57"/>
    </w:pPr>
  </w:p>
  <w:p w14:paraId="5FBB102B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45B30">
    <w:pPr>
      <w:pStyle w:val="57"/>
      <w:rPr>
        <w:rStyle w:val="90"/>
        <w:rFonts w:hint="eastAsia" w:ascii="新宋体" w:hAnsi="新宋体"/>
        <w:lang w:val="zh-CN" w:bidi="zh-CN"/>
      </w:rPr>
    </w:pPr>
  </w:p>
  <w:p w14:paraId="0A1FA83C">
    <w:pPr>
      <w:pStyle w:val="57"/>
      <w:rPr>
        <w:rFonts w:eastAsia="新宋体"/>
      </w:rPr>
    </w:pPr>
    <w:r>
      <w:rPr>
        <w:rFonts w:hint="eastAsia"/>
        <w:lang w:val="zh-CN" w:bidi="zh-CN"/>
      </w:rPr>
      <w:drawing>
        <wp:inline distT="0" distB="0" distL="0" distR="0">
          <wp:extent cx="565150" cy="565150"/>
          <wp:effectExtent l="0" t="0" r="6350" b="6350"/>
          <wp:docPr id="98281465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814655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7018" cy="577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4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420"/>
  <w:characterSpacingControl w:val="doNotCompress"/>
  <w:footnotePr>
    <w:pos w:val="beneathTex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978"/>
    <w:rsid w:val="00003866"/>
    <w:rsid w:val="00004A56"/>
    <w:rsid w:val="00024839"/>
    <w:rsid w:val="00030C4D"/>
    <w:rsid w:val="00043810"/>
    <w:rsid w:val="0005199A"/>
    <w:rsid w:val="00092905"/>
    <w:rsid w:val="000A17B0"/>
    <w:rsid w:val="000A258B"/>
    <w:rsid w:val="000C0498"/>
    <w:rsid w:val="000C4F7E"/>
    <w:rsid w:val="000D11D7"/>
    <w:rsid w:val="000D3F41"/>
    <w:rsid w:val="000D6F5F"/>
    <w:rsid w:val="00106E06"/>
    <w:rsid w:val="00111982"/>
    <w:rsid w:val="001618FF"/>
    <w:rsid w:val="00161CB6"/>
    <w:rsid w:val="001768A2"/>
    <w:rsid w:val="001769F1"/>
    <w:rsid w:val="00176E02"/>
    <w:rsid w:val="0018078C"/>
    <w:rsid w:val="001C16E3"/>
    <w:rsid w:val="001C3CD9"/>
    <w:rsid w:val="001D61DA"/>
    <w:rsid w:val="002037C4"/>
    <w:rsid w:val="0021471A"/>
    <w:rsid w:val="0022555C"/>
    <w:rsid w:val="002268C0"/>
    <w:rsid w:val="00227D34"/>
    <w:rsid w:val="00231D12"/>
    <w:rsid w:val="00234344"/>
    <w:rsid w:val="00242B8E"/>
    <w:rsid w:val="002438D2"/>
    <w:rsid w:val="002467AE"/>
    <w:rsid w:val="00251EF3"/>
    <w:rsid w:val="00260986"/>
    <w:rsid w:val="00266507"/>
    <w:rsid w:val="00271C17"/>
    <w:rsid w:val="00293A08"/>
    <w:rsid w:val="002A7E57"/>
    <w:rsid w:val="002C6F50"/>
    <w:rsid w:val="002C7379"/>
    <w:rsid w:val="002C7E7F"/>
    <w:rsid w:val="002E1BF5"/>
    <w:rsid w:val="002E57B7"/>
    <w:rsid w:val="002F6E4B"/>
    <w:rsid w:val="00316071"/>
    <w:rsid w:val="00320766"/>
    <w:rsid w:val="00323AAE"/>
    <w:rsid w:val="00340641"/>
    <w:rsid w:val="003479B7"/>
    <w:rsid w:val="003506F0"/>
    <w:rsid w:val="00355DCA"/>
    <w:rsid w:val="00360547"/>
    <w:rsid w:val="003615E4"/>
    <w:rsid w:val="0036254B"/>
    <w:rsid w:val="0037113E"/>
    <w:rsid w:val="0037395B"/>
    <w:rsid w:val="0038192A"/>
    <w:rsid w:val="00396989"/>
    <w:rsid w:val="003A1677"/>
    <w:rsid w:val="003B509A"/>
    <w:rsid w:val="003C03C1"/>
    <w:rsid w:val="003D098E"/>
    <w:rsid w:val="003D3752"/>
    <w:rsid w:val="003D5626"/>
    <w:rsid w:val="003D5ECD"/>
    <w:rsid w:val="003E4DCA"/>
    <w:rsid w:val="003E5D5C"/>
    <w:rsid w:val="003F3A3B"/>
    <w:rsid w:val="0040748E"/>
    <w:rsid w:val="004104AD"/>
    <w:rsid w:val="004211BE"/>
    <w:rsid w:val="00437663"/>
    <w:rsid w:val="0046159A"/>
    <w:rsid w:val="004659C2"/>
    <w:rsid w:val="004703F1"/>
    <w:rsid w:val="00471C83"/>
    <w:rsid w:val="00473D99"/>
    <w:rsid w:val="004864D8"/>
    <w:rsid w:val="00486945"/>
    <w:rsid w:val="004A1536"/>
    <w:rsid w:val="004A2811"/>
    <w:rsid w:val="004A597E"/>
    <w:rsid w:val="004D1B2E"/>
    <w:rsid w:val="004E3465"/>
    <w:rsid w:val="004E7F81"/>
    <w:rsid w:val="004F702F"/>
    <w:rsid w:val="00504119"/>
    <w:rsid w:val="0052164C"/>
    <w:rsid w:val="00532336"/>
    <w:rsid w:val="0053585B"/>
    <w:rsid w:val="00551A02"/>
    <w:rsid w:val="005534FA"/>
    <w:rsid w:val="00556209"/>
    <w:rsid w:val="00556DC6"/>
    <w:rsid w:val="005606BD"/>
    <w:rsid w:val="0057730B"/>
    <w:rsid w:val="005A6FD5"/>
    <w:rsid w:val="005C147A"/>
    <w:rsid w:val="005C2E2B"/>
    <w:rsid w:val="005D3229"/>
    <w:rsid w:val="005D3A03"/>
    <w:rsid w:val="005D6F7F"/>
    <w:rsid w:val="005E1EF4"/>
    <w:rsid w:val="005E7E9D"/>
    <w:rsid w:val="00600175"/>
    <w:rsid w:val="00602624"/>
    <w:rsid w:val="006124B7"/>
    <w:rsid w:val="00613636"/>
    <w:rsid w:val="00615941"/>
    <w:rsid w:val="006403EB"/>
    <w:rsid w:val="00644C43"/>
    <w:rsid w:val="0066109D"/>
    <w:rsid w:val="006662A2"/>
    <w:rsid w:val="00666FCC"/>
    <w:rsid w:val="00670698"/>
    <w:rsid w:val="00681B8B"/>
    <w:rsid w:val="006A17D4"/>
    <w:rsid w:val="006D076C"/>
    <w:rsid w:val="006D0ADC"/>
    <w:rsid w:val="007144C3"/>
    <w:rsid w:val="00714A02"/>
    <w:rsid w:val="00731B42"/>
    <w:rsid w:val="00744A12"/>
    <w:rsid w:val="00752E44"/>
    <w:rsid w:val="00755C97"/>
    <w:rsid w:val="007639AD"/>
    <w:rsid w:val="00772C9A"/>
    <w:rsid w:val="00784D50"/>
    <w:rsid w:val="00787136"/>
    <w:rsid w:val="00793CCF"/>
    <w:rsid w:val="00797B14"/>
    <w:rsid w:val="007A71FF"/>
    <w:rsid w:val="007A784A"/>
    <w:rsid w:val="007A7855"/>
    <w:rsid w:val="007B2281"/>
    <w:rsid w:val="007B4D94"/>
    <w:rsid w:val="007E27B6"/>
    <w:rsid w:val="008002C0"/>
    <w:rsid w:val="00822C0B"/>
    <w:rsid w:val="00825486"/>
    <w:rsid w:val="008277FB"/>
    <w:rsid w:val="00836D8C"/>
    <w:rsid w:val="00872849"/>
    <w:rsid w:val="0087543B"/>
    <w:rsid w:val="00884CEF"/>
    <w:rsid w:val="00891409"/>
    <w:rsid w:val="008966D0"/>
    <w:rsid w:val="00897D60"/>
    <w:rsid w:val="008A0112"/>
    <w:rsid w:val="008B1C9B"/>
    <w:rsid w:val="008C5323"/>
    <w:rsid w:val="008F190D"/>
    <w:rsid w:val="009127B4"/>
    <w:rsid w:val="0091494D"/>
    <w:rsid w:val="009611AE"/>
    <w:rsid w:val="009618C4"/>
    <w:rsid w:val="009630DE"/>
    <w:rsid w:val="0097139F"/>
    <w:rsid w:val="00972A01"/>
    <w:rsid w:val="00975049"/>
    <w:rsid w:val="00981FFB"/>
    <w:rsid w:val="00983549"/>
    <w:rsid w:val="009A241C"/>
    <w:rsid w:val="009A490E"/>
    <w:rsid w:val="009A6A14"/>
    <w:rsid w:val="009A6A3B"/>
    <w:rsid w:val="009B36FD"/>
    <w:rsid w:val="009B6121"/>
    <w:rsid w:val="009C489A"/>
    <w:rsid w:val="009C5EEC"/>
    <w:rsid w:val="009D28A4"/>
    <w:rsid w:val="00A213B4"/>
    <w:rsid w:val="00A31E46"/>
    <w:rsid w:val="00A3274A"/>
    <w:rsid w:val="00A329AF"/>
    <w:rsid w:val="00A40537"/>
    <w:rsid w:val="00A53D3D"/>
    <w:rsid w:val="00A54AA5"/>
    <w:rsid w:val="00A66E1F"/>
    <w:rsid w:val="00A67778"/>
    <w:rsid w:val="00A6778C"/>
    <w:rsid w:val="00A91E95"/>
    <w:rsid w:val="00A93899"/>
    <w:rsid w:val="00AB4CBC"/>
    <w:rsid w:val="00AC62B3"/>
    <w:rsid w:val="00AD20D7"/>
    <w:rsid w:val="00AF3BE5"/>
    <w:rsid w:val="00B00543"/>
    <w:rsid w:val="00B21787"/>
    <w:rsid w:val="00B55033"/>
    <w:rsid w:val="00B65999"/>
    <w:rsid w:val="00B67CD7"/>
    <w:rsid w:val="00B80072"/>
    <w:rsid w:val="00B821BE"/>
    <w:rsid w:val="00B823AA"/>
    <w:rsid w:val="00B82DF9"/>
    <w:rsid w:val="00B8472A"/>
    <w:rsid w:val="00BA419B"/>
    <w:rsid w:val="00BA45DB"/>
    <w:rsid w:val="00BA62E7"/>
    <w:rsid w:val="00BC794C"/>
    <w:rsid w:val="00BE58C2"/>
    <w:rsid w:val="00BF4184"/>
    <w:rsid w:val="00BF6BCA"/>
    <w:rsid w:val="00C0601E"/>
    <w:rsid w:val="00C064A5"/>
    <w:rsid w:val="00C27475"/>
    <w:rsid w:val="00C304D0"/>
    <w:rsid w:val="00C31D30"/>
    <w:rsid w:val="00C4608A"/>
    <w:rsid w:val="00C517A3"/>
    <w:rsid w:val="00C51CE4"/>
    <w:rsid w:val="00C60129"/>
    <w:rsid w:val="00C628F5"/>
    <w:rsid w:val="00C64550"/>
    <w:rsid w:val="00C65BEA"/>
    <w:rsid w:val="00CA15EE"/>
    <w:rsid w:val="00CD122B"/>
    <w:rsid w:val="00CD6E39"/>
    <w:rsid w:val="00CE3893"/>
    <w:rsid w:val="00CE7FA7"/>
    <w:rsid w:val="00CF0C18"/>
    <w:rsid w:val="00CF5380"/>
    <w:rsid w:val="00CF6E91"/>
    <w:rsid w:val="00D04518"/>
    <w:rsid w:val="00D06ECD"/>
    <w:rsid w:val="00D16ECD"/>
    <w:rsid w:val="00D20DED"/>
    <w:rsid w:val="00D3147A"/>
    <w:rsid w:val="00D53121"/>
    <w:rsid w:val="00D53F2B"/>
    <w:rsid w:val="00D663D8"/>
    <w:rsid w:val="00D85701"/>
    <w:rsid w:val="00D85B68"/>
    <w:rsid w:val="00D86E50"/>
    <w:rsid w:val="00D86F57"/>
    <w:rsid w:val="00D90937"/>
    <w:rsid w:val="00D95A26"/>
    <w:rsid w:val="00D97930"/>
    <w:rsid w:val="00DC56D2"/>
    <w:rsid w:val="00DD32D8"/>
    <w:rsid w:val="00DD4252"/>
    <w:rsid w:val="00DE1978"/>
    <w:rsid w:val="00DF6B28"/>
    <w:rsid w:val="00E01145"/>
    <w:rsid w:val="00E02AF5"/>
    <w:rsid w:val="00E2216C"/>
    <w:rsid w:val="00E24F5B"/>
    <w:rsid w:val="00E6004D"/>
    <w:rsid w:val="00E75DE1"/>
    <w:rsid w:val="00E81978"/>
    <w:rsid w:val="00E95FAE"/>
    <w:rsid w:val="00EB3619"/>
    <w:rsid w:val="00EB7BB1"/>
    <w:rsid w:val="00EC1B6B"/>
    <w:rsid w:val="00EC3A08"/>
    <w:rsid w:val="00EE0161"/>
    <w:rsid w:val="00EE13BC"/>
    <w:rsid w:val="00F03859"/>
    <w:rsid w:val="00F12619"/>
    <w:rsid w:val="00F14F05"/>
    <w:rsid w:val="00F201A7"/>
    <w:rsid w:val="00F379B7"/>
    <w:rsid w:val="00F525FA"/>
    <w:rsid w:val="00F648E5"/>
    <w:rsid w:val="00F67D1A"/>
    <w:rsid w:val="00F80381"/>
    <w:rsid w:val="00F92501"/>
    <w:rsid w:val="00FA689F"/>
    <w:rsid w:val="00FC10AC"/>
    <w:rsid w:val="00FE2D3C"/>
    <w:rsid w:val="00FE5950"/>
    <w:rsid w:val="00FF171A"/>
    <w:rsid w:val="00FF2002"/>
    <w:rsid w:val="00FF3F00"/>
    <w:rsid w:val="00FF4159"/>
    <w:rsid w:val="00FF7C39"/>
    <w:rsid w:val="11562C0B"/>
    <w:rsid w:val="2249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4" w:semiHidden="0" w:name="heading 4"/>
    <w:lsdException w:qFormat="1" w:uiPriority="4" w:semiHidden="0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iPriority="99" w:name="index heading"/>
    <w:lsdException w:qFormat="1" w:uiPriority="0" w:semiHidden="0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5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" w:semiHidden="0" w:name="List Bullet"/>
    <w:lsdException w:qFormat="1" w:uiPriority="9" w:semiHidden="0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0" w:semiHidden="0" w:name="Title"/>
    <w:lsdException w:uiPriority="99" w:name="Closing"/>
    <w:lsdException w:qFormat="1" w:uiPriority="99" w:name="Signature"/>
    <w:lsdException w:uiPriority="1" w:name="Default Paragraph Font"/>
    <w:lsdException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18" w:name="Subtitle"/>
    <w:lsdException w:qFormat="1" w:uiPriority="99" w:name="Salutation"/>
    <w:lsdException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iPriority="22" w:semiHidden="0" w:name="Strong"/>
    <w:lsdException w:qFormat="1" w:uiPriority="4" w:semiHidden="0" w:name="Emphasis"/>
    <w:lsdException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qFormat="1"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name="List Paragraph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03"/>
    <w:qFormat/>
    <w:uiPriority w:val="0"/>
    <w:pPr>
      <w:keepNext/>
      <w:keepLines/>
      <w:spacing w:before="624" w:beforeLines="200" w:after="312" w:afterLines="100" w:line="480" w:lineRule="auto"/>
      <w:ind w:left="375"/>
      <w:jc w:val="center"/>
      <w:outlineLvl w:val="0"/>
    </w:pPr>
    <w:rPr>
      <w:rFonts w:eastAsia="黑体"/>
      <w:kern w:val="44"/>
      <w:sz w:val="32"/>
    </w:rPr>
  </w:style>
  <w:style w:type="paragraph" w:styleId="4">
    <w:name w:val="heading 2"/>
    <w:basedOn w:val="1"/>
    <w:next w:val="1"/>
    <w:link w:val="10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10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107"/>
    <w:unhideWhenUsed/>
    <w:qFormat/>
    <w:uiPriority w:val="4"/>
    <w:pPr>
      <w:keepNext/>
      <w:keepLines/>
      <w:outlineLvl w:val="3"/>
    </w:pPr>
    <w:rPr>
      <w:rFonts w:asciiTheme="majorHAnsi" w:hAnsiTheme="majorHAnsi" w:cstheme="majorBidi"/>
      <w:b/>
      <w:bCs/>
      <w:i/>
      <w:iCs/>
    </w:rPr>
  </w:style>
  <w:style w:type="paragraph" w:styleId="7">
    <w:name w:val="heading 5"/>
    <w:basedOn w:val="1"/>
    <w:next w:val="1"/>
    <w:link w:val="108"/>
    <w:unhideWhenUsed/>
    <w:qFormat/>
    <w:uiPriority w:val="4"/>
    <w:pPr>
      <w:keepNext/>
      <w:keepLines/>
      <w:outlineLvl w:val="4"/>
    </w:pPr>
    <w:rPr>
      <w:rFonts w:asciiTheme="majorHAnsi" w:hAnsiTheme="majorHAnsi" w:cstheme="majorBidi"/>
      <w:i/>
      <w:iCs/>
    </w:rPr>
  </w:style>
  <w:style w:type="paragraph" w:styleId="8">
    <w:name w:val="heading 6"/>
    <w:basedOn w:val="1"/>
    <w:next w:val="1"/>
    <w:link w:val="128"/>
    <w:semiHidden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6F6F6F" w:themeColor="accent1" w:themeShade="80"/>
    </w:rPr>
  </w:style>
  <w:style w:type="paragraph" w:styleId="9">
    <w:name w:val="heading 7"/>
    <w:basedOn w:val="1"/>
    <w:next w:val="1"/>
    <w:link w:val="129"/>
    <w:semiHidden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6F6F6F" w:themeColor="accent1" w:themeShade="80"/>
    </w:rPr>
  </w:style>
  <w:style w:type="paragraph" w:styleId="10">
    <w:name w:val="heading 8"/>
    <w:basedOn w:val="1"/>
    <w:next w:val="1"/>
    <w:link w:val="130"/>
    <w:semiHidden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2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131"/>
    <w:semiHidden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2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9">
    <w:name w:val="Default Paragraph Font"/>
    <w:semiHidden/>
    <w:unhideWhenUsed/>
    <w:uiPriority w:val="1"/>
  </w:style>
  <w:style w:type="table" w:default="1" w:styleId="8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7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80" w:lineRule="auto"/>
      <w:ind w:firstLine="0"/>
    </w:pPr>
    <w:rPr>
      <w:rFonts w:ascii="Consolas" w:hAnsi="Consolas" w:cs="Consolas" w:eastAsiaTheme="minorEastAsia"/>
      <w:kern w:val="24"/>
      <w:sz w:val="22"/>
      <w:szCs w:val="20"/>
      <w:lang w:val="en-US" w:eastAsia="zh-CN" w:bidi="ar-SA"/>
    </w:rPr>
  </w:style>
  <w:style w:type="paragraph" w:styleId="12">
    <w:name w:val="List 3"/>
    <w:basedOn w:val="1"/>
    <w:semiHidden/>
    <w:unhideWhenUsed/>
    <w:qFormat/>
    <w:uiPriority w:val="99"/>
    <w:pPr>
      <w:ind w:left="1080"/>
      <w:contextualSpacing/>
    </w:pPr>
  </w:style>
  <w:style w:type="paragraph" w:styleId="13">
    <w:name w:val="toc 7"/>
    <w:basedOn w:val="1"/>
    <w:next w:val="1"/>
    <w:autoRedefine/>
    <w:semiHidden/>
    <w:unhideWhenUsed/>
    <w:qFormat/>
    <w:uiPriority w:val="39"/>
    <w:pPr>
      <w:spacing w:after="100"/>
      <w:ind w:left="1440"/>
    </w:pPr>
  </w:style>
  <w:style w:type="paragraph" w:styleId="14">
    <w:name w:val="List Number 2"/>
    <w:basedOn w:val="1"/>
    <w:semiHidden/>
    <w:unhideWhenUsed/>
    <w:qFormat/>
    <w:uiPriority w:val="99"/>
    <w:pPr>
      <w:numPr>
        <w:ilvl w:val="0"/>
        <w:numId w:val="1"/>
      </w:numPr>
      <w:ind w:firstLine="0"/>
      <w:contextualSpacing/>
    </w:pPr>
  </w:style>
  <w:style w:type="paragraph" w:styleId="15">
    <w:name w:val="table of authorities"/>
    <w:basedOn w:val="1"/>
    <w:next w:val="1"/>
    <w:semiHidden/>
    <w:unhideWhenUsed/>
    <w:qFormat/>
    <w:uiPriority w:val="99"/>
    <w:pPr>
      <w:ind w:left="240"/>
    </w:pPr>
  </w:style>
  <w:style w:type="paragraph" w:styleId="16">
    <w:name w:val="Note Heading"/>
    <w:basedOn w:val="1"/>
    <w:next w:val="1"/>
    <w:link w:val="139"/>
    <w:semiHidden/>
    <w:unhideWhenUsed/>
    <w:qFormat/>
    <w:uiPriority w:val="99"/>
  </w:style>
  <w:style w:type="paragraph" w:styleId="17">
    <w:name w:val="List Bullet 4"/>
    <w:basedOn w:val="1"/>
    <w:semiHidden/>
    <w:unhideWhenUsed/>
    <w:qFormat/>
    <w:uiPriority w:val="99"/>
    <w:pPr>
      <w:numPr>
        <w:ilvl w:val="0"/>
        <w:numId w:val="2"/>
      </w:numPr>
      <w:ind w:firstLine="0"/>
      <w:contextualSpacing/>
    </w:pPr>
  </w:style>
  <w:style w:type="paragraph" w:styleId="18">
    <w:name w:val="index 8"/>
    <w:basedOn w:val="1"/>
    <w:next w:val="1"/>
    <w:autoRedefine/>
    <w:semiHidden/>
    <w:unhideWhenUsed/>
    <w:qFormat/>
    <w:uiPriority w:val="99"/>
    <w:pPr>
      <w:ind w:left="1920"/>
    </w:pPr>
  </w:style>
  <w:style w:type="paragraph" w:styleId="19">
    <w:name w:val="E-mail Signature"/>
    <w:basedOn w:val="1"/>
    <w:link w:val="124"/>
    <w:semiHidden/>
    <w:unhideWhenUsed/>
    <w:uiPriority w:val="99"/>
  </w:style>
  <w:style w:type="paragraph" w:styleId="20">
    <w:name w:val="List Number"/>
    <w:basedOn w:val="1"/>
    <w:unhideWhenUsed/>
    <w:qFormat/>
    <w:uiPriority w:val="9"/>
    <w:pPr>
      <w:numPr>
        <w:ilvl w:val="0"/>
        <w:numId w:val="3"/>
      </w:numPr>
      <w:contextualSpacing/>
    </w:pPr>
  </w:style>
  <w:style w:type="paragraph" w:styleId="21">
    <w:name w:val="Normal Indent"/>
    <w:basedOn w:val="1"/>
    <w:semiHidden/>
    <w:unhideWhenUsed/>
    <w:qFormat/>
    <w:uiPriority w:val="99"/>
    <w:pPr>
      <w:ind w:left="720"/>
    </w:pPr>
  </w:style>
  <w:style w:type="paragraph" w:styleId="22">
    <w:name w:val="caption"/>
    <w:basedOn w:val="1"/>
    <w:next w:val="1"/>
    <w:link w:val="155"/>
    <w:unhideWhenUsed/>
    <w:qFormat/>
    <w:uiPriority w:val="0"/>
    <w:pPr>
      <w:jc w:val="center"/>
    </w:pPr>
    <w:rPr>
      <w:rFonts w:eastAsia="宋体" w:asciiTheme="majorHAnsi" w:hAnsiTheme="majorHAnsi" w:cstheme="majorBidi"/>
      <w:szCs w:val="20"/>
    </w:rPr>
  </w:style>
  <w:style w:type="paragraph" w:styleId="23">
    <w:name w:val="index 5"/>
    <w:basedOn w:val="1"/>
    <w:next w:val="1"/>
    <w:autoRedefine/>
    <w:semiHidden/>
    <w:unhideWhenUsed/>
    <w:qFormat/>
    <w:uiPriority w:val="99"/>
    <w:pPr>
      <w:ind w:left="1200"/>
    </w:pPr>
  </w:style>
  <w:style w:type="paragraph" w:styleId="24">
    <w:name w:val="List Bullet"/>
    <w:basedOn w:val="1"/>
    <w:unhideWhenUsed/>
    <w:qFormat/>
    <w:uiPriority w:val="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</w:rPr>
  </w:style>
  <w:style w:type="paragraph" w:styleId="26">
    <w:name w:val="Document Map"/>
    <w:basedOn w:val="1"/>
    <w:link w:val="123"/>
    <w:semiHidden/>
    <w:unhideWhenUsed/>
    <w:uiPriority w:val="99"/>
    <w:rPr>
      <w:rFonts w:ascii="Segoe UI" w:hAnsi="Segoe UI" w:cs="Segoe UI"/>
      <w:sz w:val="22"/>
      <w:szCs w:val="16"/>
    </w:rPr>
  </w:style>
  <w:style w:type="paragraph" w:styleId="27">
    <w:name w:val="toa heading"/>
    <w:basedOn w:val="1"/>
    <w:next w:val="1"/>
    <w:semiHidden/>
    <w:unhideWhenUsed/>
    <w:qFormat/>
    <w:uiPriority w:val="99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28">
    <w:name w:val="annotation text"/>
    <w:basedOn w:val="1"/>
    <w:link w:val="120"/>
    <w:unhideWhenUsed/>
    <w:qFormat/>
    <w:uiPriority w:val="99"/>
    <w:rPr>
      <w:sz w:val="22"/>
      <w:szCs w:val="20"/>
    </w:rPr>
  </w:style>
  <w:style w:type="paragraph" w:styleId="29">
    <w:name w:val="index 6"/>
    <w:basedOn w:val="1"/>
    <w:next w:val="1"/>
    <w:autoRedefine/>
    <w:semiHidden/>
    <w:unhideWhenUsed/>
    <w:qFormat/>
    <w:uiPriority w:val="99"/>
    <w:pPr>
      <w:ind w:left="1440"/>
    </w:pPr>
  </w:style>
  <w:style w:type="paragraph" w:styleId="30">
    <w:name w:val="Salutation"/>
    <w:basedOn w:val="1"/>
    <w:next w:val="1"/>
    <w:link w:val="143"/>
    <w:semiHidden/>
    <w:unhideWhenUsed/>
    <w:qFormat/>
    <w:uiPriority w:val="99"/>
  </w:style>
  <w:style w:type="paragraph" w:styleId="31">
    <w:name w:val="Body Text 3"/>
    <w:basedOn w:val="1"/>
    <w:link w:val="113"/>
    <w:semiHidden/>
    <w:unhideWhenUsed/>
    <w:uiPriority w:val="99"/>
    <w:pPr>
      <w:spacing w:after="120"/>
    </w:pPr>
    <w:rPr>
      <w:sz w:val="22"/>
      <w:szCs w:val="16"/>
    </w:rPr>
  </w:style>
  <w:style w:type="paragraph" w:styleId="32">
    <w:name w:val="Closing"/>
    <w:basedOn w:val="1"/>
    <w:link w:val="119"/>
    <w:semiHidden/>
    <w:unhideWhenUsed/>
    <w:uiPriority w:val="99"/>
    <w:pPr>
      <w:ind w:left="4320"/>
    </w:pPr>
  </w:style>
  <w:style w:type="paragraph" w:styleId="33">
    <w:name w:val="List Bullet 3"/>
    <w:basedOn w:val="1"/>
    <w:semiHidden/>
    <w:unhideWhenUsed/>
    <w:qFormat/>
    <w:uiPriority w:val="99"/>
    <w:pPr>
      <w:numPr>
        <w:ilvl w:val="0"/>
        <w:numId w:val="5"/>
      </w:numPr>
      <w:ind w:firstLine="0"/>
      <w:contextualSpacing/>
    </w:pPr>
  </w:style>
  <w:style w:type="paragraph" w:styleId="34">
    <w:name w:val="Body Text"/>
    <w:basedOn w:val="1"/>
    <w:link w:val="111"/>
    <w:semiHidden/>
    <w:unhideWhenUsed/>
    <w:uiPriority w:val="99"/>
    <w:pPr>
      <w:spacing w:after="120"/>
    </w:pPr>
  </w:style>
  <w:style w:type="paragraph" w:styleId="35">
    <w:name w:val="Body Text Indent"/>
    <w:basedOn w:val="1"/>
    <w:link w:val="115"/>
    <w:semiHidden/>
    <w:unhideWhenUsed/>
    <w:qFormat/>
    <w:uiPriority w:val="99"/>
    <w:pPr>
      <w:spacing w:after="120"/>
      <w:ind w:left="360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ind w:firstLine="0"/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720"/>
      <w:contextualSpacing/>
    </w:pPr>
  </w:style>
  <w:style w:type="paragraph" w:styleId="38">
    <w:name w:val="List Continue"/>
    <w:basedOn w:val="1"/>
    <w:semiHidden/>
    <w:unhideWhenUsed/>
    <w:qFormat/>
    <w:uiPriority w:val="99"/>
    <w:pPr>
      <w:spacing w:after="120"/>
      <w:ind w:left="360"/>
      <w:contextualSpacing/>
    </w:pPr>
  </w:style>
  <w:style w:type="paragraph" w:styleId="39">
    <w:name w:val="Block Text"/>
    <w:basedOn w:val="1"/>
    <w:semiHidden/>
    <w:unhideWhenUsed/>
    <w:uiPriority w:val="99"/>
    <w:pPr>
      <w:pBdr>
        <w:top w:val="single" w:color="585858" w:themeColor="text1" w:themeTint="A6" w:sz="2" w:space="10"/>
        <w:left w:val="single" w:color="585858" w:themeColor="text1" w:themeTint="A6" w:sz="2" w:space="10"/>
        <w:bottom w:val="single" w:color="585858" w:themeColor="text1" w:themeTint="A6" w:sz="2" w:space="10"/>
        <w:right w:val="single" w:color="585858" w:themeColor="text1" w:themeTint="A6" w:sz="2" w:space="10"/>
      </w:pBdr>
      <w:ind w:left="1152" w:right="1152"/>
    </w:pPr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ind w:firstLine="0"/>
      <w:contextualSpacing/>
    </w:pPr>
  </w:style>
  <w:style w:type="paragraph" w:styleId="41">
    <w:name w:val="HTML Address"/>
    <w:basedOn w:val="1"/>
    <w:link w:val="132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autoRedefine/>
    <w:semiHidden/>
    <w:unhideWhenUsed/>
    <w:qFormat/>
    <w:uiPriority w:val="99"/>
    <w:pPr>
      <w:ind w:left="960"/>
    </w:pPr>
  </w:style>
  <w:style w:type="paragraph" w:styleId="43">
    <w:name w:val="toc 5"/>
    <w:basedOn w:val="1"/>
    <w:next w:val="1"/>
    <w:autoRedefine/>
    <w:semiHidden/>
    <w:unhideWhenUsed/>
    <w:qFormat/>
    <w:uiPriority w:val="39"/>
    <w:pPr>
      <w:spacing w:after="100"/>
      <w:ind w:left="960"/>
    </w:pPr>
  </w:style>
  <w:style w:type="paragraph" w:styleId="44">
    <w:name w:val="toc 3"/>
    <w:basedOn w:val="1"/>
    <w:next w:val="1"/>
    <w:autoRedefine/>
    <w:qFormat/>
    <w:uiPriority w:val="39"/>
    <w:pPr>
      <w:tabs>
        <w:tab w:val="right" w:leader="dot" w:pos="9628"/>
      </w:tabs>
      <w:spacing w:line="400" w:lineRule="exact"/>
      <w:ind w:left="840" w:leftChars="400"/>
    </w:pPr>
    <w:rPr>
      <w:rFonts w:ascii="Times New Roman" w:hAnsi="Times New Roman" w:cs="Times New Roman"/>
      <w:sz w:val="24"/>
    </w:rPr>
  </w:style>
  <w:style w:type="paragraph" w:styleId="45">
    <w:name w:val="Plain Text"/>
    <w:basedOn w:val="1"/>
    <w:link w:val="140"/>
    <w:semiHidden/>
    <w:unhideWhenUsed/>
    <w:qFormat/>
    <w:uiPriority w:val="99"/>
    <w:rPr>
      <w:rFonts w:ascii="Consolas" w:hAnsi="Consolas" w:cs="Consolas"/>
      <w:sz w:val="22"/>
      <w:szCs w:val="21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ind w:firstLine="0"/>
      <w:contextualSpacing/>
    </w:pPr>
  </w:style>
  <w:style w:type="paragraph" w:styleId="47">
    <w:name w:val="List Number 4"/>
    <w:basedOn w:val="1"/>
    <w:semiHidden/>
    <w:unhideWhenUsed/>
    <w:qFormat/>
    <w:uiPriority w:val="99"/>
    <w:pPr>
      <w:numPr>
        <w:ilvl w:val="0"/>
        <w:numId w:val="9"/>
      </w:numPr>
      <w:ind w:firstLine="0"/>
      <w:contextualSpacing/>
    </w:pPr>
  </w:style>
  <w:style w:type="paragraph" w:styleId="48">
    <w:name w:val="toc 8"/>
    <w:basedOn w:val="1"/>
    <w:next w:val="1"/>
    <w:autoRedefine/>
    <w:semiHidden/>
    <w:unhideWhenUsed/>
    <w:qFormat/>
    <w:uiPriority w:val="39"/>
    <w:pPr>
      <w:spacing w:after="100"/>
      <w:ind w:left="1680"/>
    </w:pPr>
  </w:style>
  <w:style w:type="paragraph" w:styleId="49">
    <w:name w:val="index 3"/>
    <w:basedOn w:val="1"/>
    <w:next w:val="1"/>
    <w:autoRedefine/>
    <w:semiHidden/>
    <w:unhideWhenUsed/>
    <w:qFormat/>
    <w:uiPriority w:val="99"/>
    <w:pPr>
      <w:ind w:left="720"/>
    </w:pPr>
  </w:style>
  <w:style w:type="paragraph" w:styleId="50">
    <w:name w:val="Date"/>
    <w:basedOn w:val="1"/>
    <w:next w:val="1"/>
    <w:link w:val="122"/>
    <w:semiHidden/>
    <w:unhideWhenUsed/>
    <w:uiPriority w:val="99"/>
  </w:style>
  <w:style w:type="paragraph" w:styleId="51">
    <w:name w:val="Body Text Indent 2"/>
    <w:basedOn w:val="1"/>
    <w:link w:val="117"/>
    <w:semiHidden/>
    <w:unhideWhenUsed/>
    <w:uiPriority w:val="99"/>
    <w:pPr>
      <w:spacing w:after="120"/>
      <w:ind w:left="360"/>
    </w:pPr>
  </w:style>
  <w:style w:type="paragraph" w:styleId="52">
    <w:name w:val="endnote text"/>
    <w:basedOn w:val="1"/>
    <w:link w:val="147"/>
    <w:semiHidden/>
    <w:unhideWhenUsed/>
    <w:qFormat/>
    <w:uiPriority w:val="99"/>
    <w:rPr>
      <w:sz w:val="22"/>
      <w:szCs w:val="20"/>
    </w:r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1800"/>
      <w:contextualSpacing/>
    </w:pPr>
  </w:style>
  <w:style w:type="paragraph" w:styleId="54">
    <w:name w:val="Balloon Text"/>
    <w:basedOn w:val="1"/>
    <w:link w:val="109"/>
    <w:semiHidden/>
    <w:unhideWhenUsed/>
    <w:uiPriority w:val="99"/>
    <w:rPr>
      <w:rFonts w:ascii="Segoe UI" w:hAnsi="Segoe UI" w:cs="Segoe UI"/>
      <w:sz w:val="22"/>
      <w:szCs w:val="18"/>
    </w:rPr>
  </w:style>
  <w:style w:type="paragraph" w:styleId="55">
    <w:name w:val="footer"/>
    <w:basedOn w:val="1"/>
    <w:link w:val="12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 w:val="22"/>
      <w:szCs w:val="20"/>
    </w:rPr>
  </w:style>
  <w:style w:type="paragraph" w:styleId="57">
    <w:name w:val="header"/>
    <w:basedOn w:val="1"/>
    <w:link w:val="10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8">
    <w:name w:val="Signature"/>
    <w:basedOn w:val="1"/>
    <w:link w:val="144"/>
    <w:semiHidden/>
    <w:unhideWhenUsed/>
    <w:qFormat/>
    <w:uiPriority w:val="99"/>
    <w:pPr>
      <w:ind w:left="4320"/>
    </w:pPr>
  </w:style>
  <w:style w:type="paragraph" w:styleId="59">
    <w:name w:val="toc 1"/>
    <w:basedOn w:val="1"/>
    <w:next w:val="1"/>
    <w:autoRedefine/>
    <w:qFormat/>
    <w:uiPriority w:val="39"/>
  </w:style>
  <w:style w:type="paragraph" w:styleId="60">
    <w:name w:val="List Continue 4"/>
    <w:basedOn w:val="1"/>
    <w:semiHidden/>
    <w:unhideWhenUsed/>
    <w:qFormat/>
    <w:uiPriority w:val="99"/>
    <w:pPr>
      <w:spacing w:after="120"/>
      <w:ind w:left="1440"/>
      <w:contextualSpacing/>
    </w:pPr>
  </w:style>
  <w:style w:type="paragraph" w:styleId="61">
    <w:name w:val="toc 4"/>
    <w:basedOn w:val="1"/>
    <w:next w:val="1"/>
    <w:autoRedefine/>
    <w:semiHidden/>
    <w:unhideWhenUsed/>
    <w:qFormat/>
    <w:uiPriority w:val="39"/>
    <w:pPr>
      <w:spacing w:after="100"/>
      <w:ind w:left="72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autoRedefine/>
    <w:semiHidden/>
    <w:unhideWhenUsed/>
    <w:qFormat/>
    <w:uiPriority w:val="99"/>
    <w:pPr>
      <w:ind w:left="240"/>
    </w:pPr>
  </w:style>
  <w:style w:type="paragraph" w:styleId="64">
    <w:name w:val="List Number 5"/>
    <w:basedOn w:val="1"/>
    <w:semiHidden/>
    <w:unhideWhenUsed/>
    <w:qFormat/>
    <w:uiPriority w:val="99"/>
    <w:pPr>
      <w:numPr>
        <w:ilvl w:val="0"/>
        <w:numId w:val="10"/>
      </w:numPr>
      <w:ind w:firstLine="0"/>
      <w:contextualSpacing/>
    </w:pPr>
  </w:style>
  <w:style w:type="paragraph" w:styleId="65">
    <w:name w:val="List"/>
    <w:basedOn w:val="1"/>
    <w:semiHidden/>
    <w:unhideWhenUsed/>
    <w:qFormat/>
    <w:uiPriority w:val="99"/>
    <w:pPr>
      <w:ind w:left="360"/>
      <w:contextualSpacing/>
    </w:pPr>
  </w:style>
  <w:style w:type="paragraph" w:styleId="66">
    <w:name w:val="footnote text"/>
    <w:basedOn w:val="1"/>
    <w:link w:val="125"/>
    <w:semiHidden/>
    <w:unhideWhenUsed/>
    <w:uiPriority w:val="99"/>
    <w:rPr>
      <w:sz w:val="22"/>
      <w:szCs w:val="20"/>
    </w:rPr>
  </w:style>
  <w:style w:type="paragraph" w:styleId="67">
    <w:name w:val="toc 6"/>
    <w:basedOn w:val="1"/>
    <w:next w:val="1"/>
    <w:autoRedefine/>
    <w:semiHidden/>
    <w:unhideWhenUsed/>
    <w:qFormat/>
    <w:uiPriority w:val="39"/>
    <w:pPr>
      <w:spacing w:after="100"/>
      <w:ind w:left="1200"/>
    </w:pPr>
  </w:style>
  <w:style w:type="paragraph" w:styleId="68">
    <w:name w:val="List 5"/>
    <w:basedOn w:val="1"/>
    <w:semiHidden/>
    <w:unhideWhenUsed/>
    <w:qFormat/>
    <w:uiPriority w:val="99"/>
    <w:pPr>
      <w:ind w:left="1800"/>
      <w:contextualSpacing/>
    </w:pPr>
  </w:style>
  <w:style w:type="paragraph" w:styleId="69">
    <w:name w:val="Body Text Indent 3"/>
    <w:basedOn w:val="1"/>
    <w:link w:val="118"/>
    <w:semiHidden/>
    <w:unhideWhenUsed/>
    <w:uiPriority w:val="99"/>
    <w:pPr>
      <w:spacing w:after="120"/>
      <w:ind w:left="360"/>
    </w:pPr>
    <w:rPr>
      <w:sz w:val="22"/>
      <w:szCs w:val="16"/>
    </w:rPr>
  </w:style>
  <w:style w:type="paragraph" w:styleId="70">
    <w:name w:val="index 7"/>
    <w:basedOn w:val="1"/>
    <w:next w:val="1"/>
    <w:autoRedefine/>
    <w:semiHidden/>
    <w:unhideWhenUsed/>
    <w:qFormat/>
    <w:uiPriority w:val="99"/>
    <w:pPr>
      <w:ind w:left="1680"/>
    </w:pPr>
  </w:style>
  <w:style w:type="paragraph" w:styleId="71">
    <w:name w:val="index 9"/>
    <w:basedOn w:val="1"/>
    <w:next w:val="1"/>
    <w:autoRedefine/>
    <w:semiHidden/>
    <w:unhideWhenUsed/>
    <w:qFormat/>
    <w:uiPriority w:val="99"/>
    <w:pPr>
      <w:ind w:left="2160"/>
    </w:pPr>
  </w:style>
  <w:style w:type="paragraph" w:styleId="72">
    <w:name w:val="table of figures"/>
    <w:basedOn w:val="1"/>
    <w:next w:val="1"/>
    <w:semiHidden/>
    <w:unhideWhenUsed/>
    <w:qFormat/>
    <w:uiPriority w:val="99"/>
  </w:style>
  <w:style w:type="paragraph" w:styleId="73">
    <w:name w:val="toc 2"/>
    <w:basedOn w:val="1"/>
    <w:next w:val="1"/>
    <w:autoRedefine/>
    <w:qFormat/>
    <w:uiPriority w:val="39"/>
    <w:pPr>
      <w:tabs>
        <w:tab w:val="right" w:leader="dot" w:pos="9628"/>
      </w:tabs>
      <w:ind w:left="420" w:leftChars="200"/>
    </w:pPr>
  </w:style>
  <w:style w:type="paragraph" w:styleId="74">
    <w:name w:val="toc 9"/>
    <w:basedOn w:val="1"/>
    <w:next w:val="1"/>
    <w:autoRedefine/>
    <w:semiHidden/>
    <w:unhideWhenUsed/>
    <w:qFormat/>
    <w:uiPriority w:val="39"/>
    <w:pPr>
      <w:spacing w:after="100"/>
      <w:ind w:left="1920"/>
    </w:pPr>
  </w:style>
  <w:style w:type="paragraph" w:styleId="75">
    <w:name w:val="Body Text 2"/>
    <w:basedOn w:val="1"/>
    <w:link w:val="112"/>
    <w:semiHidden/>
    <w:unhideWhenUsed/>
    <w:uiPriority w:val="99"/>
    <w:pPr>
      <w:spacing w:after="120"/>
    </w:pPr>
  </w:style>
  <w:style w:type="paragraph" w:styleId="76">
    <w:name w:val="List 4"/>
    <w:basedOn w:val="1"/>
    <w:semiHidden/>
    <w:unhideWhenUsed/>
    <w:qFormat/>
    <w:uiPriority w:val="99"/>
    <w:pPr>
      <w:ind w:left="1440"/>
      <w:contextualSpacing/>
    </w:pPr>
  </w:style>
  <w:style w:type="paragraph" w:styleId="77">
    <w:name w:val="List Continue 2"/>
    <w:basedOn w:val="1"/>
    <w:semiHidden/>
    <w:unhideWhenUsed/>
    <w:qFormat/>
    <w:uiPriority w:val="99"/>
    <w:pPr>
      <w:spacing w:after="120"/>
      <w:ind w:left="720"/>
      <w:contextualSpacing/>
    </w:pPr>
  </w:style>
  <w:style w:type="paragraph" w:styleId="78">
    <w:name w:val="Message Header"/>
    <w:basedOn w:val="1"/>
    <w:link w:val="138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/>
    </w:pPr>
    <w:rPr>
      <w:rFonts w:asciiTheme="majorHAnsi" w:hAnsiTheme="majorHAnsi" w:eastAsiaTheme="majorEastAsia" w:cstheme="majorBidi"/>
    </w:rPr>
  </w:style>
  <w:style w:type="paragraph" w:styleId="79">
    <w:name w:val="HTML Preformatted"/>
    <w:basedOn w:val="1"/>
    <w:link w:val="133"/>
    <w:semiHidden/>
    <w:unhideWhenUsed/>
    <w:qFormat/>
    <w:uiPriority w:val="99"/>
    <w:rPr>
      <w:rFonts w:ascii="Consolas" w:hAnsi="Consolas" w:cs="Consolas"/>
      <w:sz w:val="22"/>
      <w:szCs w:val="20"/>
    </w:rPr>
  </w:style>
  <w:style w:type="paragraph" w:styleId="80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81">
    <w:name w:val="List Continue 3"/>
    <w:basedOn w:val="1"/>
    <w:semiHidden/>
    <w:unhideWhenUsed/>
    <w:qFormat/>
    <w:uiPriority w:val="99"/>
    <w:pPr>
      <w:spacing w:after="120"/>
      <w:ind w:left="1080"/>
      <w:contextualSpacing/>
    </w:pPr>
  </w:style>
  <w:style w:type="paragraph" w:styleId="82">
    <w:name w:val="index 2"/>
    <w:basedOn w:val="1"/>
    <w:next w:val="1"/>
    <w:autoRedefine/>
    <w:semiHidden/>
    <w:unhideWhenUsed/>
    <w:qFormat/>
    <w:uiPriority w:val="99"/>
    <w:pPr>
      <w:ind w:left="480"/>
    </w:pPr>
  </w:style>
  <w:style w:type="paragraph" w:styleId="83">
    <w:name w:val="Title"/>
    <w:basedOn w:val="1"/>
    <w:link w:val="105"/>
    <w:qFormat/>
    <w:uiPriority w:val="0"/>
    <w:pPr>
      <w:spacing w:before="2400"/>
      <w:contextualSpacing/>
      <w:jc w:val="center"/>
    </w:pPr>
    <w:rPr>
      <w:rFonts w:asciiTheme="majorHAnsi" w:hAnsiTheme="majorHAnsi" w:cstheme="majorBidi"/>
    </w:rPr>
  </w:style>
  <w:style w:type="paragraph" w:styleId="84">
    <w:name w:val="annotation subject"/>
    <w:basedOn w:val="28"/>
    <w:next w:val="28"/>
    <w:link w:val="121"/>
    <w:semiHidden/>
    <w:unhideWhenUsed/>
    <w:uiPriority w:val="99"/>
    <w:rPr>
      <w:b/>
      <w:bCs/>
    </w:rPr>
  </w:style>
  <w:style w:type="paragraph" w:styleId="85">
    <w:name w:val="Body Text First Indent"/>
    <w:basedOn w:val="34"/>
    <w:link w:val="114"/>
    <w:semiHidden/>
    <w:unhideWhenUsed/>
    <w:qFormat/>
    <w:uiPriority w:val="99"/>
    <w:pPr>
      <w:spacing w:after="0"/>
    </w:pPr>
  </w:style>
  <w:style w:type="paragraph" w:styleId="86">
    <w:name w:val="Body Text First Indent 2"/>
    <w:basedOn w:val="35"/>
    <w:link w:val="116"/>
    <w:semiHidden/>
    <w:unhideWhenUsed/>
    <w:qFormat/>
    <w:uiPriority w:val="99"/>
    <w:pPr>
      <w:spacing w:after="0"/>
    </w:pPr>
  </w:style>
  <w:style w:type="table" w:styleId="88">
    <w:name w:val="Table Grid"/>
    <w:basedOn w:val="87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0">
    <w:name w:val="Strong"/>
    <w:basedOn w:val="89"/>
    <w:unhideWhenUsed/>
    <w:qFormat/>
    <w:uiPriority w:val="22"/>
    <w:rPr>
      <w:rFonts w:eastAsia="新宋体"/>
      <w:caps/>
    </w:rPr>
  </w:style>
  <w:style w:type="character" w:styleId="91">
    <w:name w:val="endnote reference"/>
    <w:basedOn w:val="89"/>
    <w:semiHidden/>
    <w:unhideWhenUsed/>
    <w:qFormat/>
    <w:uiPriority w:val="99"/>
    <w:rPr>
      <w:vertAlign w:val="superscript"/>
    </w:rPr>
  </w:style>
  <w:style w:type="character" w:styleId="92">
    <w:name w:val="FollowedHyperlink"/>
    <w:basedOn w:val="89"/>
    <w:semiHidden/>
    <w:unhideWhenUsed/>
    <w:qFormat/>
    <w:uiPriority w:val="99"/>
    <w:rPr>
      <w:color w:val="595959" w:themeColor="text1" w:themeTint="A6"/>
      <w:u w:val="single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3">
    <w:name w:val="Emphasis"/>
    <w:basedOn w:val="89"/>
    <w:unhideWhenUsed/>
    <w:qFormat/>
    <w:uiPriority w:val="4"/>
    <w:rPr>
      <w:rFonts w:eastAsia="新宋体"/>
      <w:i/>
      <w:iCs/>
    </w:rPr>
  </w:style>
  <w:style w:type="character" w:styleId="94">
    <w:name w:val="HTML Typewriter"/>
    <w:basedOn w:val="89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95">
    <w:name w:val="Hyperlink"/>
    <w:basedOn w:val="89"/>
    <w:unhideWhenUsed/>
    <w:qFormat/>
    <w:uiPriority w:val="99"/>
    <w:rPr>
      <w:color w:val="5F5F5F" w:themeColor="hyperlink"/>
      <w:u w:val="single"/>
      <w14:textFill>
        <w14:solidFill>
          <w14:schemeClr w14:val="hlink"/>
        </w14:solidFill>
      </w14:textFill>
    </w:rPr>
  </w:style>
  <w:style w:type="character" w:styleId="96">
    <w:name w:val="HTML Code"/>
    <w:basedOn w:val="89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97">
    <w:name w:val="annotation reference"/>
    <w:basedOn w:val="89"/>
    <w:semiHidden/>
    <w:unhideWhenUsed/>
    <w:qFormat/>
    <w:uiPriority w:val="99"/>
    <w:rPr>
      <w:sz w:val="22"/>
      <w:szCs w:val="16"/>
    </w:rPr>
  </w:style>
  <w:style w:type="character" w:styleId="98">
    <w:name w:val="footnote reference"/>
    <w:basedOn w:val="89"/>
    <w:unhideWhenUsed/>
    <w:qFormat/>
    <w:uiPriority w:val="5"/>
    <w:rPr>
      <w:rFonts w:eastAsia="新宋体"/>
      <w:vertAlign w:val="superscript"/>
    </w:rPr>
  </w:style>
  <w:style w:type="character" w:styleId="99">
    <w:name w:val="HTML Keyboard"/>
    <w:basedOn w:val="89"/>
    <w:semiHidden/>
    <w:unhideWhenUsed/>
    <w:qFormat/>
    <w:uiPriority w:val="99"/>
    <w:rPr>
      <w:rFonts w:ascii="Consolas" w:hAnsi="Consolas"/>
      <w:sz w:val="22"/>
      <w:szCs w:val="20"/>
    </w:rPr>
  </w:style>
  <w:style w:type="paragraph" w:customStyle="1" w:styleId="100">
    <w:name w:val="节标题"/>
    <w:basedOn w:val="1"/>
    <w:qFormat/>
    <w:uiPriority w:val="2"/>
    <w:pPr>
      <w:pageBreakBefore/>
      <w:jc w:val="center"/>
      <w:outlineLvl w:val="0"/>
    </w:pPr>
    <w:rPr>
      <w:rFonts w:asciiTheme="majorHAnsi" w:hAnsiTheme="majorHAnsi" w:cstheme="majorBidi"/>
    </w:rPr>
  </w:style>
  <w:style w:type="character" w:customStyle="1" w:styleId="101">
    <w:name w:val="页眉 字符"/>
    <w:link w:val="57"/>
    <w:qFormat/>
    <w:uiPriority w:val="0"/>
    <w:rPr>
      <w:kern w:val="2"/>
      <w:sz w:val="18"/>
    </w:rPr>
  </w:style>
  <w:style w:type="character" w:styleId="102">
    <w:name w:val="Placeholder Text"/>
    <w:basedOn w:val="89"/>
    <w:semiHidden/>
    <w:uiPriority w:val="99"/>
    <w:rPr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3">
    <w:name w:val="标题 1 字符"/>
    <w:basedOn w:val="89"/>
    <w:link w:val="3"/>
    <w:uiPriority w:val="0"/>
    <w:rPr>
      <w:rFonts w:eastAsia="黑体"/>
      <w:kern w:val="44"/>
      <w:sz w:val="32"/>
    </w:rPr>
  </w:style>
  <w:style w:type="character" w:customStyle="1" w:styleId="104">
    <w:name w:val="标题 2 字符"/>
    <w:basedOn w:val="89"/>
    <w:link w:val="4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05">
    <w:name w:val="标题 字符"/>
    <w:basedOn w:val="89"/>
    <w:link w:val="83"/>
    <w:uiPriority w:val="0"/>
    <w:rPr>
      <w:rFonts w:eastAsia="新宋体" w:asciiTheme="majorHAnsi" w:hAnsiTheme="majorHAnsi" w:cstheme="majorBidi"/>
      <w:kern w:val="24"/>
    </w:rPr>
  </w:style>
  <w:style w:type="character" w:customStyle="1" w:styleId="106">
    <w:name w:val="标题 3 字符"/>
    <w:basedOn w:val="89"/>
    <w:link w:val="5"/>
    <w:uiPriority w:val="0"/>
    <w:rPr>
      <w:b/>
      <w:bCs/>
      <w:kern w:val="2"/>
      <w:sz w:val="32"/>
      <w:szCs w:val="32"/>
    </w:rPr>
  </w:style>
  <w:style w:type="character" w:customStyle="1" w:styleId="107">
    <w:name w:val="标题 4 字符"/>
    <w:basedOn w:val="89"/>
    <w:link w:val="6"/>
    <w:uiPriority w:val="4"/>
    <w:rPr>
      <w:rFonts w:eastAsia="新宋体" w:asciiTheme="majorHAnsi" w:hAnsiTheme="majorHAnsi" w:cstheme="majorBidi"/>
      <w:b/>
      <w:bCs/>
      <w:i/>
      <w:iCs/>
      <w:kern w:val="24"/>
    </w:rPr>
  </w:style>
  <w:style w:type="character" w:customStyle="1" w:styleId="108">
    <w:name w:val="标题 5 字符"/>
    <w:basedOn w:val="89"/>
    <w:link w:val="7"/>
    <w:uiPriority w:val="4"/>
    <w:rPr>
      <w:rFonts w:eastAsia="新宋体" w:asciiTheme="majorHAnsi" w:hAnsiTheme="majorHAnsi" w:cstheme="majorBidi"/>
      <w:i/>
      <w:iCs/>
      <w:kern w:val="24"/>
    </w:rPr>
  </w:style>
  <w:style w:type="character" w:customStyle="1" w:styleId="109">
    <w:name w:val="批注框文本 字符"/>
    <w:basedOn w:val="89"/>
    <w:link w:val="54"/>
    <w:semiHidden/>
    <w:uiPriority w:val="99"/>
    <w:rPr>
      <w:rFonts w:ascii="Segoe UI" w:hAnsi="Segoe UI" w:cs="Segoe UI"/>
      <w:kern w:val="24"/>
      <w:sz w:val="22"/>
      <w:szCs w:val="18"/>
    </w:rPr>
  </w:style>
  <w:style w:type="paragraph" w:customStyle="1" w:styleId="110">
    <w:name w:val="Bibliography"/>
    <w:basedOn w:val="1"/>
    <w:next w:val="1"/>
    <w:unhideWhenUsed/>
    <w:qFormat/>
    <w:uiPriority w:val="37"/>
    <w:pPr>
      <w:ind w:left="720" w:hanging="720"/>
    </w:pPr>
  </w:style>
  <w:style w:type="character" w:customStyle="1" w:styleId="111">
    <w:name w:val="正文文本 字符"/>
    <w:basedOn w:val="89"/>
    <w:link w:val="34"/>
    <w:semiHidden/>
    <w:uiPriority w:val="99"/>
    <w:rPr>
      <w:kern w:val="24"/>
    </w:rPr>
  </w:style>
  <w:style w:type="character" w:customStyle="1" w:styleId="112">
    <w:name w:val="正文文本 2 字符"/>
    <w:basedOn w:val="89"/>
    <w:link w:val="75"/>
    <w:semiHidden/>
    <w:uiPriority w:val="99"/>
    <w:rPr>
      <w:kern w:val="24"/>
    </w:rPr>
  </w:style>
  <w:style w:type="character" w:customStyle="1" w:styleId="113">
    <w:name w:val="正文文本 3 字符"/>
    <w:basedOn w:val="89"/>
    <w:link w:val="31"/>
    <w:semiHidden/>
    <w:uiPriority w:val="99"/>
    <w:rPr>
      <w:kern w:val="24"/>
      <w:sz w:val="22"/>
      <w:szCs w:val="16"/>
    </w:rPr>
  </w:style>
  <w:style w:type="character" w:customStyle="1" w:styleId="114">
    <w:name w:val="正文文本首行缩进 字符"/>
    <w:basedOn w:val="111"/>
    <w:link w:val="85"/>
    <w:semiHidden/>
    <w:uiPriority w:val="99"/>
    <w:rPr>
      <w:kern w:val="24"/>
    </w:rPr>
  </w:style>
  <w:style w:type="character" w:customStyle="1" w:styleId="115">
    <w:name w:val="正文文本缩进 字符"/>
    <w:basedOn w:val="89"/>
    <w:link w:val="35"/>
    <w:semiHidden/>
    <w:uiPriority w:val="99"/>
    <w:rPr>
      <w:kern w:val="24"/>
    </w:rPr>
  </w:style>
  <w:style w:type="character" w:customStyle="1" w:styleId="116">
    <w:name w:val="正文文本首行缩进 2 字符"/>
    <w:basedOn w:val="115"/>
    <w:link w:val="86"/>
    <w:semiHidden/>
    <w:uiPriority w:val="99"/>
    <w:rPr>
      <w:kern w:val="24"/>
    </w:rPr>
  </w:style>
  <w:style w:type="character" w:customStyle="1" w:styleId="117">
    <w:name w:val="正文文本缩进 2 字符"/>
    <w:basedOn w:val="89"/>
    <w:link w:val="51"/>
    <w:semiHidden/>
    <w:uiPriority w:val="99"/>
    <w:rPr>
      <w:kern w:val="24"/>
    </w:rPr>
  </w:style>
  <w:style w:type="character" w:customStyle="1" w:styleId="118">
    <w:name w:val="正文文本缩进 3 字符"/>
    <w:basedOn w:val="89"/>
    <w:link w:val="69"/>
    <w:semiHidden/>
    <w:uiPriority w:val="99"/>
    <w:rPr>
      <w:kern w:val="24"/>
      <w:sz w:val="22"/>
      <w:szCs w:val="16"/>
    </w:rPr>
  </w:style>
  <w:style w:type="character" w:customStyle="1" w:styleId="119">
    <w:name w:val="结束语 字符"/>
    <w:basedOn w:val="89"/>
    <w:link w:val="32"/>
    <w:semiHidden/>
    <w:qFormat/>
    <w:uiPriority w:val="99"/>
    <w:rPr>
      <w:kern w:val="24"/>
    </w:rPr>
  </w:style>
  <w:style w:type="character" w:customStyle="1" w:styleId="120">
    <w:name w:val="批注文字 字符"/>
    <w:basedOn w:val="89"/>
    <w:link w:val="28"/>
    <w:uiPriority w:val="99"/>
    <w:rPr>
      <w:kern w:val="24"/>
      <w:sz w:val="22"/>
      <w:szCs w:val="20"/>
    </w:rPr>
  </w:style>
  <w:style w:type="character" w:customStyle="1" w:styleId="121">
    <w:name w:val="批注主题 字符"/>
    <w:basedOn w:val="120"/>
    <w:link w:val="84"/>
    <w:semiHidden/>
    <w:qFormat/>
    <w:uiPriority w:val="99"/>
    <w:rPr>
      <w:b/>
      <w:bCs/>
      <w:kern w:val="24"/>
      <w:sz w:val="20"/>
      <w:szCs w:val="20"/>
    </w:rPr>
  </w:style>
  <w:style w:type="character" w:customStyle="1" w:styleId="122">
    <w:name w:val="日期 字符"/>
    <w:basedOn w:val="89"/>
    <w:link w:val="50"/>
    <w:semiHidden/>
    <w:uiPriority w:val="99"/>
    <w:rPr>
      <w:kern w:val="24"/>
    </w:rPr>
  </w:style>
  <w:style w:type="character" w:customStyle="1" w:styleId="123">
    <w:name w:val="文档结构图 字符"/>
    <w:basedOn w:val="89"/>
    <w:link w:val="26"/>
    <w:semiHidden/>
    <w:qFormat/>
    <w:uiPriority w:val="99"/>
    <w:rPr>
      <w:rFonts w:ascii="Segoe UI" w:hAnsi="Segoe UI" w:cs="Segoe UI"/>
      <w:kern w:val="24"/>
      <w:sz w:val="22"/>
      <w:szCs w:val="16"/>
    </w:rPr>
  </w:style>
  <w:style w:type="character" w:customStyle="1" w:styleId="124">
    <w:name w:val="电子邮件签名 字符"/>
    <w:basedOn w:val="89"/>
    <w:link w:val="19"/>
    <w:semiHidden/>
    <w:uiPriority w:val="99"/>
    <w:rPr>
      <w:kern w:val="24"/>
    </w:rPr>
  </w:style>
  <w:style w:type="character" w:customStyle="1" w:styleId="125">
    <w:name w:val="脚注文本 字符"/>
    <w:basedOn w:val="89"/>
    <w:link w:val="66"/>
    <w:semiHidden/>
    <w:uiPriority w:val="99"/>
    <w:rPr>
      <w:kern w:val="24"/>
      <w:sz w:val="22"/>
      <w:szCs w:val="20"/>
    </w:rPr>
  </w:style>
  <w:style w:type="character" w:customStyle="1" w:styleId="126">
    <w:name w:val="页脚 字符"/>
    <w:link w:val="55"/>
    <w:qFormat/>
    <w:uiPriority w:val="99"/>
    <w:rPr>
      <w:kern w:val="2"/>
      <w:sz w:val="18"/>
    </w:rPr>
  </w:style>
  <w:style w:type="table" w:customStyle="1" w:styleId="127">
    <w:name w:val="Grid Table Light"/>
    <w:basedOn w:val="87"/>
    <w:uiPriority w:val="40"/>
    <w:pPr>
      <w:spacing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28">
    <w:name w:val="标题 6 字符"/>
    <w:basedOn w:val="89"/>
    <w:link w:val="8"/>
    <w:semiHidden/>
    <w:qFormat/>
    <w:uiPriority w:val="9"/>
    <w:rPr>
      <w:rFonts w:asciiTheme="majorHAnsi" w:hAnsiTheme="majorHAnsi" w:eastAsiaTheme="majorEastAsia" w:cstheme="majorBidi"/>
      <w:color w:val="6F6F6F" w:themeColor="accent1" w:themeShade="80"/>
      <w:kern w:val="24"/>
    </w:rPr>
  </w:style>
  <w:style w:type="character" w:customStyle="1" w:styleId="129">
    <w:name w:val="标题 7 字符"/>
    <w:basedOn w:val="89"/>
    <w:link w:val="9"/>
    <w:semiHidden/>
    <w:uiPriority w:val="9"/>
    <w:rPr>
      <w:rFonts w:asciiTheme="majorHAnsi" w:hAnsiTheme="majorHAnsi" w:eastAsiaTheme="majorEastAsia" w:cstheme="majorBidi"/>
      <w:i/>
      <w:iCs/>
      <w:color w:val="6F6F6F" w:themeColor="accent1" w:themeShade="80"/>
      <w:kern w:val="24"/>
    </w:rPr>
  </w:style>
  <w:style w:type="character" w:customStyle="1" w:styleId="130">
    <w:name w:val="标题 8 字符"/>
    <w:basedOn w:val="89"/>
    <w:link w:val="10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kern w:val="24"/>
      <w:sz w:val="22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31">
    <w:name w:val="标题 9 字符"/>
    <w:basedOn w:val="89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kern w:val="24"/>
      <w:sz w:val="22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32">
    <w:name w:val="HTML 地址 字符"/>
    <w:basedOn w:val="89"/>
    <w:link w:val="41"/>
    <w:semiHidden/>
    <w:qFormat/>
    <w:uiPriority w:val="99"/>
    <w:rPr>
      <w:i/>
      <w:iCs/>
      <w:kern w:val="24"/>
    </w:rPr>
  </w:style>
  <w:style w:type="character" w:customStyle="1" w:styleId="133">
    <w:name w:val="HTML 预设格式 字符"/>
    <w:basedOn w:val="89"/>
    <w:link w:val="79"/>
    <w:semiHidden/>
    <w:qFormat/>
    <w:uiPriority w:val="99"/>
    <w:rPr>
      <w:rFonts w:ascii="Consolas" w:hAnsi="Consolas" w:cs="Consolas"/>
      <w:kern w:val="24"/>
      <w:sz w:val="22"/>
      <w:szCs w:val="20"/>
    </w:rPr>
  </w:style>
  <w:style w:type="paragraph" w:styleId="134">
    <w:name w:val="Intense Quote"/>
    <w:basedOn w:val="1"/>
    <w:next w:val="1"/>
    <w:link w:val="135"/>
    <w:semiHidden/>
    <w:unhideWhenUsed/>
    <w:qFormat/>
    <w:uiPriority w:val="30"/>
    <w:pPr>
      <w:pBdr>
        <w:top w:val="single" w:color="3F3F3F" w:themeColor="text1" w:themeTint="BF" w:sz="4" w:space="10"/>
        <w:bottom w:val="single" w:color="3F3F3F" w:themeColor="text1" w:themeTint="BF" w:sz="4" w:space="10"/>
      </w:pBdr>
      <w:spacing w:before="360" w:after="3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5">
    <w:name w:val="明显引用 字符"/>
    <w:basedOn w:val="89"/>
    <w:link w:val="134"/>
    <w:semiHidden/>
    <w:qFormat/>
    <w:uiPriority w:val="30"/>
    <w:rPr>
      <w:i/>
      <w:iCs/>
      <w:color w:val="404040" w:themeColor="text1" w:themeTint="BF"/>
      <w:kern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36">
    <w:name w:val="List Paragraph"/>
    <w:basedOn w:val="1"/>
    <w:semiHidden/>
    <w:unhideWhenUsed/>
    <w:qFormat/>
    <w:uiPriority w:val="34"/>
    <w:pPr>
      <w:ind w:left="720"/>
      <w:contextualSpacing/>
    </w:pPr>
  </w:style>
  <w:style w:type="character" w:customStyle="1" w:styleId="137">
    <w:name w:val="宏文本 字符"/>
    <w:basedOn w:val="89"/>
    <w:link w:val="2"/>
    <w:semiHidden/>
    <w:qFormat/>
    <w:uiPriority w:val="99"/>
    <w:rPr>
      <w:rFonts w:ascii="Consolas" w:hAnsi="Consolas" w:cs="Consolas"/>
      <w:kern w:val="24"/>
      <w:sz w:val="22"/>
      <w:szCs w:val="20"/>
    </w:rPr>
  </w:style>
  <w:style w:type="character" w:customStyle="1" w:styleId="138">
    <w:name w:val="信息标题 字符"/>
    <w:basedOn w:val="89"/>
    <w:link w:val="78"/>
    <w:semiHidden/>
    <w:qFormat/>
    <w:uiPriority w:val="99"/>
    <w:rPr>
      <w:rFonts w:asciiTheme="majorHAnsi" w:hAnsiTheme="majorHAnsi" w:eastAsiaTheme="majorEastAsia" w:cstheme="majorBidi"/>
      <w:kern w:val="24"/>
      <w:shd w:val="pct20" w:color="auto" w:fill="auto"/>
    </w:rPr>
  </w:style>
  <w:style w:type="character" w:customStyle="1" w:styleId="139">
    <w:name w:val="注释标题 字符"/>
    <w:basedOn w:val="89"/>
    <w:link w:val="16"/>
    <w:semiHidden/>
    <w:qFormat/>
    <w:uiPriority w:val="99"/>
    <w:rPr>
      <w:kern w:val="24"/>
    </w:rPr>
  </w:style>
  <w:style w:type="character" w:customStyle="1" w:styleId="140">
    <w:name w:val="纯文本 字符"/>
    <w:basedOn w:val="89"/>
    <w:link w:val="45"/>
    <w:semiHidden/>
    <w:qFormat/>
    <w:uiPriority w:val="99"/>
    <w:rPr>
      <w:rFonts w:ascii="Consolas" w:hAnsi="Consolas" w:cs="Consolas"/>
      <w:kern w:val="24"/>
      <w:sz w:val="22"/>
      <w:szCs w:val="21"/>
    </w:rPr>
  </w:style>
  <w:style w:type="paragraph" w:styleId="141">
    <w:name w:val="Quote"/>
    <w:basedOn w:val="1"/>
    <w:next w:val="1"/>
    <w:link w:val="142"/>
    <w:semiHidden/>
    <w:unhideWhenUsed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2">
    <w:name w:val="引用 字符"/>
    <w:basedOn w:val="89"/>
    <w:link w:val="141"/>
    <w:semiHidden/>
    <w:qFormat/>
    <w:uiPriority w:val="29"/>
    <w:rPr>
      <w:i/>
      <w:iCs/>
      <w:color w:val="404040" w:themeColor="text1" w:themeTint="BF"/>
      <w:kern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3">
    <w:name w:val="称呼 字符"/>
    <w:basedOn w:val="89"/>
    <w:link w:val="30"/>
    <w:semiHidden/>
    <w:qFormat/>
    <w:uiPriority w:val="99"/>
    <w:rPr>
      <w:kern w:val="24"/>
    </w:rPr>
  </w:style>
  <w:style w:type="character" w:customStyle="1" w:styleId="144">
    <w:name w:val="签名 字符"/>
    <w:basedOn w:val="89"/>
    <w:link w:val="58"/>
    <w:semiHidden/>
    <w:qFormat/>
    <w:uiPriority w:val="99"/>
    <w:rPr>
      <w:kern w:val="24"/>
    </w:rPr>
  </w:style>
  <w:style w:type="table" w:customStyle="1" w:styleId="145">
    <w:name w:val="APA 报告"/>
    <w:basedOn w:val="87"/>
    <w:qFormat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46">
    <w:name w:val="Plain Table 1"/>
    <w:basedOn w:val="87"/>
    <w:qFormat/>
    <w:uiPriority w:val="41"/>
    <w:pPr>
      <w:spacing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47">
    <w:name w:val="尾注文本 字符"/>
    <w:basedOn w:val="89"/>
    <w:link w:val="52"/>
    <w:semiHidden/>
    <w:qFormat/>
    <w:uiPriority w:val="99"/>
    <w:rPr>
      <w:kern w:val="24"/>
      <w:sz w:val="22"/>
      <w:szCs w:val="20"/>
    </w:rPr>
  </w:style>
  <w:style w:type="character" w:customStyle="1" w:styleId="148">
    <w:name w:val="Intense Emphasis"/>
    <w:basedOn w:val="89"/>
    <w:semiHidden/>
    <w:unhideWhenUsed/>
    <w:qFormat/>
    <w:uiPriority w:val="21"/>
    <w:rPr>
      <w:i/>
      <w:iCs/>
      <w:color w:val="373737" w:themeColor="accent1" w:themeShade="40"/>
    </w:rPr>
  </w:style>
  <w:style w:type="character" w:customStyle="1" w:styleId="149">
    <w:name w:val="Intense Reference"/>
    <w:basedOn w:val="89"/>
    <w:semiHidden/>
    <w:unhideWhenUsed/>
    <w:qFormat/>
    <w:uiPriority w:val="32"/>
    <w:rPr>
      <w:b/>
      <w:bCs/>
      <w:smallCaps/>
      <w:color w:val="595959" w:themeColor="text1" w:themeTint="A6"/>
      <w:spacing w:val="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50">
    <w:name w:val="TOC Heading"/>
    <w:basedOn w:val="3"/>
    <w:next w:val="1"/>
    <w:unhideWhenUsed/>
    <w:qFormat/>
    <w:uiPriority w:val="39"/>
    <w:pPr>
      <w:widowControl/>
      <w:spacing w:before="480" w:beforeLines="0" w:after="240" w:afterLines="0" w:line="259" w:lineRule="auto"/>
      <w:ind w:left="0"/>
      <w:jc w:val="left"/>
      <w:outlineLvl w:val="9"/>
    </w:pPr>
    <w:rPr>
      <w:rFonts w:asciiTheme="majorHAnsi" w:hAnsiTheme="majorHAnsi" w:eastAsiaTheme="majorEastAsia" w:cstheme="majorBidi"/>
      <w:color w:val="A6A6A6" w:themeColor="accent1" w:themeShade="BF"/>
      <w:kern w:val="0"/>
      <w:szCs w:val="32"/>
      <w:lang w:val="zh-CN"/>
    </w:rPr>
  </w:style>
  <w:style w:type="paragraph" w:customStyle="1" w:styleId="151">
    <w:name w:val="论文正文"/>
    <w:basedOn w:val="1"/>
    <w:link w:val="165"/>
    <w:qFormat/>
    <w:uiPriority w:val="0"/>
    <w:pPr>
      <w:spacing w:line="400" w:lineRule="exact"/>
      <w:ind w:firstLine="480" w:firstLineChars="200"/>
    </w:pPr>
    <w:rPr>
      <w:rFonts w:ascii="Times New Roman" w:hAnsi="Times New Roman" w:eastAsia="宋体" w:cs="Times New Roman"/>
      <w:sz w:val="24"/>
    </w:rPr>
  </w:style>
  <w:style w:type="character" w:customStyle="1" w:styleId="152">
    <w:name w:val="fontstyle01"/>
    <w:basedOn w:val="89"/>
    <w:qFormat/>
    <w:uiPriority w:val="0"/>
    <w:rPr>
      <w:rFonts w:hint="eastAsia" w:ascii="黑体" w:hAnsi="黑体" w:eastAsia="黑体"/>
      <w:color w:val="000000"/>
      <w:sz w:val="22"/>
      <w:szCs w:val="22"/>
    </w:rPr>
  </w:style>
  <w:style w:type="paragraph" w:customStyle="1" w:styleId="153">
    <w:name w:val="封面标题"/>
    <w:basedOn w:val="1"/>
    <w:link w:val="154"/>
    <w:qFormat/>
    <w:uiPriority w:val="0"/>
    <w:pPr>
      <w:spacing w:line="980" w:lineRule="exact"/>
      <w:jc w:val="center"/>
    </w:pPr>
    <w:rPr>
      <w:b/>
      <w:bCs/>
      <w:sz w:val="60"/>
    </w:rPr>
  </w:style>
  <w:style w:type="character" w:customStyle="1" w:styleId="154">
    <w:name w:val="封面标题 字符"/>
    <w:basedOn w:val="89"/>
    <w:link w:val="153"/>
    <w:qFormat/>
    <w:uiPriority w:val="0"/>
    <w:rPr>
      <w:b/>
      <w:bCs/>
      <w:kern w:val="2"/>
      <w:sz w:val="60"/>
    </w:rPr>
  </w:style>
  <w:style w:type="character" w:customStyle="1" w:styleId="155">
    <w:name w:val="题注 字符"/>
    <w:basedOn w:val="89"/>
    <w:link w:val="22"/>
    <w:qFormat/>
    <w:uiPriority w:val="0"/>
    <w:rPr>
      <w:rFonts w:eastAsia="宋体" w:asciiTheme="majorHAnsi" w:hAnsiTheme="majorHAnsi" w:cstheme="majorBidi"/>
      <w:kern w:val="2"/>
      <w:sz w:val="21"/>
      <w:szCs w:val="20"/>
    </w:rPr>
  </w:style>
  <w:style w:type="paragraph" w:customStyle="1" w:styleId="156">
    <w:name w:val="封面题目"/>
    <w:basedOn w:val="1"/>
    <w:link w:val="157"/>
    <w:qFormat/>
    <w:uiPriority w:val="0"/>
    <w:pPr>
      <w:spacing w:line="820" w:lineRule="exact"/>
      <w:ind w:left="2437" w:leftChars="300" w:hanging="1807" w:hangingChars="500"/>
      <w:jc w:val="left"/>
    </w:pPr>
    <w:rPr>
      <w:b/>
      <w:bCs/>
      <w:sz w:val="36"/>
    </w:rPr>
  </w:style>
  <w:style w:type="character" w:customStyle="1" w:styleId="157">
    <w:name w:val="封面题目 字符"/>
    <w:basedOn w:val="89"/>
    <w:link w:val="156"/>
    <w:qFormat/>
    <w:uiPriority w:val="0"/>
    <w:rPr>
      <w:b/>
      <w:bCs/>
      <w:kern w:val="2"/>
      <w:sz w:val="36"/>
    </w:rPr>
  </w:style>
  <w:style w:type="paragraph" w:customStyle="1" w:styleId="158">
    <w:name w:val="页眉1"/>
    <w:basedOn w:val="1"/>
    <w:link w:val="159"/>
    <w:qFormat/>
    <w:uiPriority w:val="0"/>
    <w:pPr>
      <w:pBdr>
        <w:bottom w:val="single" w:color="auto" w:sz="4" w:space="1"/>
      </w:pBdr>
      <w:jc w:val="center"/>
    </w:pPr>
    <w:rPr>
      <w:rFonts w:ascii="宋体" w:hAnsi="宋体" w:eastAsia="宋体" w:cs="宋体"/>
      <w:szCs w:val="21"/>
    </w:rPr>
  </w:style>
  <w:style w:type="character" w:customStyle="1" w:styleId="159">
    <w:name w:val="页眉1 字符"/>
    <w:basedOn w:val="89"/>
    <w:link w:val="158"/>
    <w:qFormat/>
    <w:uiPriority w:val="0"/>
    <w:rPr>
      <w:rFonts w:ascii="宋体" w:hAnsi="宋体" w:eastAsia="宋体" w:cs="宋体"/>
      <w:kern w:val="2"/>
      <w:sz w:val="21"/>
      <w:szCs w:val="21"/>
    </w:rPr>
  </w:style>
  <w:style w:type="paragraph" w:customStyle="1" w:styleId="160">
    <w:name w:val="标题1"/>
    <w:basedOn w:val="3"/>
    <w:link w:val="161"/>
    <w:qFormat/>
    <w:uiPriority w:val="0"/>
    <w:pPr>
      <w:spacing w:before="634" w:after="317"/>
      <w:ind w:left="0"/>
    </w:pPr>
    <w:rPr>
      <w:rFonts w:ascii="Times New Roman" w:hAnsi="Times New Roman" w:cs="Times New Roman"/>
      <w:szCs w:val="32"/>
    </w:rPr>
  </w:style>
  <w:style w:type="character" w:customStyle="1" w:styleId="161">
    <w:name w:val="标题1 字符"/>
    <w:basedOn w:val="103"/>
    <w:link w:val="160"/>
    <w:qFormat/>
    <w:uiPriority w:val="0"/>
    <w:rPr>
      <w:rFonts w:ascii="Times New Roman" w:hAnsi="Times New Roman" w:eastAsia="黑体" w:cs="Times New Roman"/>
      <w:kern w:val="44"/>
      <w:sz w:val="32"/>
      <w:szCs w:val="32"/>
    </w:rPr>
  </w:style>
  <w:style w:type="paragraph" w:customStyle="1" w:styleId="162">
    <w:name w:val="标题2"/>
    <w:basedOn w:val="4"/>
    <w:qFormat/>
    <w:uiPriority w:val="0"/>
    <w:pPr>
      <w:spacing w:before="0" w:after="0" w:line="400" w:lineRule="exact"/>
    </w:pPr>
    <w:rPr>
      <w:rFonts w:ascii="Times New Roman" w:hAnsi="Times New Roman" w:eastAsia="黑体" w:cs="Times New Roman"/>
      <w:b w:val="0"/>
      <w:sz w:val="30"/>
      <w:szCs w:val="30"/>
    </w:rPr>
  </w:style>
  <w:style w:type="paragraph" w:customStyle="1" w:styleId="163">
    <w:name w:val="标题3"/>
    <w:basedOn w:val="5"/>
    <w:link w:val="164"/>
    <w:qFormat/>
    <w:uiPriority w:val="0"/>
    <w:pPr>
      <w:spacing w:before="0" w:after="0" w:line="400" w:lineRule="exact"/>
    </w:pPr>
    <w:rPr>
      <w:rFonts w:ascii="Times New Roman" w:hAnsi="Times New Roman" w:eastAsia="黑体" w:cs="Times New Roman"/>
      <w:b w:val="0"/>
      <w:bCs w:val="0"/>
      <w:sz w:val="28"/>
      <w:szCs w:val="28"/>
    </w:rPr>
  </w:style>
  <w:style w:type="character" w:customStyle="1" w:styleId="164">
    <w:name w:val="标题3 字符"/>
    <w:basedOn w:val="106"/>
    <w:link w:val="163"/>
    <w:qFormat/>
    <w:uiPriority w:val="0"/>
    <w:rPr>
      <w:rFonts w:ascii="Times New Roman" w:hAnsi="Times New Roman" w:eastAsia="黑体" w:cs="Times New Roman"/>
      <w:b w:val="0"/>
      <w:bCs w:val="0"/>
      <w:kern w:val="2"/>
      <w:sz w:val="28"/>
      <w:szCs w:val="28"/>
    </w:rPr>
  </w:style>
  <w:style w:type="character" w:customStyle="1" w:styleId="165">
    <w:name w:val="论文正文 字符"/>
    <w:basedOn w:val="89"/>
    <w:link w:val="151"/>
    <w:qFormat/>
    <w:uiPriority w:val="0"/>
    <w:rPr>
      <w:rFonts w:ascii="Times New Roman" w:hAnsi="Times New Roman" w:eastAsia="宋体" w:cs="Times New Roman"/>
      <w:kern w:val="2"/>
    </w:rPr>
  </w:style>
  <w:style w:type="paragraph" w:customStyle="1" w:styleId="166">
    <w:name w:val="表格题注"/>
    <w:basedOn w:val="22"/>
    <w:link w:val="167"/>
    <w:qFormat/>
    <w:uiPriority w:val="0"/>
    <w:rPr>
      <w:rFonts w:ascii="Times New Roman" w:hAnsi="Times New Roman" w:cs="Times New Roman"/>
    </w:rPr>
  </w:style>
  <w:style w:type="character" w:customStyle="1" w:styleId="167">
    <w:name w:val="表格题注 字符"/>
    <w:basedOn w:val="155"/>
    <w:link w:val="166"/>
    <w:qFormat/>
    <w:uiPriority w:val="0"/>
    <w:rPr>
      <w:rFonts w:ascii="Times New Roman" w:hAnsi="Times New Roman" w:eastAsia="宋体" w:cs="Times New Roman"/>
      <w:kern w:val="2"/>
      <w:sz w:val="21"/>
      <w:szCs w:val="20"/>
    </w:rPr>
  </w:style>
  <w:style w:type="paragraph" w:customStyle="1" w:styleId="168">
    <w:name w:val="表格正文"/>
    <w:basedOn w:val="1"/>
    <w:link w:val="169"/>
    <w:qFormat/>
    <w:uiPriority w:val="0"/>
    <w:rPr>
      <w:rFonts w:ascii="Times New Roman" w:hAnsi="Times New Roman" w:cs="Times New Roman"/>
      <w:szCs w:val="21"/>
    </w:rPr>
  </w:style>
  <w:style w:type="character" w:customStyle="1" w:styleId="169">
    <w:name w:val="表格正文 字符"/>
    <w:basedOn w:val="89"/>
    <w:link w:val="168"/>
    <w:qFormat/>
    <w:uiPriority w:val="0"/>
    <w:rPr>
      <w:rFonts w:ascii="Times New Roman" w:hAnsi="Times New Roman" w:cs="Times New Roman"/>
      <w:kern w:val="2"/>
      <w:sz w:val="21"/>
      <w:szCs w:val="21"/>
    </w:rPr>
  </w:style>
  <w:style w:type="paragraph" w:customStyle="1" w:styleId="170">
    <w:name w:val="图片"/>
    <w:basedOn w:val="22"/>
    <w:link w:val="171"/>
    <w:qFormat/>
    <w:uiPriority w:val="0"/>
    <w:pPr>
      <w:snapToGrid w:val="0"/>
    </w:pPr>
  </w:style>
  <w:style w:type="character" w:customStyle="1" w:styleId="171">
    <w:name w:val="图片 字符"/>
    <w:basedOn w:val="155"/>
    <w:link w:val="170"/>
    <w:qFormat/>
    <w:uiPriority w:val="0"/>
    <w:rPr>
      <w:rFonts w:eastAsia="宋体" w:asciiTheme="majorHAnsi" w:hAnsiTheme="majorHAnsi" w:cstheme="majorBidi"/>
      <w:kern w:val="2"/>
      <w:sz w:val="21"/>
      <w:szCs w:val="20"/>
    </w:rPr>
  </w:style>
  <w:style w:type="paragraph" w:customStyle="1" w:styleId="172">
    <w:name w:val="图片题注"/>
    <w:basedOn w:val="22"/>
    <w:link w:val="173"/>
    <w:qFormat/>
    <w:uiPriority w:val="0"/>
    <w:pPr>
      <w:snapToGrid w:val="0"/>
    </w:pPr>
    <w:rPr>
      <w:rFonts w:ascii="宋体" w:hAnsi="宋体"/>
      <w:szCs w:val="21"/>
    </w:rPr>
  </w:style>
  <w:style w:type="character" w:customStyle="1" w:styleId="173">
    <w:name w:val="图片题注 字符"/>
    <w:basedOn w:val="155"/>
    <w:link w:val="172"/>
    <w:qFormat/>
    <w:uiPriority w:val="0"/>
    <w:rPr>
      <w:rFonts w:ascii="宋体" w:hAnsi="宋体" w:eastAsia="宋体" w:cstheme="majorBidi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AnshiboDiagram" Type="http://schemas.openxmlformats.org/officeDocument/2006/relationships/image" Target="media/anshibo_system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3640</Words>
  <Characters>6983</Characters>
  <Lines>40</Lines>
  <Paragraphs>11</Paragraphs>
  <TotalTime>215</TotalTime>
  <ScaleCrop>false</ScaleCrop>
  <LinksUpToDate>false</LinksUpToDate>
  <CharactersWithSpaces>7693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2025-06-11T01:19:00Z</dcterms:created>
  <dc:creator>WPS_1681392381</dc:creator>
  <cp:lastModifiedBy>WPS_1681392381</cp:lastModifiedBy>
  <dcterms:modified xsi:type="dcterms:W3CDTF">2026-06-04T02:59:44Z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TemplateDocerSaveRecord">
    <vt:lpwstr>eyJoZGlkIjoiZGU2MThkMzljNzlhMGY0OTJkM2VjOTg2N2VmMmY1ZWUiLCJ1c2VySWQiOiIxNDg4NjQ4ODk1In0=</vt:lpwstr>
  </property>
  <property fmtid="{D5CDD505-2E9C-101B-9397-08002B2CF9AE}" pid="4" name="KSOProductBuildVer">
    <vt:lpwstr>2052-12.1.0.26375</vt:lpwstr>
  </property>
  <property fmtid="{D5CDD505-2E9C-101B-9397-08002B2CF9AE}" pid="5" name="ICV">
    <vt:lpwstr>E06DD14AF2C843BC8C6CE547DECF9D31_12</vt:lpwstr>
  </property>
</Properties>
</file>