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0"/>
        </w:rPr>
        <w:t>虚构销售链条下的收入舞弊与审计反舞弊失效分析：以紫晶存储为例</w:t>
      </w:r>
    </w:p>
    <w:p>
      <w:pPr>
        <w:spacing w:line="360" w:lineRule="auto" w:before="200" w:after="80"/>
      </w:pPr>
      <w:r>
        <w:rPr>
          <w:rFonts w:ascii="Times New Roman" w:hAnsi="Times New Roman" w:eastAsia="宋体"/>
          <w:b/>
          <w:sz w:val="24"/>
        </w:rPr>
        <w:t>摘要</w:t>
      </w:r>
    </w:p>
    <w:p>
      <w:pPr>
        <w:spacing w:line="360" w:lineRule="auto" w:before="0" w:after="0"/>
        <w:ind w:firstLine="480"/>
      </w:pPr>
      <w:r>
        <w:rPr>
          <w:rFonts w:ascii="Times New Roman" w:hAnsi="Times New Roman" w:eastAsia="宋体"/>
          <w:b w:val="0"/>
          <w:sz w:val="24"/>
        </w:rPr>
        <w:t>财务舞弊不仅会扭曲企业自身的经营评价，也会破坏投资者对资本市场信息披露制度的信任。紫晶存储作为科创板上市公司，其违法事实贯穿发行上市前后：上市前在招股说明书中虚增营业收入和利润，并遗漏披露对外担保；上市后继续通过类似方式虚增收入和利润，使定期报告存在虚假记载，同时未按规定披露大额对外担保事项。中国证监会最终认定其构成欺诈发行和信息披露违法违规，并对公司及相关责任人员作出行政处罚和市场禁入决定。本文以“虚构销售链条下的收入舞弊与审计反舞弊失效”为核心视角，结合舞弊三角理论、GONE 理论、内部控制和审计反舞弊程序，对紫晶存储案例进行分析。研究认为，紫晶存储舞弊并非单一会计处理错误，而是围绕销售合同、物流验收、资金回款和信息披露形成的系统性舞弊链条；其深层原因包括上市融资和维持成长性叙事的压力、实际控制人和管理层主导下的内部控制失效、外部审计和中介机构未能充分识别异常风险等。该案例提示，反舞弊治理必须同时强化企业内部控制、审计职业怀疑、监管穿透能力和中介机构责任约束。</w:t>
      </w:r>
    </w:p>
    <w:p>
      <w:pPr>
        <w:spacing w:line="360" w:lineRule="auto" w:before="0" w:after="0"/>
        <w:ind w:firstLine="480"/>
      </w:pPr>
      <w:r>
        <w:rPr>
          <w:rFonts w:ascii="Times New Roman" w:hAnsi="Times New Roman" w:eastAsia="宋体"/>
          <w:b/>
          <w:sz w:val="24"/>
        </w:rPr>
        <w:t>关键词：</w:t>
      </w:r>
      <w:r>
        <w:rPr>
          <w:rFonts w:ascii="Times New Roman" w:hAnsi="Times New Roman" w:eastAsia="宋体"/>
          <w:b w:val="0"/>
          <w:sz w:val="24"/>
        </w:rPr>
        <w:t xml:space="preserve"> 紫晶存储；财务舞弊；收入舞弊；欺诈发行；审计失败；内部控制</w:t>
      </w:r>
    </w:p>
    <w:p>
      <w:pPr>
        <w:spacing w:line="360" w:lineRule="auto" w:before="200" w:after="80"/>
      </w:pPr>
      <w:r>
        <w:rPr>
          <w:rFonts w:ascii="Times New Roman" w:hAnsi="Times New Roman" w:eastAsia="宋体"/>
          <w:b/>
          <w:sz w:val="24"/>
        </w:rPr>
        <w:t>一、引言</w:t>
      </w:r>
    </w:p>
    <w:p>
      <w:pPr>
        <w:spacing w:line="360" w:lineRule="auto" w:before="0" w:after="0"/>
        <w:ind w:firstLine="480"/>
      </w:pPr>
      <w:r>
        <w:rPr>
          <w:rFonts w:ascii="Times New Roman" w:hAnsi="Times New Roman" w:eastAsia="宋体"/>
          <w:b w:val="0"/>
          <w:sz w:val="24"/>
        </w:rPr>
        <w:t>资本市场的运行以真实、准确、完整的信息披露为基础。上市公司财务报告不仅是投资者判断企业价值的重要依据，也是监管部门、债权人和其他利益相关者评价企业经营状况的重要信息来源。一旦上市公司通过虚构交易、提前确认收入、隐瞒负债或担保等方式粉饰财务报表，市场参与者就会在失真的信息基础上作出决策，资本配置效率和市场公信力都会受到损害。</w:t>
      </w:r>
    </w:p>
    <w:p>
      <w:pPr>
        <w:spacing w:line="360" w:lineRule="auto" w:before="0" w:after="0"/>
        <w:ind w:firstLine="480"/>
      </w:pPr>
      <w:r>
        <w:rPr>
          <w:rFonts w:ascii="Times New Roman" w:hAnsi="Times New Roman" w:eastAsia="宋体"/>
          <w:b w:val="0"/>
          <w:sz w:val="24"/>
        </w:rPr>
        <w:t>在各类财务舞弊手段中，收入舞弊具有较强的典型性。一方面，收入是利润表的起点，直接影响利润、成长性和估值；另一方面，收入确认往往涉及合同、发货、验收、回款、客户关系等多个环节，企业如果能够系统性伪造业务证据，就可能在较长时间内掩盖虚假交易。紫晶存储案件正是一个围绕收入确认展开的典型案例。根据中国证监会行政处罚决定书，紫晶存储通过虚构销售合同、伪造物流单据和验收单据入账、安排资金回款、提前确认收入等方式虚增营业收入和利润，并在招股说明书及定期报告中遗漏披露对外担保事项。</w:t>
      </w:r>
    </w:p>
    <w:p>
      <w:pPr>
        <w:spacing w:line="360" w:lineRule="auto" w:before="0" w:after="0"/>
        <w:ind w:firstLine="480"/>
      </w:pPr>
      <w:r>
        <w:rPr>
          <w:rFonts w:ascii="Times New Roman" w:hAnsi="Times New Roman" w:eastAsia="宋体"/>
          <w:b w:val="0"/>
          <w:sz w:val="24"/>
        </w:rPr>
        <w:t>本文选择紫晶存储作为案例，主要基于三点考虑。第一，该案发生于科创板上市公司，涉及注册制背景下发行人、中介机构和监管机制之间的责任关系，具有较强现实意义。第二，该案违法事实链条较完整，既有上市前欺诈发行，也有上市后持续信息披露违法，适合从舞弊形成机制角度深入剖析。第三，该案不仅涉及公司和管理层责任，还涉及保荐机构、会计师事务所、律师事务所等中介机构的投资者赔付安排，能够为反舞弊治理提供多层面启示。</w:t>
      </w:r>
    </w:p>
    <w:p>
      <w:pPr>
        <w:spacing w:line="360" w:lineRule="auto" w:before="0" w:after="0"/>
        <w:ind w:firstLine="480"/>
      </w:pPr>
      <w:r>
        <w:rPr>
          <w:rFonts w:ascii="Times New Roman" w:hAnsi="Times New Roman" w:eastAsia="宋体"/>
          <w:b w:val="0"/>
          <w:sz w:val="24"/>
        </w:rPr>
        <w:t>本文的核心视角不是泛泛介绍紫晶存储事件，而是集中分析“虚构销售链条下的收入舞弊与审计反舞弊失效”。全文将依次讨论案例背景、舞弊事件过程、舞弊手段、舞弊动因、内部控制缺陷、审计失败点以及反舞弊对策。</w:t>
      </w:r>
    </w:p>
    <w:p>
      <w:pPr>
        <w:spacing w:line="360" w:lineRule="auto" w:before="200" w:after="80"/>
      </w:pPr>
      <w:r>
        <w:rPr>
          <w:rFonts w:ascii="Times New Roman" w:hAnsi="Times New Roman" w:eastAsia="宋体"/>
          <w:b/>
          <w:sz w:val="24"/>
        </w:rPr>
        <w:t>二、案例背景</w:t>
      </w:r>
    </w:p>
    <w:p>
      <w:pPr>
        <w:spacing w:line="360" w:lineRule="auto" w:before="0" w:after="0"/>
        <w:ind w:firstLine="480"/>
      </w:pPr>
      <w:r>
        <w:rPr>
          <w:rFonts w:ascii="Times New Roman" w:hAnsi="Times New Roman" w:eastAsia="宋体"/>
          <w:b w:val="0"/>
          <w:sz w:val="24"/>
        </w:rPr>
        <w:t>广东紫晶信息存储技术股份有限公司主要从事光存储产品和解决方案业务。公司于 2020 年 2 月 26 日在上海证券交易所科创板上市，股票代码为 688086。根据公司招股说明书和后续公告，紫晶存储在上市前将自身定位为具备光存储核心技术和产业化能力的科技型企业，业务面向政务、医疗、金融、档案、运营商等数据存储应用场景。</w:t>
      </w:r>
    </w:p>
    <w:p>
      <w:pPr>
        <w:spacing w:line="360" w:lineRule="auto" w:before="0" w:after="0"/>
        <w:ind w:firstLine="480"/>
      </w:pPr>
      <w:r>
        <w:rPr>
          <w:rFonts w:ascii="Times New Roman" w:hAnsi="Times New Roman" w:eastAsia="宋体"/>
          <w:b w:val="0"/>
          <w:sz w:val="24"/>
        </w:rPr>
        <w:t>从行业叙事看，紫晶存储所处的光存储领域具有“数据安全”“长期保存”“绿色节能”等概念，与数字经济、信创和数据中心建设等主题存在关联。对于科创板企业而言，技术先进性、成长性和商业化能力是资本市场关注的重要方面。若企业能够表现出较高的收入增长和盈利能力，其上市审核、市场估值和融资能力都可能受到积极影响。也正是在这种背景下，收入规模和利润水平成为紫晶存储财务报表中的关键指标。</w:t>
      </w:r>
    </w:p>
    <w:p>
      <w:pPr>
        <w:spacing w:line="360" w:lineRule="auto" w:before="0" w:after="0"/>
        <w:ind w:firstLine="480"/>
      </w:pPr>
      <w:r>
        <w:rPr>
          <w:rFonts w:ascii="Times New Roman" w:hAnsi="Times New Roman" w:eastAsia="宋体"/>
          <w:b w:val="0"/>
          <w:sz w:val="24"/>
        </w:rPr>
        <w:t>然而，证监会后续调查显示，紫晶存储在发行上市前后均存在严重财务造假。2019 年 4 月 3 日，紫晶存储披露科创板招股说明书申报稿；2019 年 10 月 23 日，公司获得上交所科创板上市委员会审议同意发行上市；2020 年 1 月 19 日，获得证监会同意注册批复；2020 年 2 月 21 日披露招股说明书正式稿；2020 年 2 月 26 日在科创板上市。2022 年 2 月 11 日，公司收到证监会立案告知书。2022 年 11 月 18 日，公司收到行政处罚及市场禁入事先告知书。2023 年 4 月 21 日，公司收到证监会行政处罚决定书和市场禁入决定书。</w:t>
      </w:r>
    </w:p>
    <w:p>
      <w:pPr>
        <w:spacing w:line="360" w:lineRule="auto" w:before="0" w:after="0"/>
        <w:ind w:firstLine="480"/>
      </w:pPr>
      <w:r>
        <w:rPr>
          <w:rFonts w:ascii="Times New Roman" w:hAnsi="Times New Roman" w:eastAsia="宋体"/>
          <w:b w:val="0"/>
          <w:sz w:val="24"/>
        </w:rPr>
        <w:t>证监会认定，紫晶存储存在欺诈发行和信息披露违法违规。对公司层面，证监会责令改正、给予警告，并处以 3,668.52 万元罚款；对时任董事长、实际控制人之一郑穆给予警告并处以 2,164.26 万元罚款，同时采取终身证券市场禁入措施；对时任董事、实际控制人之一罗铁威给予警告并处以 1,803.55 万元罚款，同时采取 10 年证券市场禁入措施；对时任董事、总经理钟国裕和时任董事、财务总监李燕霞分别采取 5 年证券市场禁入措施。该处罚结果说明，监管部门并未将其视为普通披露瑕疵，而是认定为以实际控制人和管理层为核心的严重资本市场违法行为。</w:t>
      </w:r>
    </w:p>
    <w:p>
      <w:pPr>
        <w:spacing w:line="360" w:lineRule="auto" w:before="200" w:after="80"/>
      </w:pPr>
      <w:r>
        <w:rPr>
          <w:rFonts w:ascii="Times New Roman" w:hAnsi="Times New Roman" w:eastAsia="宋体"/>
          <w:b/>
          <w:sz w:val="24"/>
        </w:rPr>
        <w:t>三、舞弊事件过程</w:t>
      </w:r>
    </w:p>
    <w:p>
      <w:pPr>
        <w:spacing w:line="360" w:lineRule="auto" w:before="0" w:after="0"/>
        <w:ind w:firstLine="480"/>
      </w:pPr>
      <w:r>
        <w:rPr>
          <w:rFonts w:ascii="Times New Roman" w:hAnsi="Times New Roman" w:eastAsia="宋体"/>
          <w:b w:val="0"/>
          <w:sz w:val="24"/>
        </w:rPr>
        <w:t>紫晶存储舞弊事件可以分为上市前欺诈发行、上市后持续虚假披露、风险暴露与监管处罚三个阶段。</w:t>
      </w:r>
    </w:p>
    <w:p>
      <w:pPr>
        <w:spacing w:line="360" w:lineRule="auto" w:before="0" w:after="0"/>
        <w:ind w:firstLine="480"/>
      </w:pPr>
      <w:r>
        <w:rPr>
          <w:rFonts w:ascii="Times New Roman" w:hAnsi="Times New Roman" w:eastAsia="宋体"/>
          <w:b w:val="0"/>
          <w:sz w:val="24"/>
        </w:rPr>
        <w:t>第一阶段是上市前欺诈发行。根据证监会行政处罚决定书，紫晶存储在招股说明书中通过虚构业务和提前确认收入等方式虚增营业收入和利润。2017 年，公司虚增营业收入 43,497,313.43 元，占当年营业收入的 13.90%；虚增利润 21,627,070.35 元，占当年利润总额的 35.82%。2018 年，公司虚增营业收入 111,457,882.74 元，占当年营业收入的 27.75%；虚增利润 39,036,333.51 元，占当年利润总额的 32.59%。2019 年上半年，公司虚增营业收入 66,939,521.10 元，占当期营业收入的 42.97%；虚增利润 25,326,629.03 元，占当期利润总额的 137.33%。同时，招股说明书未按规定披露对外担保余额。截至招股说明书签署日，未按规定披露对外担保余额合计 13,500.12 万元。</w:t>
      </w:r>
    </w:p>
    <w:p>
      <w:pPr>
        <w:spacing w:line="360" w:lineRule="auto" w:before="0" w:after="0"/>
        <w:ind w:firstLine="480"/>
      </w:pPr>
      <w:r>
        <w:rPr>
          <w:rFonts w:ascii="Times New Roman" w:hAnsi="Times New Roman" w:eastAsia="宋体"/>
          <w:b w:val="0"/>
          <w:sz w:val="24"/>
        </w:rPr>
        <w:t>这一阶段的关键问题在于，发行上市文件是投资者和监管机构判断公司是否符合发行条件、是否具有投资价值的重要基础。如果发行人通过虚增收入利润来塑造成长性和盈利能力，就会直接影响注册发行审核和投资者判断。尤其是 2019 年上半年虚增利润占利润总额比例达到 137.33%，说明招股材料所呈现的盈利质量与公司真实经营状况之间已经存在重大偏离。</w:t>
      </w:r>
    </w:p>
    <w:p>
      <w:pPr>
        <w:spacing w:line="360" w:lineRule="auto" w:before="0" w:after="0"/>
        <w:ind w:firstLine="480"/>
      </w:pPr>
      <w:r>
        <w:rPr>
          <w:rFonts w:ascii="Times New Roman" w:hAnsi="Times New Roman" w:eastAsia="宋体"/>
          <w:b w:val="0"/>
          <w:sz w:val="24"/>
        </w:rPr>
        <w:t>第二阶段是上市后持续虚假披露。紫晶存储上市后并未停止造假，而是继续通过前述财务造假方式虚增营业收入和利润。证监会认定，在 2019 年年度报告中，公司虚增营业收入 270,871,411.88 元，占当期报告记载营业收入绝对值的 52.46%；虚增利润 145,290,742.15 元，占当期报告记载利润总额绝对值的 94.55%。在 2020 年年度报告中，公司虚增营业收入 327,797,330.95 元，占当期报告记载营业收入绝对值的 58.26%；虚增利润 169,023,641.79 元，占当期报告记载利润总额绝对值的 150.21%。</w:t>
      </w:r>
    </w:p>
    <w:p>
      <w:pPr>
        <w:spacing w:line="360" w:lineRule="auto" w:before="0" w:after="0"/>
        <w:ind w:firstLine="480"/>
      </w:pPr>
      <w:r>
        <w:rPr>
          <w:rFonts w:ascii="Times New Roman" w:hAnsi="Times New Roman" w:eastAsia="宋体"/>
          <w:b w:val="0"/>
          <w:sz w:val="24"/>
        </w:rPr>
        <w:t>上市后的持续造假表明，紫晶存储的舞弊不是为了跨过上市门槛而偶发实施的一次性行为，而是形成了维持资本市场形象和财务指标的持续机制。上市公司定期报告本应持续向市场反映真实经营状况，但紫晶存储的定期报告却继续成为舞弊载体，使投资者在公司上市后仍长期处于信息劣势。</w:t>
      </w:r>
    </w:p>
    <w:p>
      <w:pPr>
        <w:spacing w:line="360" w:lineRule="auto" w:before="0" w:after="0"/>
        <w:ind w:firstLine="480"/>
      </w:pPr>
      <w:r>
        <w:rPr>
          <w:rFonts w:ascii="Times New Roman" w:hAnsi="Times New Roman" w:eastAsia="宋体"/>
          <w:b w:val="0"/>
          <w:sz w:val="24"/>
        </w:rPr>
        <w:t>第三阶段是风险暴露与监管处罚。2022 年 2 月，公司收到证监会立案告知书。2022 年 4 月，公司 2021 年年报披露，中喜会计师事务所对公司 2021 年财务报表出具无法表示意见，对内部控制出具否定意见；部分董事和独立董事无法保证年报真实性、准确性和完整性。2023 年 4 月，证监会正式作出行政处罚和市场禁入决定。此后，中信建投等中介机构设立紫晶存储事件先行赔付专项基金，用于先行赔付适格投资者因紫晶存储欺诈发行和信息披露违法违规而遭受的投资损失。</w:t>
      </w:r>
    </w:p>
    <w:p>
      <w:pPr>
        <w:spacing w:line="360" w:lineRule="auto" w:before="0" w:after="0"/>
        <w:ind w:firstLine="480"/>
      </w:pPr>
      <w:r>
        <w:rPr>
          <w:rFonts w:ascii="Times New Roman" w:hAnsi="Times New Roman" w:eastAsia="宋体"/>
          <w:b w:val="0"/>
          <w:sz w:val="24"/>
        </w:rPr>
        <w:t>从事件过程看，紫晶存储案件的严重性不仅在于金额较大，更在于舞弊贯穿发行上市和上市后信息披露全过程，且在较长期间内未被有效识别和制止。</w:t>
      </w:r>
    </w:p>
    <w:p>
      <w:pPr>
        <w:spacing w:line="360" w:lineRule="auto" w:before="200" w:after="80"/>
      </w:pPr>
      <w:r>
        <w:rPr>
          <w:rFonts w:ascii="Times New Roman" w:hAnsi="Times New Roman" w:eastAsia="宋体"/>
          <w:b/>
          <w:sz w:val="24"/>
        </w:rPr>
        <w:t>四、舞弊手段分析</w:t>
      </w:r>
    </w:p>
    <w:p>
      <w:pPr>
        <w:spacing w:line="360" w:lineRule="auto" w:before="0" w:after="0"/>
        <w:ind w:firstLine="480"/>
      </w:pPr>
      <w:r>
        <w:rPr>
          <w:rFonts w:ascii="Times New Roman" w:hAnsi="Times New Roman" w:eastAsia="宋体"/>
          <w:b w:val="0"/>
          <w:sz w:val="24"/>
        </w:rPr>
        <w:t>紫晶存储的核心舞弊方式是收入舞弊。根据证监会认定，其舞弊手段主要包括虚构销售合同、伪造物流单据和验收单据、安排资金回款、提前确认收入以及遗漏披露对外担保。上述手段相互配合，构成了从业务前端到财务入账的完整链条。</w:t>
      </w:r>
    </w:p>
    <w:p>
      <w:pPr>
        <w:spacing w:line="360" w:lineRule="auto" w:before="120" w:after="40"/>
      </w:pPr>
      <w:r>
        <w:rPr>
          <w:rFonts w:ascii="Times New Roman" w:hAnsi="Times New Roman" w:eastAsia="宋体"/>
          <w:b/>
          <w:sz w:val="24"/>
        </w:rPr>
        <w:t>（一）虚构销售合同</w:t>
      </w:r>
    </w:p>
    <w:p>
      <w:pPr>
        <w:spacing w:line="360" w:lineRule="auto" w:before="0" w:after="0"/>
        <w:ind w:firstLine="480"/>
      </w:pPr>
      <w:r>
        <w:rPr>
          <w:rFonts w:ascii="Times New Roman" w:hAnsi="Times New Roman" w:eastAsia="宋体"/>
          <w:b w:val="0"/>
          <w:sz w:val="24"/>
        </w:rPr>
        <w:t>销售合同是收入确认的重要起点。正常情况下，企业确认收入应当建立在真实交易和合同履约基础之上。紫晶存储通过虚构销售合同，使账面上出现形式完整的销售安排，从而为后续发货、验收、开票、入账等环节提供表面依据。虚构合同的危害在于，它使企业能够在没有真实商业实质的情况下制造收入来源，掩盖真实市场需求不足或业务落地能力不足的问题。</w:t>
      </w:r>
    </w:p>
    <w:p>
      <w:pPr>
        <w:spacing w:line="360" w:lineRule="auto" w:before="0" w:after="0"/>
        <w:ind w:firstLine="480"/>
      </w:pPr>
      <w:r>
        <w:rPr>
          <w:rFonts w:ascii="Times New Roman" w:hAnsi="Times New Roman" w:eastAsia="宋体"/>
          <w:b w:val="0"/>
          <w:sz w:val="24"/>
        </w:rPr>
        <w:t>从审计角度看，合同本身并不能单独证明收入真实。若审计人员仅检查合同文本是否存在、签章是否齐全，而未进一步核查客户背景、合同商业合理性、项目履约过程和最终使用情况，就容易被形式化合同所误导。紫晶存储案例说明，在收入舞弊中，合同往往只是第一层“纸面证据”，真正关键的是合同背后是否存在真实客户需求和真实履约。</w:t>
      </w:r>
    </w:p>
    <w:p>
      <w:pPr>
        <w:spacing w:line="360" w:lineRule="auto" w:before="120" w:after="40"/>
      </w:pPr>
      <w:r>
        <w:rPr>
          <w:rFonts w:ascii="Times New Roman" w:hAnsi="Times New Roman" w:eastAsia="宋体"/>
          <w:b/>
          <w:sz w:val="24"/>
        </w:rPr>
        <w:t>（二）伪造物流单据和验收单据</w:t>
      </w:r>
    </w:p>
    <w:p>
      <w:pPr>
        <w:spacing w:line="360" w:lineRule="auto" w:before="0" w:after="0"/>
        <w:ind w:firstLine="480"/>
      </w:pPr>
      <w:r>
        <w:rPr>
          <w:rFonts w:ascii="Times New Roman" w:hAnsi="Times New Roman" w:eastAsia="宋体"/>
          <w:b w:val="0"/>
          <w:sz w:val="24"/>
        </w:rPr>
        <w:t>在销售业务中，发货和验收是确认商品控制权转移的重要证据。紫晶存储通过伪造物流单据和验收单据入账，使虚构交易具备了“已经发货”“已经验收”的表面形式。相较于单纯虚构合同，伪造物流和验收证据使舞弊链条更具迷惑性，因为它使收入确认所需的外部凭证看似齐备。</w:t>
      </w:r>
    </w:p>
    <w:p>
      <w:pPr>
        <w:spacing w:line="360" w:lineRule="auto" w:before="0" w:after="0"/>
        <w:ind w:firstLine="480"/>
      </w:pPr>
      <w:r>
        <w:rPr>
          <w:rFonts w:ascii="Times New Roman" w:hAnsi="Times New Roman" w:eastAsia="宋体"/>
          <w:b w:val="0"/>
          <w:sz w:val="24"/>
        </w:rPr>
        <w:t>但从反舞弊角度看，物流和验收证据仍然需要穿透核查。例如，物流单据是否对应真实运输轨迹，货物是否真正到达客户处，验收人是否具备真实身份和授权，验收地点是否与项目实际所在地一致，客户是否实际安装和使用相关设备。这些问题都不能仅凭纸面单据得出结论。如果审计程序停留在凭证层面，而没有进行实物走访、终端客户访谈或独立第三方核验，就难以识别伪造凭证背后的虚假交易。</w:t>
      </w:r>
    </w:p>
    <w:p>
      <w:pPr>
        <w:spacing w:line="360" w:lineRule="auto" w:before="120" w:after="40"/>
      </w:pPr>
      <w:r>
        <w:rPr>
          <w:rFonts w:ascii="Times New Roman" w:hAnsi="Times New Roman" w:eastAsia="宋体"/>
          <w:b/>
          <w:sz w:val="24"/>
        </w:rPr>
        <w:t>（三）安排资金回款形成闭环</w:t>
      </w:r>
    </w:p>
    <w:p>
      <w:pPr>
        <w:spacing w:line="360" w:lineRule="auto" w:before="0" w:after="0"/>
        <w:ind w:firstLine="480"/>
      </w:pPr>
      <w:r>
        <w:rPr>
          <w:rFonts w:ascii="Times New Roman" w:hAnsi="Times New Roman" w:eastAsia="宋体"/>
          <w:b w:val="0"/>
          <w:sz w:val="24"/>
        </w:rPr>
        <w:t>收入舞弊能否持续，关键在于回款环节能否自洽。若账面形成大量应收账款而长期无法回收，舞弊风险会迅速暴露。因此，一些企业会安排资金流转，通过第三方资金、关联方资金或其他过桥方式制造客户回款假象。证监会行政处罚决定书明确提到，紫晶存储存在安排资金回款的行为。</w:t>
      </w:r>
    </w:p>
    <w:p>
      <w:pPr>
        <w:spacing w:line="360" w:lineRule="auto" w:before="0" w:after="0"/>
        <w:ind w:firstLine="480"/>
      </w:pPr>
      <w:r>
        <w:rPr>
          <w:rFonts w:ascii="Times New Roman" w:hAnsi="Times New Roman" w:eastAsia="宋体"/>
          <w:b w:val="0"/>
          <w:sz w:val="24"/>
        </w:rPr>
        <w:t>资金闭环使舞弊更隐蔽。表面上看，客户支付了货款，企业收入和现金流似乎均有支撑；但实质上，回款资金并非来自客户真实经营付款，而可能是由公司实际控制人、相关人员或其他主体安排形成循环。对于审计人员而言，银行流水不能仅看“钱是否到账”，还要看“钱从哪里来、为什么来、是否最终又流回相关方”。如果只核对银行入账金额，而不追踪资金来源和后续去向，就可能无法识别资金闭环。</w:t>
      </w:r>
    </w:p>
    <w:p>
      <w:pPr>
        <w:spacing w:line="360" w:lineRule="auto" w:before="120" w:after="40"/>
      </w:pPr>
      <w:r>
        <w:rPr>
          <w:rFonts w:ascii="Times New Roman" w:hAnsi="Times New Roman" w:eastAsia="宋体"/>
          <w:b/>
          <w:sz w:val="24"/>
        </w:rPr>
        <w:t>（四）提前确认收入</w:t>
      </w:r>
    </w:p>
    <w:p>
      <w:pPr>
        <w:spacing w:line="360" w:lineRule="auto" w:before="0" w:after="0"/>
        <w:ind w:firstLine="480"/>
      </w:pPr>
      <w:r>
        <w:rPr>
          <w:rFonts w:ascii="Times New Roman" w:hAnsi="Times New Roman" w:eastAsia="宋体"/>
          <w:b w:val="0"/>
          <w:sz w:val="24"/>
        </w:rPr>
        <w:t>除虚构业务外，紫晶存储还存在提前确认收入。提前确认收入是收入舞弊中常见方式，即在商品控制权尚未真正转移、履约义务尚未完成或验收条件尚不充分时，将未来期间收入提前计入当期。该方式不像完全虚构业务那样“从无到有”，但同样会扭曲当期经营成果。</w:t>
      </w:r>
    </w:p>
    <w:p>
      <w:pPr>
        <w:spacing w:line="360" w:lineRule="auto" w:before="0" w:after="0"/>
        <w:ind w:firstLine="480"/>
      </w:pPr>
      <w:r>
        <w:rPr>
          <w:rFonts w:ascii="Times New Roman" w:hAnsi="Times New Roman" w:eastAsia="宋体"/>
          <w:b w:val="0"/>
          <w:sz w:val="24"/>
        </w:rPr>
        <w:t>提前确认收入尤其容易发生在项目制、定制化、验收周期长的业务中。企业可能以合同已签订、货物已发出、客户已有使用意向等理由提前入账。但按照收入确认原则，收入确认应关注控制权转移和履约义务完成，而非仅有合同或发货形式。紫晶存储在招股期和上市后均存在提前确认收入，说明其收入确认政策和执行控制存在重大缺陷。</w:t>
      </w:r>
    </w:p>
    <w:p>
      <w:pPr>
        <w:spacing w:line="360" w:lineRule="auto" w:before="120" w:after="40"/>
      </w:pPr>
      <w:r>
        <w:rPr>
          <w:rFonts w:ascii="Times New Roman" w:hAnsi="Times New Roman" w:eastAsia="宋体"/>
          <w:b/>
          <w:sz w:val="24"/>
        </w:rPr>
        <w:t>（五）遗漏披露对外担保</w:t>
      </w:r>
    </w:p>
    <w:p>
      <w:pPr>
        <w:spacing w:line="360" w:lineRule="auto" w:before="0" w:after="0"/>
        <w:ind w:firstLine="480"/>
      </w:pPr>
      <w:r>
        <w:rPr>
          <w:rFonts w:ascii="Times New Roman" w:hAnsi="Times New Roman" w:eastAsia="宋体"/>
          <w:b w:val="0"/>
          <w:sz w:val="24"/>
        </w:rPr>
        <w:t>除收入舞弊外，紫晶存储还存在未按规定披露对外担保事项。招股说明书签署日未按规定披露对外担保余额合计 13,500.12 万元；上市后，2019 年年报遗漏披露对外担保 14,500.12 万元，2020 年未按规定及时披露对外担保 17,500 万元，2021 年未按规定及时披露对外担保 41,790 万元。</w:t>
      </w:r>
    </w:p>
    <w:p>
      <w:pPr>
        <w:spacing w:line="360" w:lineRule="auto" w:before="0" w:after="0"/>
        <w:ind w:firstLine="480"/>
      </w:pPr>
      <w:r>
        <w:rPr>
          <w:rFonts w:ascii="Times New Roman" w:hAnsi="Times New Roman" w:eastAsia="宋体"/>
          <w:b w:val="0"/>
          <w:sz w:val="24"/>
        </w:rPr>
        <w:t>对外担保会影响企业或有负债、资产受限、流动性风险和投资者风险判断。紫晶存储未披露担保事项，既是信息披露违法，也反映公司内部授权审批、印章管理、资金管理和董事会监督存在严重问题。尤其是担保金额逐年扩大，说明公司治理结构未能形成有效制衡，实际控制人和管理层可能绕过正常程序安排重大事项。</w:t>
      </w:r>
    </w:p>
    <w:p>
      <w:pPr>
        <w:spacing w:line="360" w:lineRule="auto" w:before="200" w:after="80"/>
      </w:pPr>
      <w:r>
        <w:rPr>
          <w:rFonts w:ascii="Times New Roman" w:hAnsi="Times New Roman" w:eastAsia="宋体"/>
          <w:b/>
          <w:sz w:val="24"/>
        </w:rPr>
        <w:t>五、舞弊动因分析</w:t>
      </w:r>
    </w:p>
    <w:p>
      <w:pPr>
        <w:spacing w:line="360" w:lineRule="auto" w:before="120" w:after="40"/>
      </w:pPr>
      <w:r>
        <w:rPr>
          <w:rFonts w:ascii="Times New Roman" w:hAnsi="Times New Roman" w:eastAsia="宋体"/>
          <w:b/>
          <w:sz w:val="24"/>
        </w:rPr>
        <w:t>（一）舞弊三角理论分析</w:t>
      </w:r>
    </w:p>
    <w:p>
      <w:pPr>
        <w:spacing w:line="360" w:lineRule="auto" w:before="0" w:after="0"/>
        <w:ind w:firstLine="480"/>
      </w:pPr>
      <w:r>
        <w:rPr>
          <w:rFonts w:ascii="Times New Roman" w:hAnsi="Times New Roman" w:eastAsia="宋体"/>
          <w:b w:val="0"/>
          <w:sz w:val="24"/>
        </w:rPr>
        <w:t>舞弊三角理论认为，舞弊通常由压力、机会和借口三方面因素共同作用形成。</w:t>
      </w:r>
    </w:p>
    <w:p>
      <w:pPr>
        <w:spacing w:line="360" w:lineRule="auto" w:before="0" w:after="0"/>
        <w:ind w:firstLine="480"/>
      </w:pPr>
      <w:r>
        <w:rPr>
          <w:rFonts w:ascii="Times New Roman" w:hAnsi="Times New Roman" w:eastAsia="宋体"/>
          <w:b w:val="0"/>
          <w:sz w:val="24"/>
        </w:rPr>
        <w:t>第一，压力主要来自上市融资和业绩表现需求。紫晶存储作为科创板拟上市企业，需要向监管机构和投资者证明其技术商业化能力、收入增长能力和盈利能力。光存储业务虽然具有技术概念和政策叙事，但商业落地、客户回款和规模化盈利并不一定稳定。在这种情况下，管理层可能面临通过财务指标证明企业成长性的压力。上市后，公司还需要维持资本市场预期，持续披露较好的收入和利润数据，以支撑估值和市场信心。</w:t>
      </w:r>
    </w:p>
    <w:p>
      <w:pPr>
        <w:spacing w:line="360" w:lineRule="auto" w:before="0" w:after="0"/>
        <w:ind w:firstLine="480"/>
      </w:pPr>
      <w:r>
        <w:rPr>
          <w:rFonts w:ascii="Times New Roman" w:hAnsi="Times New Roman" w:eastAsia="宋体"/>
          <w:b w:val="0"/>
          <w:sz w:val="24"/>
        </w:rPr>
        <w:t>第二，机会来自内部控制失效和外部监督不足。紫晶存储舞弊涉及销售合同、物流验收、资金回款、担保披露等多个环节。如果企业内部控制有效，单个环节造假可能被其他环节识别。例如，销售合同需要客户准入和信用审批，发货需要仓储物流记录，验收需要客户独立确认，回款需要财务核验资金来源，对外担保需要董事会或股东大会审批和及时披露。但紫晶存储能够形成较完整的舞弊链条，说明这些控制节点没有发挥应有作用。</w:t>
      </w:r>
    </w:p>
    <w:p>
      <w:pPr>
        <w:spacing w:line="360" w:lineRule="auto" w:before="0" w:after="0"/>
        <w:ind w:firstLine="480"/>
      </w:pPr>
      <w:r>
        <w:rPr>
          <w:rFonts w:ascii="Times New Roman" w:hAnsi="Times New Roman" w:eastAsia="宋体"/>
          <w:b w:val="0"/>
          <w:sz w:val="24"/>
        </w:rPr>
        <w:t>第三，借口来自对业务复杂性和行业特征的利用。紫晶存储所处业务具有项目制、客户定制、回款周期长、政府或行业客户验收流程复杂等特点。管理层可能以行业特殊性解释应收账款较高、回款较慢、客户波动较大、项目前期投入较高等异常现象，从而降低外部审计和投资者对舞弊风险的敏感度。换言之，真实存在的行业特点被用来包装不真实的交易安排。</w:t>
      </w:r>
    </w:p>
    <w:p>
      <w:pPr>
        <w:spacing w:line="360" w:lineRule="auto" w:before="120" w:after="40"/>
      </w:pPr>
      <w:r>
        <w:rPr>
          <w:rFonts w:ascii="Times New Roman" w:hAnsi="Times New Roman" w:eastAsia="宋体"/>
          <w:b/>
          <w:sz w:val="24"/>
        </w:rPr>
        <w:t>（二）GONE 理论分析</w:t>
      </w:r>
    </w:p>
    <w:p>
      <w:pPr>
        <w:spacing w:line="360" w:lineRule="auto" w:before="0" w:after="0"/>
        <w:ind w:firstLine="480"/>
      </w:pPr>
      <w:r>
        <w:rPr>
          <w:rFonts w:ascii="Times New Roman" w:hAnsi="Times New Roman" w:eastAsia="宋体"/>
          <w:b w:val="0"/>
          <w:sz w:val="24"/>
        </w:rPr>
        <w:t>GONE 理论从贪婪、机会、需要、暴露四个方面解释舞弊。紫晶存储案例同样可以用这一理论加以分析。</w:t>
      </w:r>
    </w:p>
    <w:p>
      <w:pPr>
        <w:spacing w:line="360" w:lineRule="auto" w:before="0" w:after="0"/>
        <w:ind w:firstLine="480"/>
      </w:pPr>
      <w:r>
        <w:rPr>
          <w:rFonts w:ascii="Times New Roman" w:hAnsi="Times New Roman" w:eastAsia="宋体"/>
          <w:b w:val="0"/>
          <w:sz w:val="24"/>
        </w:rPr>
        <w:t>在贪婪方面，实际控制人和管理层可能通过上市融资、提升公司估值、维护控制权利益等方式获得收益。企业成功上市不仅意味着融资成功，也意味着创始人、实际控制人和早期投资者所持股份获得资本市场定价。财务数据越好，企业越容易获得市场认可。</w:t>
      </w:r>
    </w:p>
    <w:p>
      <w:pPr>
        <w:spacing w:line="360" w:lineRule="auto" w:before="0" w:after="0"/>
        <w:ind w:firstLine="480"/>
      </w:pPr>
      <w:r>
        <w:rPr>
          <w:rFonts w:ascii="Times New Roman" w:hAnsi="Times New Roman" w:eastAsia="宋体"/>
          <w:b w:val="0"/>
          <w:sz w:val="24"/>
        </w:rPr>
        <w:t>在机会方面，公司治理和内部控制未能约束关键人员。证监会认定郑穆、罗铁威作为实际控制人组织、指使相关违法行为；钟国裕、李燕霞等经营和财务负责人也承担相应责任。这说明舞弊并非基层员工孤立行为，而是由关键管理层参与或主导。若实际控制人凌驾于内部控制之上，董事会、监事会、独立董事和财务部门就难以形成有效制衡。</w:t>
      </w:r>
    </w:p>
    <w:p>
      <w:pPr>
        <w:spacing w:line="360" w:lineRule="auto" w:before="0" w:after="0"/>
        <w:ind w:firstLine="480"/>
      </w:pPr>
      <w:r>
        <w:rPr>
          <w:rFonts w:ascii="Times New Roman" w:hAnsi="Times New Roman" w:eastAsia="宋体"/>
          <w:b w:val="0"/>
          <w:sz w:val="24"/>
        </w:rPr>
        <w:t>在需要方面，紫晶存储需要持续证明其商业化能力。科创企业通常面临研发投入、市场开拓、客户验证和技术路线竞争等压力。如果真实业务增长不足以支撑资本市场叙事，企业就可能产生通过财务造假维持“高成长”形象的需要。</w:t>
      </w:r>
    </w:p>
    <w:p>
      <w:pPr>
        <w:spacing w:line="360" w:lineRule="auto" w:before="0" w:after="0"/>
        <w:ind w:firstLine="480"/>
      </w:pPr>
      <w:r>
        <w:rPr>
          <w:rFonts w:ascii="Times New Roman" w:hAnsi="Times New Roman" w:eastAsia="宋体"/>
          <w:b w:val="0"/>
          <w:sz w:val="24"/>
        </w:rPr>
        <w:t>在暴露方面，紫晶存储早期舞弊暴露风险相对较低。一方面，虚构交易形成合同、物流、验收和回款等多重表面证据；另一方面，外部审计和中介机构未能在发行上市和上市后早期及时识别重大问题。虽然监管问询和审计保留意见后来逐渐显现风险，但在上市前后关键时期，舞弊链条并未被有效打断。</w:t>
      </w:r>
    </w:p>
    <w:p>
      <w:pPr>
        <w:spacing w:line="360" w:lineRule="auto" w:before="200" w:after="80"/>
      </w:pPr>
      <w:r>
        <w:rPr>
          <w:rFonts w:ascii="Times New Roman" w:hAnsi="Times New Roman" w:eastAsia="宋体"/>
          <w:b/>
          <w:sz w:val="24"/>
        </w:rPr>
        <w:t>六、内部控制缺陷分析</w:t>
      </w:r>
    </w:p>
    <w:p>
      <w:pPr>
        <w:spacing w:line="360" w:lineRule="auto" w:before="0" w:after="0"/>
        <w:ind w:firstLine="480"/>
      </w:pPr>
      <w:r>
        <w:rPr>
          <w:rFonts w:ascii="Times New Roman" w:hAnsi="Times New Roman" w:eastAsia="宋体"/>
          <w:b w:val="0"/>
          <w:sz w:val="24"/>
        </w:rPr>
        <w:t>紫晶存储舞弊暴露出销售与收款循环、资金管理、担保审批、信息披露和公司治理等多方面内部控制缺陷。</w:t>
      </w:r>
    </w:p>
    <w:p>
      <w:pPr>
        <w:spacing w:line="360" w:lineRule="auto" w:before="0" w:after="0"/>
        <w:ind w:firstLine="480"/>
      </w:pPr>
      <w:r>
        <w:rPr>
          <w:rFonts w:ascii="Times New Roman" w:hAnsi="Times New Roman" w:eastAsia="宋体"/>
          <w:b w:val="0"/>
          <w:sz w:val="24"/>
        </w:rPr>
        <w:t>首先，销售与收款循环控制失效。正常销售流程应包括客户准入、合同审批、发货审批、物流跟踪、客户验收、开票入账、回款核验和应收账款管理。紫晶存储能够通过虚构销售合同、伪造物流单据和验收单据、安排资金回款来确认收入，说明销售业务的关键控制点形同虚设。尤其是客户真实性和交易商业实质没有得到充分验证，导致虚假业务能够进入财务系统。</w:t>
      </w:r>
    </w:p>
    <w:p>
      <w:pPr>
        <w:spacing w:line="360" w:lineRule="auto" w:before="0" w:after="0"/>
        <w:ind w:firstLine="480"/>
      </w:pPr>
      <w:r>
        <w:rPr>
          <w:rFonts w:ascii="Times New Roman" w:hAnsi="Times New Roman" w:eastAsia="宋体"/>
          <w:b w:val="0"/>
          <w:sz w:val="24"/>
        </w:rPr>
        <w:t>其次，资金管理控制失效。资金回款是判断收入真实性的重要证据，但紫晶存储能够安排资金回款，说明公司对资金来源、资金流向和异常资金往来缺乏有效监控。若公司财务部门仅关注银行到账，而不核查资金来源是否来自客户真实经营付款，就会使资金闭环成为舞弊工具。</w:t>
      </w:r>
    </w:p>
    <w:p>
      <w:pPr>
        <w:spacing w:line="360" w:lineRule="auto" w:before="0" w:after="0"/>
        <w:ind w:firstLine="480"/>
      </w:pPr>
      <w:r>
        <w:rPr>
          <w:rFonts w:ascii="Times New Roman" w:hAnsi="Times New Roman" w:eastAsia="宋体"/>
          <w:b w:val="0"/>
          <w:sz w:val="24"/>
        </w:rPr>
        <w:t>再次，对外担保控制失效。对外担保属于重大风险事项，应履行严格审批程序并及时披露。紫晶存储未按规定披露大额担保，且担保金额持续扩大，说明公司在印章管理、合同管理、董事会授权、重大事项报告和信息披露方面均存在漏洞。违规担保还可能导致资产受限、资金被划扣或冻结，从而进一步损害公司和投资者利益。</w:t>
      </w:r>
    </w:p>
    <w:p>
      <w:pPr>
        <w:spacing w:line="360" w:lineRule="auto" w:before="0" w:after="0"/>
        <w:ind w:firstLine="480"/>
      </w:pPr>
      <w:r>
        <w:rPr>
          <w:rFonts w:ascii="Times New Roman" w:hAnsi="Times New Roman" w:eastAsia="宋体"/>
          <w:b w:val="0"/>
          <w:sz w:val="24"/>
        </w:rPr>
        <w:t>第四，信息披露内部控制失效。上市公司应建立从业务部门、财务部门到董事会秘书和董事会的披露信息传递机制，确保重大事项及时、准确进入披露流程。但紫晶存储的定期报告连续存在虚假记载和重大遗漏，说明信息披露控制未能识别和纠正虚假数据，也未能保障董事、监事和高级管理人员对报告内容进行有效审查。</w:t>
      </w:r>
    </w:p>
    <w:p>
      <w:pPr>
        <w:spacing w:line="360" w:lineRule="auto" w:before="0" w:after="0"/>
        <w:ind w:firstLine="480"/>
      </w:pPr>
      <w:r>
        <w:rPr>
          <w:rFonts w:ascii="Times New Roman" w:hAnsi="Times New Roman" w:eastAsia="宋体"/>
          <w:b w:val="0"/>
          <w:sz w:val="24"/>
        </w:rPr>
        <w:t>最后，公司治理制衡失效。若实际控制人和核心管理层组织、指使舞弊，企业内部普通控制程序很容易被绕过。因此，反舞弊治理不能只依赖流程表格，更要关注权力制衡。紫晶存储案例中，独立董事、监事会、审计委员会、财务负责人和董事会秘书等治理角色未能在关键阶段有效阻止舞弊，反映公司治理结构存在深层缺陷。</w:t>
      </w:r>
    </w:p>
    <w:p>
      <w:pPr>
        <w:spacing w:line="360" w:lineRule="auto" w:before="200" w:after="80"/>
      </w:pPr>
      <w:r>
        <w:rPr>
          <w:rFonts w:ascii="Times New Roman" w:hAnsi="Times New Roman" w:eastAsia="宋体"/>
          <w:b/>
          <w:sz w:val="24"/>
        </w:rPr>
        <w:t>七、审计失败点与反舞弊程序分析</w:t>
      </w:r>
    </w:p>
    <w:p>
      <w:pPr>
        <w:spacing w:line="360" w:lineRule="auto" w:before="0" w:after="0"/>
        <w:ind w:firstLine="480"/>
      </w:pPr>
      <w:r>
        <w:rPr>
          <w:rFonts w:ascii="Times New Roman" w:hAnsi="Times New Roman" w:eastAsia="宋体"/>
          <w:b w:val="0"/>
          <w:sz w:val="24"/>
        </w:rPr>
        <w:t>从审计反舞弊角度看，紫晶存储案例的核心问题在于外部审计和中介机构未能充分识别收入真实性、客户真实性、资金闭环和担保遗漏等重大风险。</w:t>
      </w:r>
    </w:p>
    <w:p>
      <w:pPr>
        <w:spacing w:line="360" w:lineRule="auto" w:before="120" w:after="40"/>
      </w:pPr>
      <w:r>
        <w:rPr>
          <w:rFonts w:ascii="Times New Roman" w:hAnsi="Times New Roman" w:eastAsia="宋体"/>
          <w:b/>
          <w:sz w:val="24"/>
        </w:rPr>
        <w:t>（一）收入真实性审计不足</w:t>
      </w:r>
    </w:p>
    <w:p>
      <w:pPr>
        <w:spacing w:line="360" w:lineRule="auto" w:before="0" w:after="0"/>
        <w:ind w:firstLine="480"/>
      </w:pPr>
      <w:r>
        <w:rPr>
          <w:rFonts w:ascii="Times New Roman" w:hAnsi="Times New Roman" w:eastAsia="宋体"/>
          <w:b w:val="0"/>
          <w:sz w:val="24"/>
        </w:rPr>
        <w:t>收入舞弊是审计中的高风险领域。对于紫晶存储这类项目制销售企业，审计人员不能仅依赖销售合同、发票、物流单和验收单等纸面材料，而应结合客户访谈、终端项目核查、实地走访、设备安装使用情况检查等程序判断交易是否具有真实商业实质。若审计程序主要围绕公司提供的材料展开，而没有获取独立外部证据，就容易被系统伪造的文件链条误导。</w:t>
      </w:r>
    </w:p>
    <w:p>
      <w:pPr>
        <w:spacing w:line="360" w:lineRule="auto" w:before="120" w:after="40"/>
      </w:pPr>
      <w:r>
        <w:rPr>
          <w:rFonts w:ascii="Times New Roman" w:hAnsi="Times New Roman" w:eastAsia="宋体"/>
          <w:b/>
          <w:sz w:val="24"/>
        </w:rPr>
        <w:t>（二）函证和访谈程序效果不足</w:t>
      </w:r>
    </w:p>
    <w:p>
      <w:pPr>
        <w:spacing w:line="360" w:lineRule="auto" w:before="0" w:after="0"/>
        <w:ind w:firstLine="480"/>
      </w:pPr>
      <w:r>
        <w:rPr>
          <w:rFonts w:ascii="Times New Roman" w:hAnsi="Times New Roman" w:eastAsia="宋体"/>
          <w:b w:val="0"/>
          <w:sz w:val="24"/>
        </w:rPr>
        <w:t>函证是验证应收账款和销售交易的重要程序，但函证不是机械寄发和回收文件。审计人员需要关注函证地址是否独立可靠、回函来源是否真实、回函内容是否异常、未回函是否执行有效替代程序。紫晶存储 2021 年年报中，独立董事提到部分银行函证、客户访谈等审计程序未达到满意效果。这说明在风险暴露后，相关程序已经难以获得充分适当审计证据。反过来看，若在早期审计中对客户真实性和回函可靠性保持更高职业怀疑，可能更早发现问题。</w:t>
      </w:r>
    </w:p>
    <w:p>
      <w:pPr>
        <w:spacing w:line="360" w:lineRule="auto" w:before="120" w:after="40"/>
      </w:pPr>
      <w:r>
        <w:rPr>
          <w:rFonts w:ascii="Times New Roman" w:hAnsi="Times New Roman" w:eastAsia="宋体"/>
          <w:b/>
          <w:sz w:val="24"/>
        </w:rPr>
        <w:t>（三）资金流水穿透核查不足</w:t>
      </w:r>
    </w:p>
    <w:p>
      <w:pPr>
        <w:spacing w:line="360" w:lineRule="auto" w:before="0" w:after="0"/>
        <w:ind w:firstLine="480"/>
      </w:pPr>
      <w:r>
        <w:rPr>
          <w:rFonts w:ascii="Times New Roman" w:hAnsi="Times New Roman" w:eastAsia="宋体"/>
          <w:b w:val="0"/>
          <w:sz w:val="24"/>
        </w:rPr>
        <w:t>紫晶存储通过安排资金回款形成交易表象，因此审计人员不能只验证客户是否付款，还应穿透核查付款资金来源和后续流向。例如，客户付款前是否收到来自公司实际控制人、关联方或其他可疑第三方的资金；回款后资金是否又通过采购、预付款、借款等形式回流；相关资金流是否具有商业合理性。若只核对银行回单与账面金额一致，而不追踪资金闭环，就无法识别“有回款但无真实交易”的舞弊。</w:t>
      </w:r>
    </w:p>
    <w:p>
      <w:pPr>
        <w:spacing w:line="360" w:lineRule="auto" w:before="120" w:after="40"/>
      </w:pPr>
      <w:r>
        <w:rPr>
          <w:rFonts w:ascii="Times New Roman" w:hAnsi="Times New Roman" w:eastAsia="宋体"/>
          <w:b/>
          <w:sz w:val="24"/>
        </w:rPr>
        <w:t>（四）关联关系和隐性利益关系识别不足</w:t>
      </w:r>
    </w:p>
    <w:p>
      <w:pPr>
        <w:spacing w:line="360" w:lineRule="auto" w:before="0" w:after="0"/>
        <w:ind w:firstLine="480"/>
      </w:pPr>
      <w:r>
        <w:rPr>
          <w:rFonts w:ascii="Times New Roman" w:hAnsi="Times New Roman" w:eastAsia="宋体"/>
          <w:b w:val="0"/>
          <w:sz w:val="24"/>
        </w:rPr>
        <w:t>收入舞弊往往借助形式上无关联的客户完成。如果客户与公司前员工、外部董事、实际控制人或其他利益相关方存在隐性联系，交易真实性就需要高度关注。审计和保荐机构应通过工商信息、人员任职、资金往来、通信记录、交易集中度和客户成立时间等多维信息识别异常客户。紫晶存储案件说明，反舞弊程序必须从“形式关联”走向“实质关联”和“利益关联”穿透。</w:t>
      </w:r>
    </w:p>
    <w:p>
      <w:pPr>
        <w:spacing w:line="360" w:lineRule="auto" w:before="120" w:after="40"/>
      </w:pPr>
      <w:r>
        <w:rPr>
          <w:rFonts w:ascii="Times New Roman" w:hAnsi="Times New Roman" w:eastAsia="宋体"/>
          <w:b/>
          <w:sz w:val="24"/>
        </w:rPr>
        <w:t>（五）对外担保核查不足</w:t>
      </w:r>
    </w:p>
    <w:p>
      <w:pPr>
        <w:spacing w:line="360" w:lineRule="auto" w:before="0" w:after="0"/>
        <w:ind w:firstLine="480"/>
      </w:pPr>
      <w:r>
        <w:rPr>
          <w:rFonts w:ascii="Times New Roman" w:hAnsi="Times New Roman" w:eastAsia="宋体"/>
          <w:b w:val="0"/>
          <w:sz w:val="24"/>
        </w:rPr>
        <w:t>未披露对外担保是紫晶存储的重要违法事实。审计人员识别担保事项，不能只依赖管理层声明和会议记录，还应结合银行函证、企业征信、账户受限情况、定期存单质押、法律诉讼、印章使用记录等外部证据。特别是当企业存在大额受限资金、异常定期存单、银行承兑汇票或被划扣资金时，审计人员应进一步追查是否存在未披露担保或资金占用。</w:t>
      </w:r>
    </w:p>
    <w:p>
      <w:pPr>
        <w:spacing w:line="360" w:lineRule="auto" w:before="120" w:after="40"/>
      </w:pPr>
      <w:r>
        <w:rPr>
          <w:rFonts w:ascii="Times New Roman" w:hAnsi="Times New Roman" w:eastAsia="宋体"/>
          <w:b/>
          <w:sz w:val="24"/>
        </w:rPr>
        <w:t>（六）职业怀疑不足</w:t>
      </w:r>
    </w:p>
    <w:p>
      <w:pPr>
        <w:spacing w:line="360" w:lineRule="auto" w:before="0" w:after="0"/>
        <w:ind w:firstLine="480"/>
      </w:pPr>
      <w:r>
        <w:rPr>
          <w:rFonts w:ascii="Times New Roman" w:hAnsi="Times New Roman" w:eastAsia="宋体"/>
          <w:b w:val="0"/>
          <w:sz w:val="24"/>
        </w:rPr>
        <w:t>紫晶存储案例中存在多个明显风险信号，如收入增长与回款质量不匹配、大额应收账款、客户波动、预付款和委托研发交易商业实质存疑、违规担保、审计非标意见、董事无法保证报告真实性等。审计人员面对这些信号时，应当提高职业怀疑，而不是用行业特点轻易解释异常。职业怀疑并不是对企业天然不信任，而是在重大错报风险较高时，不满足于表面证据，持续追问证据是否独立、完整、相互印证。</w:t>
      </w:r>
    </w:p>
    <w:p>
      <w:pPr>
        <w:spacing w:line="360" w:lineRule="auto" w:before="200" w:after="80"/>
      </w:pPr>
      <w:r>
        <w:rPr>
          <w:rFonts w:ascii="Times New Roman" w:hAnsi="Times New Roman" w:eastAsia="宋体"/>
          <w:b/>
          <w:sz w:val="24"/>
        </w:rPr>
        <w:t>八、反舞弊对策建议</w:t>
      </w:r>
    </w:p>
    <w:p>
      <w:pPr>
        <w:spacing w:line="360" w:lineRule="auto" w:before="120" w:after="40"/>
      </w:pPr>
      <w:r>
        <w:rPr>
          <w:rFonts w:ascii="Times New Roman" w:hAnsi="Times New Roman" w:eastAsia="宋体"/>
          <w:b/>
          <w:sz w:val="24"/>
        </w:rPr>
        <w:t>（一）企业层面：建立以真实交易为核心的内控体系</w:t>
      </w:r>
    </w:p>
    <w:p>
      <w:pPr>
        <w:spacing w:line="360" w:lineRule="auto" w:before="0" w:after="0"/>
        <w:ind w:firstLine="480"/>
      </w:pPr>
      <w:r>
        <w:rPr>
          <w:rFonts w:ascii="Times New Roman" w:hAnsi="Times New Roman" w:eastAsia="宋体"/>
          <w:b w:val="0"/>
          <w:sz w:val="24"/>
        </w:rPr>
        <w:t>企业应将收入真实性作为销售内控的核心。首先，应完善客户准入和信用审查，对新客户、大额客户、成立时间较短客户、与公司人员存在潜在联系的客户进行重点审核。其次，应强化合同、发货、物流、验收、开票和回款之间的交叉验证，确保每一笔收入都有真实商业实质。再次，应建立项目终端核查机制，对于重大项目不仅核查直接客户，还要核查终端用户、设备安装地点和使用状态。</w:t>
      </w:r>
    </w:p>
    <w:p>
      <w:pPr>
        <w:spacing w:line="360" w:lineRule="auto" w:before="0" w:after="0"/>
        <w:ind w:firstLine="480"/>
      </w:pPr>
      <w:r>
        <w:rPr>
          <w:rFonts w:ascii="Times New Roman" w:hAnsi="Times New Roman" w:eastAsia="宋体"/>
          <w:b w:val="0"/>
          <w:sz w:val="24"/>
        </w:rPr>
        <w:t>企业还应加强资金和担保控制。对外担保必须经过董事会或股东大会等规定程序，任何定期存单质押、保证合同、银行承兑安排都应纳入统一台账，并由法务、财务、审计和董事会秘书共同审核。印章和合同管理应实现授权留痕，防止实际控制人或少数高管绕过程序实施担保。</w:t>
      </w:r>
    </w:p>
    <w:p>
      <w:pPr>
        <w:spacing w:line="360" w:lineRule="auto" w:before="0" w:after="0"/>
        <w:ind w:firstLine="480"/>
      </w:pPr>
      <w:r>
        <w:rPr>
          <w:rFonts w:ascii="Times New Roman" w:hAnsi="Times New Roman" w:eastAsia="宋体"/>
          <w:b w:val="0"/>
          <w:sz w:val="24"/>
        </w:rPr>
        <w:t>此外，企业应建立反舞弊举报和内部审计机制。内部审计部门应独立于业务和财务部门，对收入确认、重大客户、应收账款、资金往来、担保事项进行定期抽查。对于异常交易，应直接向审计委员会报告，避免被管理层过滤。</w:t>
      </w:r>
    </w:p>
    <w:p>
      <w:pPr>
        <w:spacing w:line="360" w:lineRule="auto" w:before="120" w:after="40"/>
      </w:pPr>
      <w:r>
        <w:rPr>
          <w:rFonts w:ascii="Times New Roman" w:hAnsi="Times New Roman" w:eastAsia="宋体"/>
          <w:b/>
          <w:sz w:val="24"/>
        </w:rPr>
        <w:t>（二）会计师事务所层面：强化收入舞弊识别和职业怀疑</w:t>
      </w:r>
    </w:p>
    <w:p>
      <w:pPr>
        <w:spacing w:line="360" w:lineRule="auto" w:before="0" w:after="0"/>
        <w:ind w:firstLine="480"/>
      </w:pPr>
      <w:r>
        <w:rPr>
          <w:rFonts w:ascii="Times New Roman" w:hAnsi="Times New Roman" w:eastAsia="宋体"/>
          <w:b w:val="0"/>
          <w:sz w:val="24"/>
        </w:rPr>
        <w:t>会计师事务所应将收入舞弊作为重点审计风险。对于高成长、高估值、项目制销售、回款周期长、客户集中度高的企业，应扩大实质性程序范围。审计人员不仅要检查合同和验收单，还要通过实地走访、视频核验、终端用户访谈、物流轨迹核查、设备序列号检查等方式验证交易真实性。</w:t>
      </w:r>
    </w:p>
    <w:p>
      <w:pPr>
        <w:spacing w:line="360" w:lineRule="auto" w:before="0" w:after="0"/>
        <w:ind w:firstLine="480"/>
      </w:pPr>
      <w:r>
        <w:rPr>
          <w:rFonts w:ascii="Times New Roman" w:hAnsi="Times New Roman" w:eastAsia="宋体"/>
          <w:b w:val="0"/>
          <w:sz w:val="24"/>
        </w:rPr>
        <w:t>在函证程序方面，应确保函证地址和联系人独立可靠，防范由被审计单位控制或干预函证过程。对于未回函、异常回函或回函内容过于模板化的客户，应执行替代程序，并评估是否存在串通舞弊。对大额应收账款和异常回款，应结合银行流水穿透分析资金来源和去向。</w:t>
      </w:r>
    </w:p>
    <w:p>
      <w:pPr>
        <w:spacing w:line="360" w:lineRule="auto" w:before="0" w:after="0"/>
        <w:ind w:firstLine="480"/>
      </w:pPr>
      <w:r>
        <w:rPr>
          <w:rFonts w:ascii="Times New Roman" w:hAnsi="Times New Roman" w:eastAsia="宋体"/>
          <w:b w:val="0"/>
          <w:sz w:val="24"/>
        </w:rPr>
        <w:t>在担保和受限资产方面，会计师事务所应加强银行函证、企业征信、诉讼查询和资产受限检查。管理层声明只能作为辅助证据，不能替代独立证据。若审计人员无法获取充分适当证据，应及时考虑发表非标准审计意见，并与审计委员会和监管机构保持必要沟通。</w:t>
      </w:r>
    </w:p>
    <w:p>
      <w:pPr>
        <w:spacing w:line="360" w:lineRule="auto" w:before="120" w:after="40"/>
      </w:pPr>
      <w:r>
        <w:rPr>
          <w:rFonts w:ascii="Times New Roman" w:hAnsi="Times New Roman" w:eastAsia="宋体"/>
          <w:b/>
          <w:sz w:val="24"/>
        </w:rPr>
        <w:t>（三）中介机构层面：压实保荐、审计和法律责任</w:t>
      </w:r>
    </w:p>
    <w:p>
      <w:pPr>
        <w:spacing w:line="360" w:lineRule="auto" w:before="0" w:after="0"/>
        <w:ind w:firstLine="480"/>
      </w:pPr>
      <w:r>
        <w:rPr>
          <w:rFonts w:ascii="Times New Roman" w:hAnsi="Times New Roman" w:eastAsia="宋体"/>
          <w:b w:val="0"/>
          <w:sz w:val="24"/>
        </w:rPr>
        <w:t>紫晶存储案件中，中信建投、致同会计师事务所、容诚会计师事务所、广东恒益律师事务所等中介机构共同出资设立先行赔付专项基金，说明中介机构责任已成为资本市场反舞弊治理的重要环节。保荐机构、会计师事务所和律师事务所不能只完成形式核查，而应围绕发行人商业模式、客户真实性、财务数据合理性和重大法律风险进行穿透式尽调。</w:t>
      </w:r>
    </w:p>
    <w:p>
      <w:pPr>
        <w:spacing w:line="360" w:lineRule="auto" w:before="0" w:after="0"/>
        <w:ind w:firstLine="480"/>
      </w:pPr>
      <w:r>
        <w:rPr>
          <w:rFonts w:ascii="Times New Roman" w:hAnsi="Times New Roman" w:eastAsia="宋体"/>
          <w:b w:val="0"/>
          <w:sz w:val="24"/>
        </w:rPr>
        <w:t>保荐机构应关注发行人收入增长是否与行业地位、客户质量、现金流和产能相匹配；律师事务所应重点核查担保、重大合同、诉讼和关联关系；会计师事务所应重点核查财务数据真实性。中介机构之间还应形成信息共享机制，避免各自只看自己负责的局部材料，导致系统性舞弊被拆分成多个看似合理的片段。</w:t>
      </w:r>
    </w:p>
    <w:p>
      <w:pPr>
        <w:spacing w:line="360" w:lineRule="auto" w:before="120" w:after="40"/>
      </w:pPr>
      <w:r>
        <w:rPr>
          <w:rFonts w:ascii="Times New Roman" w:hAnsi="Times New Roman" w:eastAsia="宋体"/>
          <w:b/>
          <w:sz w:val="24"/>
        </w:rPr>
        <w:t>（四）监管层面：提高违法成本和穿透监管能力</w:t>
      </w:r>
    </w:p>
    <w:p>
      <w:pPr>
        <w:spacing w:line="360" w:lineRule="auto" w:before="0" w:after="0"/>
        <w:ind w:firstLine="480"/>
      </w:pPr>
      <w:r>
        <w:rPr>
          <w:rFonts w:ascii="Times New Roman" w:hAnsi="Times New Roman" w:eastAsia="宋体"/>
          <w:b w:val="0"/>
          <w:sz w:val="24"/>
        </w:rPr>
        <w:t>监管部门应继续提高欺诈发行和财务造假的违法成本，强化行政、民事、刑事立体追责。对于实际控制人、董事长、财务负责人等“关键少数”，应重点追究组织、指使、隐瞒舞弊的责任。对于中介机构，应通过行政执法当事人承诺、先行赔付、执业限制和声誉约束等方式压实“看门人”责任。</w:t>
      </w:r>
    </w:p>
    <w:p>
      <w:pPr>
        <w:spacing w:line="360" w:lineRule="auto" w:before="0" w:after="0"/>
        <w:ind w:firstLine="480"/>
      </w:pPr>
      <w:r>
        <w:rPr>
          <w:rFonts w:ascii="Times New Roman" w:hAnsi="Times New Roman" w:eastAsia="宋体"/>
          <w:b w:val="0"/>
          <w:sz w:val="24"/>
        </w:rPr>
        <w:t>同时，监管应更加重视数据化和穿透式识别。例如，对上市公司收入增长、应收账款、经营现金流、客户集中度、预付款、受限资金、担保事项等指标进行联动监测；对同一批客户、供应商、资金方和中介机构之间的异常联系进行识别；对问询函回复中的模糊解释和反复异常事项持续追踪，避免风险信号在多轮问询中被稀释。</w:t>
      </w:r>
    </w:p>
    <w:p>
      <w:pPr>
        <w:spacing w:line="360" w:lineRule="auto" w:before="200" w:after="80"/>
      </w:pPr>
      <w:r>
        <w:rPr>
          <w:rFonts w:ascii="Times New Roman" w:hAnsi="Times New Roman" w:eastAsia="宋体"/>
          <w:b/>
          <w:sz w:val="24"/>
        </w:rPr>
        <w:t>九、案例启示</w:t>
      </w:r>
    </w:p>
    <w:p>
      <w:pPr>
        <w:spacing w:line="360" w:lineRule="auto" w:before="0" w:after="0"/>
        <w:ind w:firstLine="480"/>
      </w:pPr>
      <w:r>
        <w:rPr>
          <w:rFonts w:ascii="Times New Roman" w:hAnsi="Times New Roman" w:eastAsia="宋体"/>
          <w:b w:val="0"/>
          <w:sz w:val="24"/>
        </w:rPr>
        <w:t>紫晶存储案例的第一点启示是，收入舞弊往往不是单一会计科目问题，而是业务、资金和披露共同参与的系统性问题。虚构合同、伪造物流验收、安排回款和提前确认收入相互配合，使舞弊具有较强隐蔽性。因此，反舞弊不能停留在账务层面，而要回到真实交易和商业实质。</w:t>
      </w:r>
    </w:p>
    <w:p>
      <w:pPr>
        <w:spacing w:line="360" w:lineRule="auto" w:before="0" w:after="0"/>
        <w:ind w:firstLine="480"/>
      </w:pPr>
      <w:r>
        <w:rPr>
          <w:rFonts w:ascii="Times New Roman" w:hAnsi="Times New Roman" w:eastAsia="宋体"/>
          <w:b w:val="0"/>
          <w:sz w:val="24"/>
        </w:rPr>
        <w:t>第二点启示是，实际控制人凌驾于内部控制之上，是上市公司舞弊的重要风险源。再完善的制度，如果不能约束关键少数，就可能沦为形式。董事会、监事会、独立董事、审计委员会和内部审计部门必须具备足够独立性，能够对管理层异常行为提出质疑。</w:t>
      </w:r>
    </w:p>
    <w:p>
      <w:pPr>
        <w:spacing w:line="360" w:lineRule="auto" w:before="0" w:after="0"/>
        <w:ind w:firstLine="480"/>
      </w:pPr>
      <w:r>
        <w:rPr>
          <w:rFonts w:ascii="Times New Roman" w:hAnsi="Times New Roman" w:eastAsia="宋体"/>
          <w:b w:val="0"/>
          <w:sz w:val="24"/>
        </w:rPr>
        <w:t>第三点启示是，审计反舞弊需要真正贯彻职业怀疑。审计人员面对高增长、高应收、长账期、异常客户、异常回款和违规担保等信号时，应当提高风险评估等级，扩大审计程序范围，获取更独立、更直接的证据。尤其在收入确认领域，纸面证据越完整，越要警惕其是否是被系统性设计出来的证据链条。</w:t>
      </w:r>
    </w:p>
    <w:p>
      <w:pPr>
        <w:spacing w:line="360" w:lineRule="auto" w:before="0" w:after="0"/>
        <w:ind w:firstLine="480"/>
      </w:pPr>
      <w:r>
        <w:rPr>
          <w:rFonts w:ascii="Times New Roman" w:hAnsi="Times New Roman" w:eastAsia="宋体"/>
          <w:b w:val="0"/>
          <w:sz w:val="24"/>
        </w:rPr>
        <w:t>第四点启示是，中介机构责任不能只停留在事后道歉。紫晶存储事件先行赔付专项基金说明，欺诈发行和信息披露违法的后果会外溢到保荐、审计、法律等资本市场服务机构。只有让中介机构为未勤勉尽责付出实质成本，才能倒逼其在项目承做阶段真正承担“看门人”责任。</w:t>
      </w:r>
    </w:p>
    <w:p>
      <w:pPr>
        <w:spacing w:line="360" w:lineRule="auto" w:before="0" w:after="0"/>
        <w:ind w:firstLine="480"/>
      </w:pPr>
      <w:r>
        <w:rPr>
          <w:rFonts w:ascii="Times New Roman" w:hAnsi="Times New Roman" w:eastAsia="宋体"/>
          <w:b w:val="0"/>
          <w:sz w:val="24"/>
        </w:rPr>
        <w:t>第五点启示是，投资者保护机制具有重要补救价值，但事后赔付不能替代事前预防。先行赔付可以在一定程度上弥补投资者损失、维护市场信心，但财务造假造成的信息信任损害和资源错配无法完全恢复。因此，资本市场反舞弊的重点仍应放在提高信息披露质量、强化审计和监管识别能力、压缩舞弊发生空间上。</w:t>
      </w:r>
    </w:p>
    <w:p>
      <w:pPr>
        <w:spacing w:line="360" w:lineRule="auto" w:before="200" w:after="80"/>
      </w:pPr>
      <w:r>
        <w:rPr>
          <w:rFonts w:ascii="Times New Roman" w:hAnsi="Times New Roman" w:eastAsia="宋体"/>
          <w:b/>
          <w:sz w:val="24"/>
        </w:rPr>
        <w:t>十、结论</w:t>
      </w:r>
    </w:p>
    <w:p>
      <w:pPr>
        <w:spacing w:line="360" w:lineRule="auto" w:before="0" w:after="0"/>
        <w:ind w:firstLine="480"/>
      </w:pPr>
      <w:r>
        <w:rPr>
          <w:rFonts w:ascii="Times New Roman" w:hAnsi="Times New Roman" w:eastAsia="宋体"/>
          <w:b w:val="0"/>
          <w:sz w:val="24"/>
        </w:rPr>
        <w:t>紫晶存储财务舞弊案是一起典型的以收入舞弊为核心、贯穿发行上市前后的资本市场违法案例。其舞弊手段并非简单的收入提前入账，而是围绕销售合同、物流验收、资金回款和信息披露形成系统性链条；其舞弊动因既包括上市融资和维持成长性叙事的压力，也包括实际控制人和管理层凌驾于内部控制之上的机会；其风险暴露则反映出公司内部治理、外部审计和中介机构尽职调查均存在不足。</w:t>
      </w:r>
    </w:p>
    <w:p>
      <w:pPr>
        <w:spacing w:line="360" w:lineRule="auto" w:before="0" w:after="0"/>
        <w:ind w:firstLine="480"/>
      </w:pPr>
      <w:r>
        <w:rPr>
          <w:rFonts w:ascii="Times New Roman" w:hAnsi="Times New Roman" w:eastAsia="宋体"/>
          <w:b w:val="0"/>
          <w:sz w:val="24"/>
        </w:rPr>
        <w:t>从课程“财务舞弊与反舞弊”的角度看，该案的价值在于揭示了财务舞弊识别不能只看财务报表数字本身，而要结合业务实质、资金流向、内部控制和治理结构综合判断。对于企业而言，应建立以真实交易为核心的销售和资金内控体系；对于会计师事务所而言，应强化收入真实性审计、资金流水穿透核查和职业怀疑；对于监管层而言，应持续提高违法成本、压实中介机构责任并完善投资者保护机制。只有企业、审计机构、中介机构和监管部门共同发挥作用，才能更有效地预防和发现财务舞弊，维护资本市场的信息真实性和公平性。</w:t>
      </w:r>
    </w:p>
    <w:p>
      <w:pPr>
        <w:spacing w:line="360" w:lineRule="auto" w:before="200" w:after="80"/>
      </w:pPr>
      <w:r>
        <w:rPr>
          <w:rFonts w:ascii="Times New Roman" w:hAnsi="Times New Roman" w:eastAsia="宋体"/>
          <w:b/>
          <w:sz w:val="24"/>
        </w:rPr>
        <w:t>参考文献</w:t>
      </w:r>
    </w:p>
    <w:p>
      <w:pPr>
        <w:spacing w:line="360" w:lineRule="auto" w:before="0" w:after="0"/>
        <w:ind w:firstLine="0"/>
      </w:pPr>
      <w:r>
        <w:rPr>
          <w:rFonts w:ascii="Times New Roman" w:hAnsi="Times New Roman" w:eastAsia="宋体"/>
          <w:b w:val="0"/>
          <w:sz w:val="24"/>
        </w:rPr>
        <w:t>[1] 广东紫晶信息存储技术股份有限公司. 首次公开发行股票并在科创板上市招股说明书[EB/OL]. 2020-02-21. http://static.cninfo.com.cn/finalpage/2020-02-21/1207316126.PDF</w:t>
      </w:r>
    </w:p>
    <w:p>
      <w:pPr>
        <w:spacing w:line="360" w:lineRule="auto" w:before="0" w:after="0"/>
        <w:ind w:firstLine="0"/>
      </w:pPr>
      <w:r>
        <w:rPr>
          <w:rFonts w:ascii="Times New Roman" w:hAnsi="Times New Roman" w:eastAsia="宋体"/>
          <w:b w:val="0"/>
          <w:sz w:val="24"/>
        </w:rPr>
        <w:t>[2] 广东紫晶信息存储技术股份有限公司. 关于收到中国证券监督管理委员会立案告知书的公告[EB/OL]. 2022-02-12. http://static.cninfo.com.cn/finalpage/2022-02-12/1212353025.PDF</w:t>
      </w:r>
    </w:p>
    <w:p>
      <w:pPr>
        <w:spacing w:line="360" w:lineRule="auto" w:before="0" w:after="0"/>
        <w:ind w:firstLine="0"/>
      </w:pPr>
      <w:r>
        <w:rPr>
          <w:rFonts w:ascii="Times New Roman" w:hAnsi="Times New Roman" w:eastAsia="宋体"/>
          <w:b w:val="0"/>
          <w:sz w:val="24"/>
        </w:rPr>
        <w:t>[3] 广东紫晶信息存储技术股份有限公司. 2021年年度报告[EB/OL]. 2022-04-30. http://static.cninfo.com.cn/finalpage/2022-04-30/1213274169.PDF</w:t>
      </w:r>
    </w:p>
    <w:p>
      <w:pPr>
        <w:spacing w:line="360" w:lineRule="auto" w:before="0" w:after="0"/>
        <w:ind w:firstLine="0"/>
      </w:pPr>
      <w:r>
        <w:rPr>
          <w:rFonts w:ascii="Times New Roman" w:hAnsi="Times New Roman" w:eastAsia="宋体"/>
          <w:b w:val="0"/>
          <w:sz w:val="24"/>
        </w:rPr>
        <w:t>[4] 广东紫晶信息存储技术股份有限公司. 关于收到中国证券监督管理委员会《行政处罚及市场禁入事先告知书》的公告[EB/OL]. 2022-11-19. http://static.cninfo.com.cn/finalpage/2022-11-19/1215152883.PDF</w:t>
      </w:r>
    </w:p>
    <w:p>
      <w:pPr>
        <w:spacing w:line="360" w:lineRule="auto" w:before="0" w:after="0"/>
        <w:ind w:firstLine="0"/>
      </w:pPr>
      <w:r>
        <w:rPr>
          <w:rFonts w:ascii="Times New Roman" w:hAnsi="Times New Roman" w:eastAsia="宋体"/>
          <w:b w:val="0"/>
          <w:sz w:val="24"/>
        </w:rPr>
        <w:t>[5] 广东紫晶信息存储技术股份有限公司. 关于收到中国证券监督管理委员会《行政处罚决定书》的公告[EB/OL]. 2023-04-22. http://static.cninfo.com.cn/finalpage/2023-04-22/1216516398.PDF</w:t>
      </w:r>
    </w:p>
    <w:p>
      <w:pPr>
        <w:spacing w:line="360" w:lineRule="auto" w:before="0" w:after="0"/>
        <w:ind w:firstLine="0"/>
      </w:pPr>
      <w:r>
        <w:rPr>
          <w:rFonts w:ascii="Times New Roman" w:hAnsi="Times New Roman" w:eastAsia="宋体"/>
          <w:b w:val="0"/>
          <w:sz w:val="24"/>
        </w:rPr>
        <w:t>[6] 广东紫晶信息存储技术股份有限公司. 关于收到中国证券监督管理委员会《市场禁入决定书》的公告[EB/OL]. 2023-04-22. http://static.cninfo.com.cn/finalpage/2023-04-22/1216516400.PDF</w:t>
      </w:r>
    </w:p>
    <w:p>
      <w:pPr>
        <w:spacing w:line="360" w:lineRule="auto" w:before="0" w:after="0"/>
        <w:ind w:firstLine="0"/>
      </w:pPr>
      <w:r>
        <w:rPr>
          <w:rFonts w:ascii="Times New Roman" w:hAnsi="Times New Roman" w:eastAsia="宋体"/>
          <w:b w:val="0"/>
          <w:sz w:val="24"/>
        </w:rPr>
        <w:t>[7] 广东紫晶信息存储技术股份有限公司. 关于公司股票停牌暨将被终止上市的风险提示公告[EB/OL]. 2023-04-22. http://static.cninfo.com.cn/finalpage/2023-04-22/1216516399.PDF</w:t>
      </w:r>
    </w:p>
    <w:p>
      <w:pPr>
        <w:spacing w:line="360" w:lineRule="auto" w:before="0" w:after="0"/>
        <w:ind w:firstLine="0"/>
      </w:pPr>
      <w:r>
        <w:rPr>
          <w:rFonts w:ascii="Times New Roman" w:hAnsi="Times New Roman" w:eastAsia="宋体"/>
          <w:b w:val="0"/>
          <w:sz w:val="24"/>
        </w:rPr>
        <w:t>[8] 广东紫晶信息存储技术股份有限公司. 转中信建投证券股份有限公司关于拟设立紫晶存储事件先行赔付专项基金与申请适用证券期货行政执法当事人承诺制度的公告[EB/OL]. 2023-04-22. http://static.cninfo.com.cn/finalpage/2023-04-22/1216527875.PDF</w:t>
      </w:r>
    </w:p>
    <w:p>
      <w:pPr>
        <w:spacing w:line="360" w:lineRule="auto" w:before="0" w:after="0"/>
        <w:ind w:firstLine="0"/>
      </w:pPr>
      <w:r>
        <w:rPr>
          <w:rFonts w:ascii="Times New Roman" w:hAnsi="Times New Roman" w:eastAsia="宋体"/>
          <w:b w:val="0"/>
          <w:sz w:val="24"/>
        </w:rPr>
        <w:t>[9] 广东紫晶信息存储技术股份有限公司. 转中信建投证券股份有限公司关于正式设立紫晶存储事件先行赔付专项基金的公告[EB/OL]. 2023-05-27. http://static.cninfo.com.cn/finalpage/2023-05-27/1216920797.PDF</w:t>
      </w:r>
    </w:p>
    <w:p>
      <w:pPr>
        <w:spacing w:line="360" w:lineRule="auto" w:before="0" w:after="0"/>
        <w:ind w:firstLine="0"/>
      </w:pPr>
      <w:r>
        <w:rPr>
          <w:rFonts w:ascii="Times New Roman" w:hAnsi="Times New Roman" w:eastAsia="宋体"/>
          <w:b w:val="0"/>
          <w:sz w:val="24"/>
        </w:rPr>
        <w:t>[10] 中国注册会计师协会. 中国注册会计师审计准则第1141号--财务报表审计中与舞弊相关的责任[S].</w:t>
      </w:r>
    </w:p>
    <w:sectPr w:rsidR="00FC693F" w:rsidRPr="0006063C" w:rsidSect="00034616">
      <w:footerReference w:type="default" r:id="rId9"/>
      <w:pgSz w:w="11906" w:h="16838"/>
      <w:pgMar w:top="1440" w:right="1803" w:bottom="1440" w:left="1803" w:header="72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