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0"/>
        </w:rPr>
        <w:t>虚构销售链条下的收入舞弊与审计反舞弊失效分析：以紫晶存储为例</w:t>
      </w:r>
    </w:p>
    <w:p>
      <w:pPr>
        <w:spacing w:line="360" w:lineRule="auto" w:before="200" w:after="80"/>
      </w:pPr>
      <w:r>
        <w:rPr>
          <w:rFonts w:ascii="Times New Roman" w:hAnsi="Times New Roman" w:eastAsia="宋体"/>
          <w:b/>
          <w:sz w:val="24"/>
        </w:rPr>
        <w:t>摘要</w:t>
      </w:r>
    </w:p>
    <w:p>
      <w:pPr>
        <w:spacing w:line="360" w:lineRule="auto" w:before="0" w:after="0"/>
        <w:ind w:firstLine="480"/>
      </w:pPr>
      <w:r>
        <w:rPr>
          <w:rFonts w:ascii="Times New Roman" w:hAnsi="Times New Roman" w:eastAsia="宋体"/>
          <w:b w:val="0"/>
          <w:sz w:val="24"/>
        </w:rPr>
        <w:t>紫晶存储财务舞弊案是科创板上市公司欺诈发行与持续信息披露违法的典型案例。根据中国证监会行政处罚决定书，紫晶存储在上市前后通过虚构销售合同、伪造物流单据和验收单据、安排资金回款、提前确认收入等方式虚增营业收入和利润，并未按规定披露对外担保事项。本文以“虚构销售链条下的收入舞弊与审计反舞弊失效”为核心视角，结合舞弊三角理论、GONE 理论、内部控制和审计反舞弊程序，对紫晶存储案例进行分析。研究认为，该案并非单一会计处理错误，而是围绕销售、物流、验收、回款和披露形成的系统性舞弊链条；其背后既有上市融资和维持成长性叙事的压力，也有实际控制人凌驾于内部控制之上的机会，以及外部审计和中介机构未能充分识别异常风险的问题。该案例提示，反舞弊治理必须同时强化企业内部控制、审计职业怀疑、中介机构责任和监管穿透能力。</w:t>
      </w:r>
    </w:p>
    <w:p>
      <w:pPr>
        <w:spacing w:line="360" w:lineRule="auto" w:before="0" w:after="0"/>
        <w:ind w:firstLine="480"/>
      </w:pPr>
      <w:r>
        <w:rPr>
          <w:rFonts w:ascii="Times New Roman" w:hAnsi="Times New Roman" w:eastAsia="宋体"/>
          <w:b/>
          <w:sz w:val="24"/>
        </w:rPr>
        <w:t>关键词：</w:t>
      </w:r>
      <w:r>
        <w:rPr>
          <w:rFonts w:ascii="Times New Roman" w:hAnsi="Times New Roman" w:eastAsia="宋体"/>
          <w:b w:val="0"/>
          <w:sz w:val="24"/>
        </w:rPr>
        <w:t xml:space="preserve"> 紫晶存储；财务舞弊；收入舞弊；欺诈发行；审计失败；内部控制</w:t>
      </w:r>
    </w:p>
    <w:p>
      <w:pPr>
        <w:spacing w:line="360" w:lineRule="auto" w:before="200" w:after="80"/>
      </w:pPr>
      <w:r>
        <w:rPr>
          <w:rFonts w:ascii="Times New Roman" w:hAnsi="Times New Roman" w:eastAsia="宋体"/>
          <w:b/>
          <w:sz w:val="24"/>
        </w:rPr>
        <w:t>一、引言</w:t>
      </w:r>
    </w:p>
    <w:p>
      <w:pPr>
        <w:spacing w:line="360" w:lineRule="auto" w:before="0" w:after="0"/>
        <w:ind w:firstLine="480"/>
      </w:pPr>
      <w:r>
        <w:rPr>
          <w:rFonts w:ascii="Times New Roman" w:hAnsi="Times New Roman" w:eastAsia="宋体"/>
          <w:b w:val="0"/>
          <w:sz w:val="24"/>
        </w:rPr>
        <w:t>资本市场以真实、准确、完整的信息披露为基础。上市公司财务报告不仅影响投资者对企业价值的判断，也影响监管部门、债权人和其他利益相关者对企业经营风险的评价。一旦企业通过虚构交易、提前确认收入、隐瞒担保等方式粉饰报表，投资者就会在失真的信息基础上作出决策，资本市场的资源配置和公信力也会受到损害。</w:t>
      </w:r>
    </w:p>
    <w:p>
      <w:pPr>
        <w:spacing w:line="360" w:lineRule="auto" w:before="0" w:after="0"/>
        <w:ind w:firstLine="480"/>
      </w:pPr>
      <w:r>
        <w:rPr>
          <w:rFonts w:ascii="Times New Roman" w:hAnsi="Times New Roman" w:eastAsia="宋体"/>
          <w:b w:val="0"/>
          <w:sz w:val="24"/>
        </w:rPr>
        <w:t>收入舞弊是财务舞弊中最常见、也最具有迷惑性的一类。收入直接影响利润、成长性和估值，而收入确认又涉及合同、发货、验收、回款、客户关系等多个环节。如果企业能系统性伪造这些业务证据，就可能在较长时间内掩盖虚假交易。紫晶存储案件正是一个围绕收入确认展开的典型案例。</w:t>
      </w:r>
    </w:p>
    <w:p>
      <w:pPr>
        <w:spacing w:line="360" w:lineRule="auto" w:before="0" w:after="0"/>
        <w:ind w:firstLine="480"/>
      </w:pPr>
      <w:r>
        <w:rPr>
          <w:rFonts w:ascii="Times New Roman" w:hAnsi="Times New Roman" w:eastAsia="宋体"/>
          <w:b w:val="0"/>
          <w:sz w:val="24"/>
        </w:rPr>
        <w:t>本文选择紫晶存储作为分析对象，主要有三点原因。第一，该案发生于科创板上市公司，涉及注册制背景下发行人、审计机构、保荐机构和监管机制之间的责任关系，具有现实意义。第二，该案违法事实贯穿上市前后，既有欺诈发行，也有持续信息披露违法，适合从舞弊形成机制角度分析。第三，该案后来出现中介机构设立先行赔付专项基金，能够进一步讨论资本市场“看门人”责任和投资者保护问题。</w:t>
      </w:r>
    </w:p>
    <w:p>
      <w:pPr>
        <w:spacing w:line="360" w:lineRule="auto" w:before="200" w:after="80"/>
      </w:pPr>
      <w:r>
        <w:rPr>
          <w:rFonts w:ascii="Times New Roman" w:hAnsi="Times New Roman" w:eastAsia="宋体"/>
          <w:b/>
          <w:sz w:val="24"/>
        </w:rPr>
        <w:t>二、案例背景与事件过程</w:t>
      </w:r>
    </w:p>
    <w:p>
      <w:pPr>
        <w:spacing w:line="360" w:lineRule="auto" w:before="0" w:after="0"/>
        <w:ind w:firstLine="480"/>
      </w:pPr>
      <w:r>
        <w:rPr>
          <w:rFonts w:ascii="Times New Roman" w:hAnsi="Times New Roman" w:eastAsia="宋体"/>
          <w:b w:val="0"/>
          <w:sz w:val="24"/>
        </w:rPr>
        <w:t>广东紫晶信息存储技术股份有限公司主要从事光存储产品和解决方案业务，于 2020 年 2 月 26 日在上海证券交易所科创板上市，股票代码为 688086。公司上市前将自身定位为具备光存储核心技术和产业化能力的科技型企业，业务面向政务、医疗、金融、档案、运营商等数据存储场景。对于科创板企业而言，技术先进性、商业化能力和成长性是资本市场关注的重点，因此收入规模和利润水平成为紫晶存储最重要的财务指标之一。</w:t>
      </w:r>
    </w:p>
    <w:p>
      <w:pPr>
        <w:spacing w:line="360" w:lineRule="auto" w:before="0" w:after="0"/>
        <w:ind w:firstLine="480"/>
      </w:pPr>
      <w:r>
        <w:rPr>
          <w:rFonts w:ascii="Times New Roman" w:hAnsi="Times New Roman" w:eastAsia="宋体"/>
          <w:b w:val="0"/>
          <w:sz w:val="24"/>
        </w:rPr>
        <w:t>根据证监会行政处罚决定书，紫晶存储在发行上市前已经存在财务造假。2019 年 4 月 3 日，公司披露科创板招股说明书申报稿；2019 年 10 月 23 日，获得上交所科创板上市委员会审议同意发行上市；2020 年 1 月 19 日，获得证监会同意注册批复；2020 年 2 月 21 日披露招股说明书正式稿；2020 年 2 月 26 日在科创板上市。2022 年 2 月 11 日，公司收到证监会立案告知书。2022 年 11 月 18 日，公司收到行政处罚及市场禁入事先告知书。2023 年 4 月 21 日，公司收到行政处罚决定书和市场禁入决定书。</w:t>
      </w:r>
    </w:p>
    <w:p>
      <w:pPr>
        <w:spacing w:line="360" w:lineRule="auto" w:before="0" w:after="0"/>
        <w:ind w:firstLine="480"/>
      </w:pPr>
      <w:r>
        <w:rPr>
          <w:rFonts w:ascii="Times New Roman" w:hAnsi="Times New Roman" w:eastAsia="宋体"/>
          <w:b w:val="0"/>
          <w:sz w:val="24"/>
        </w:rPr>
        <w:t>证监会最终认定，紫晶存储存在欺诈发行和信息披露违法违规。对公司层面，证监会责令改正、给予警告，并处以 3,668.52 万元罚款；对时任董事长、实际控制人之一郑穆给予警告并处以 2,164.26 万元罚款，同时采取终身证券市场禁入措施；对时任董事、实际控制人之一罗铁威给予警告并处以 1,803.55 万元罚款，同时采取 10 年证券市场禁入措施；对时任董事、总经理钟国裕和时任董事、财务总监李燕霞分别采取 5 年证券市场禁入措施。该处罚结果说明，监管部门并未将其视为普通披露瑕疵，而是认定为以实际控制人和管理层为核心的严重资本市场违法行为。</w:t>
      </w:r>
    </w:p>
    <w:p>
      <w:pPr>
        <w:spacing w:line="360" w:lineRule="auto" w:before="200" w:after="80"/>
      </w:pPr>
      <w:r>
        <w:rPr>
          <w:rFonts w:ascii="Times New Roman" w:hAnsi="Times New Roman" w:eastAsia="宋体"/>
          <w:b/>
          <w:sz w:val="24"/>
        </w:rPr>
        <w:t>三、舞弊事实与主要手段</w:t>
      </w:r>
    </w:p>
    <w:p>
      <w:pPr>
        <w:spacing w:line="360" w:lineRule="auto" w:before="0" w:after="0"/>
        <w:ind w:firstLine="480"/>
      </w:pPr>
      <w:r>
        <w:rPr>
          <w:rFonts w:ascii="Times New Roman" w:hAnsi="Times New Roman" w:eastAsia="宋体"/>
          <w:b w:val="0"/>
          <w:sz w:val="24"/>
        </w:rPr>
        <w:t>紫晶存储的核心舞弊方式是收入舞弊。证监会认定，公司通过虚构销售合同、伪造物流单据和验收单据入账、安排资金回款、提前确认收入等方式虚增营业收入和利润。这些手段相互配合，构成了从合同到发货、验收、回款再到财务入账的完整虚假业务链条。</w:t>
      </w:r>
    </w:p>
    <w:p>
      <w:pPr>
        <w:spacing w:line="360" w:lineRule="auto" w:before="0" w:after="0"/>
        <w:ind w:firstLine="480"/>
      </w:pPr>
      <w:r>
        <w:rPr>
          <w:rFonts w:ascii="Times New Roman" w:hAnsi="Times New Roman" w:eastAsia="宋体"/>
          <w:b w:val="0"/>
          <w:sz w:val="24"/>
        </w:rPr>
        <w:t>在上市前，紫晶存储招股说明书虚增收入和利润。2017 年，公司虚增营业收入 43,497,313.43 元，占当年营业收入的 13.90%；虚增利润 21,627,070.35 元，占当年利润总额的 35.82%。2018 年，公司虚增营业收入 111,457,882.74 元，占当年营业收入的 27.75%；虚增利润 39,036,333.51 元，占当年利润总额的 32.59%。2019 年上半年，公司虚增营业收入 66,939,521.10 元，占当期营业收入的 42.97%；虚增利润 25,326,629.03 元，占当期利润总额的 137.33%。其中 2019 年上半年虚增利润占比超过 100%，说明公司真实盈利能力与招股材料呈现出的盈利质量存在重大偏离。</w:t>
      </w:r>
    </w:p>
    <w:p>
      <w:pPr>
        <w:spacing w:line="360" w:lineRule="auto" w:before="0" w:after="0"/>
        <w:ind w:firstLine="480"/>
      </w:pPr>
      <w:r>
        <w:rPr>
          <w:rFonts w:ascii="Times New Roman" w:hAnsi="Times New Roman" w:eastAsia="宋体"/>
          <w:b w:val="0"/>
          <w:sz w:val="24"/>
        </w:rPr>
        <w:t>上市后，紫晶存储并未停止造假，而是继续通过类似方式虚增收入和利润。在 2019 年年度报告中，公司虚增营业收入 270,871,411.88 元，占当期报告记载营业收入绝对值的 52.46%；虚增利润 145,290,742.15 元，占当期报告记载利润总额绝对值的 94.55%。在 2020 年年度报告中，公司虚增营业收入 327,797,330.95 元，占当期报告记载营业收入绝对值的 58.26%；虚增利润 169,023,641.79 元，占当期报告记载利润总额绝对值的 150.21%。这说明紫晶存储舞弊并不是为了跨过上市门槛而偶发实施的一次性行为，而是形成了维持资本市场形象和财务指标的持续机制。</w:t>
      </w:r>
    </w:p>
    <w:p>
      <w:pPr>
        <w:spacing w:line="360" w:lineRule="auto" w:before="0" w:after="0"/>
        <w:ind w:firstLine="480"/>
      </w:pPr>
      <w:r>
        <w:rPr>
          <w:rFonts w:ascii="Times New Roman" w:hAnsi="Times New Roman" w:eastAsia="宋体"/>
          <w:b w:val="0"/>
          <w:sz w:val="24"/>
        </w:rPr>
        <w:t>除收入舞弊外，紫晶存储还存在未按规定披露对外担保的问题。招股说明书签署日，未按规定披露对外担保余额合计 13,500.12 万元。上市后，公司 2019 年年报遗漏披露对外担保 14,500.12 万元，2020 年未按规定及时披露对外担保 17,500 万元，2021 年未按规定及时披露对外担保 41,790 万元。对外担保会影响企业或有负债、资产受限、现金流风险和投资者判断。紫晶存储未披露担保事项，既是信息披露违法，也暴露出公司授权审批、印章管理、资金管理和董事会监督存在严重缺陷。</w:t>
      </w:r>
    </w:p>
    <w:p>
      <w:pPr>
        <w:spacing w:line="360" w:lineRule="auto" w:before="0" w:after="0"/>
        <w:ind w:firstLine="480"/>
      </w:pPr>
      <w:r>
        <w:rPr>
          <w:rFonts w:ascii="Times New Roman" w:hAnsi="Times New Roman" w:eastAsia="宋体"/>
          <w:b w:val="0"/>
          <w:sz w:val="24"/>
        </w:rPr>
        <w:t>从舞弊链条看，虚构销售合同为收入确认提供了表面依据；伪造物流和验收单据使交易看似已经履约；安排资金回款让账面收入获得现金流支持；提前确认收入则进一步将未来或不满足条件的收入计入当期；遗漏披露担保则掩盖了公司潜在债务和资金风险。这些行为共同说明，紫晶存储并不是简单“做错账”，而是通过业务、资金和披露多环节配合完成系统性造假。</w:t>
      </w:r>
    </w:p>
    <w:p>
      <w:pPr>
        <w:spacing w:line="360" w:lineRule="auto" w:before="200" w:after="80"/>
      </w:pPr>
      <w:r>
        <w:rPr>
          <w:rFonts w:ascii="Times New Roman" w:hAnsi="Times New Roman" w:eastAsia="宋体"/>
          <w:b/>
          <w:sz w:val="24"/>
        </w:rPr>
        <w:t>四、舞弊动因分析</w:t>
      </w:r>
    </w:p>
    <w:p>
      <w:pPr>
        <w:spacing w:line="360" w:lineRule="auto" w:before="0" w:after="0"/>
        <w:ind w:firstLine="480"/>
      </w:pPr>
      <w:r>
        <w:rPr>
          <w:rFonts w:ascii="Times New Roman" w:hAnsi="Times New Roman" w:eastAsia="宋体"/>
          <w:b w:val="0"/>
          <w:sz w:val="24"/>
        </w:rPr>
        <w:t>从舞弊三角理论看，紫晶存储舞弊的形成可以从压力、机会和借口三个方面理解。</w:t>
      </w:r>
    </w:p>
    <w:p>
      <w:pPr>
        <w:spacing w:line="360" w:lineRule="auto" w:before="0" w:after="0"/>
        <w:ind w:firstLine="480"/>
      </w:pPr>
      <w:r>
        <w:rPr>
          <w:rFonts w:ascii="Times New Roman" w:hAnsi="Times New Roman" w:eastAsia="宋体"/>
          <w:b w:val="0"/>
          <w:sz w:val="24"/>
        </w:rPr>
        <w:t>首先是压力。紫晶存储作为科创板拟上市企业，需要向监管机构和投资者证明其技术商业化能力、收入增长能力和盈利能力。光存储业务具有技术概念和政策叙事，但真实市场需求、项目落地和回款质量未必稳定。在上市融资和资本市场估值压力下，管理层有动机通过虚增收入和利润来塑造成长性。上市后，公司仍需要维持较好的财务表现，以支撑市场信心和企业形象。</w:t>
      </w:r>
    </w:p>
    <w:p>
      <w:pPr>
        <w:spacing w:line="360" w:lineRule="auto" w:before="0" w:after="0"/>
        <w:ind w:firstLine="480"/>
      </w:pPr>
      <w:r>
        <w:rPr>
          <w:rFonts w:ascii="Times New Roman" w:hAnsi="Times New Roman" w:eastAsia="宋体"/>
          <w:b w:val="0"/>
          <w:sz w:val="24"/>
        </w:rPr>
        <w:t>其次是机会。紫晶存储舞弊涉及合同、物流、验收、回款和担保披露等多个环节。如果内部控制有效，单个环节造假可能被其他环节识别。例如，合同需要审批，发货需要仓储物流记录，验收需要客户独立确认，回款需要核查资金来源，对外担保需要履行董事会或股东大会程序。但紫晶存储能够形成完整舞弊链条，说明这些控制节点没有发挥作用。更重要的是，证监会认定实际控制人和部分高管组织、参与相关违法行为，说明关键人员可能凌驾于内部控制之上。</w:t>
      </w:r>
    </w:p>
    <w:p>
      <w:pPr>
        <w:spacing w:line="360" w:lineRule="auto" w:before="0" w:after="0"/>
        <w:ind w:firstLine="480"/>
      </w:pPr>
      <w:r>
        <w:rPr>
          <w:rFonts w:ascii="Times New Roman" w:hAnsi="Times New Roman" w:eastAsia="宋体"/>
          <w:b w:val="0"/>
          <w:sz w:val="24"/>
        </w:rPr>
        <w:t>再次是借口。紫晶存储业务具有项目制、客户定制、回款周期较长等特点。管理层可能以行业特殊性解释应收账款高、客户波动大、验收周期长和回款慢等异常情况，从而降低外部审计和投资者对舞弊风险的敏感度。真实存在的行业特征被用来包装不真实的交易安排，这是该案较具迷惑性的地方。</w:t>
      </w:r>
    </w:p>
    <w:p>
      <w:pPr>
        <w:spacing w:line="360" w:lineRule="auto" w:before="0" w:after="0"/>
        <w:ind w:firstLine="480"/>
      </w:pPr>
      <w:r>
        <w:rPr>
          <w:rFonts w:ascii="Times New Roman" w:hAnsi="Times New Roman" w:eastAsia="宋体"/>
          <w:b w:val="0"/>
          <w:sz w:val="24"/>
        </w:rPr>
        <w:t>从 GONE 理论看，紫晶存储同样具备贪婪、机会、需要和暴露四个因素。实际控制人和管理层可能通过上市融资、维护估值和控制权利益获得收益；内部控制薄弱和外部监督不足提供了机会；公司需要持续证明技术商业化和成长性；而在早期，系统伪造的合同、验收、物流和回款证据降低了舞弊暴露风险。直到监管立案、审计非标意见和违规担保风险集中出现，问题才被充分揭开。</w:t>
      </w:r>
    </w:p>
    <w:p>
      <w:pPr>
        <w:spacing w:line="360" w:lineRule="auto" w:before="200" w:after="80"/>
      </w:pPr>
      <w:r>
        <w:rPr>
          <w:rFonts w:ascii="Times New Roman" w:hAnsi="Times New Roman" w:eastAsia="宋体"/>
          <w:b/>
          <w:sz w:val="24"/>
        </w:rPr>
        <w:t>五、内部控制缺陷</w:t>
      </w:r>
    </w:p>
    <w:p>
      <w:pPr>
        <w:spacing w:line="360" w:lineRule="auto" w:before="0" w:after="0"/>
        <w:ind w:firstLine="480"/>
      </w:pPr>
      <w:r>
        <w:rPr>
          <w:rFonts w:ascii="Times New Roman" w:hAnsi="Times New Roman" w:eastAsia="宋体"/>
          <w:b w:val="0"/>
          <w:sz w:val="24"/>
        </w:rPr>
        <w:t>紫晶存储案例暴露出销售与收款循环、资金管理、担保审批、信息披露和公司治理等方面的内部控制缺陷。</w:t>
      </w:r>
    </w:p>
    <w:p>
      <w:pPr>
        <w:spacing w:line="360" w:lineRule="auto" w:before="0" w:after="0"/>
        <w:ind w:firstLine="480"/>
      </w:pPr>
      <w:r>
        <w:rPr>
          <w:rFonts w:ascii="Times New Roman" w:hAnsi="Times New Roman" w:eastAsia="宋体"/>
          <w:b w:val="0"/>
          <w:sz w:val="24"/>
        </w:rPr>
        <w:t>第一，销售与收款循环控制失效。正常销售流程应包括客户准入、合同审批、发货审批、物流跟踪、客户验收、开票入账、回款核验和应收账款管理。紫晶存储能够虚构销售合同、伪造物流和验收单据，并据此确认收入，说明销售业务真实性没有被有效验证。尤其是客户真实性和交易商业实质没有得到充分审查，导致虚假业务能够进入财务报表。</w:t>
      </w:r>
    </w:p>
    <w:p>
      <w:pPr>
        <w:spacing w:line="360" w:lineRule="auto" w:before="0" w:after="0"/>
        <w:ind w:firstLine="480"/>
      </w:pPr>
      <w:r>
        <w:rPr>
          <w:rFonts w:ascii="Times New Roman" w:hAnsi="Times New Roman" w:eastAsia="宋体"/>
          <w:b w:val="0"/>
          <w:sz w:val="24"/>
        </w:rPr>
        <w:t>第二，资金管理控制失效。安排资金回款是紫晶存储收入舞弊的重要环节。表面上看，客户支付了货款，收入似乎有现金流支撑；但实质上，回款可能来自实际控制人、相关方或其他主体安排形成的资金闭环。企业财务部门如果只关注“钱是否到账”，而不核查“钱从哪里来、为什么来、是否又流回相关方”，就会使资金流水成为舞弊工具。</w:t>
      </w:r>
    </w:p>
    <w:p>
      <w:pPr>
        <w:spacing w:line="360" w:lineRule="auto" w:before="0" w:after="0"/>
        <w:ind w:firstLine="480"/>
      </w:pPr>
      <w:r>
        <w:rPr>
          <w:rFonts w:ascii="Times New Roman" w:hAnsi="Times New Roman" w:eastAsia="宋体"/>
          <w:b w:val="0"/>
          <w:sz w:val="24"/>
        </w:rPr>
        <w:t>第三，对外担保控制失效。对外担保属于重大风险事项，应履行严格审批程序并及时披露。紫晶存储未披露担保金额持续扩大，说明公司在印章管理、合同管理、董事会授权和重大事项报告方面均存在漏洞。违规担保还可能导致资产受限、资金被划扣或冻结，进一步损害公司和投资者利益。</w:t>
      </w:r>
    </w:p>
    <w:p>
      <w:pPr>
        <w:spacing w:line="360" w:lineRule="auto" w:before="0" w:after="0"/>
        <w:ind w:firstLine="480"/>
      </w:pPr>
      <w:r>
        <w:rPr>
          <w:rFonts w:ascii="Times New Roman" w:hAnsi="Times New Roman" w:eastAsia="宋体"/>
          <w:b w:val="0"/>
          <w:sz w:val="24"/>
        </w:rPr>
        <w:t>第四，公司治理制衡失效。若实际控制人和核心管理层主导舞弊，普通内部控制程序容易被绕过。紫晶存储案中，董事会、监事会、独立董事、审计委员会、财务负责人和董事会秘书等治理角色未能在关键阶段有效阻止舞弊，反映公司治理结构缺乏真正独立和有效的监督。</w:t>
      </w:r>
    </w:p>
    <w:p>
      <w:pPr>
        <w:spacing w:line="360" w:lineRule="auto" w:before="200" w:after="80"/>
      </w:pPr>
      <w:r>
        <w:rPr>
          <w:rFonts w:ascii="Times New Roman" w:hAnsi="Times New Roman" w:eastAsia="宋体"/>
          <w:b/>
          <w:sz w:val="24"/>
        </w:rPr>
        <w:t>六、审计失败点分析</w:t>
      </w:r>
    </w:p>
    <w:p>
      <w:pPr>
        <w:spacing w:line="360" w:lineRule="auto" w:before="0" w:after="0"/>
        <w:ind w:firstLine="480"/>
      </w:pPr>
      <w:r>
        <w:rPr>
          <w:rFonts w:ascii="Times New Roman" w:hAnsi="Times New Roman" w:eastAsia="宋体"/>
          <w:b w:val="0"/>
          <w:sz w:val="24"/>
        </w:rPr>
        <w:t>从审计反舞弊角度看，紫晶存储案例的核心问题在于外部审计和相关中介机构未能充分识别收入真实性、客户真实性、资金闭环和担保遗漏等重大风险。</w:t>
      </w:r>
    </w:p>
    <w:p>
      <w:pPr>
        <w:spacing w:line="360" w:lineRule="auto" w:before="0" w:after="0"/>
        <w:ind w:firstLine="480"/>
      </w:pPr>
      <w:r>
        <w:rPr>
          <w:rFonts w:ascii="Times New Roman" w:hAnsi="Times New Roman" w:eastAsia="宋体"/>
          <w:b w:val="0"/>
          <w:sz w:val="24"/>
        </w:rPr>
        <w:t>首先，收入真实性审计不足。对于项目制销售企业，审计人员不能仅依赖销售合同、发票、物流单和验收单等纸面材料，而应结合客户访谈、终端项目核查、实地走访、设备安装使用情况检查等程序判断交易是否具有真实商业实质。紫晶存储的舞弊文件链条较完整，如果审计程序主要围绕公司提供的材料展开，而没有获取独立外部证据，就容易被形式化凭证误导。</w:t>
      </w:r>
    </w:p>
    <w:p>
      <w:pPr>
        <w:spacing w:line="360" w:lineRule="auto" w:before="0" w:after="0"/>
        <w:ind w:firstLine="480"/>
      </w:pPr>
      <w:r>
        <w:rPr>
          <w:rFonts w:ascii="Times New Roman" w:hAnsi="Times New Roman" w:eastAsia="宋体"/>
          <w:b w:val="0"/>
          <w:sz w:val="24"/>
        </w:rPr>
        <w:t>其次，函证和访谈程序有效性不足。函证是验证应收账款和销售交易的重要程序，但函证不是机械寄发和回收文件。审计人员应关注函证地址是否独立可靠、回函来源是否真实、未回函是否执行有效替代程序。紫晶存储 2021 年年报中，独立董事提到部分银行函证、客户访谈等审计程序未达到满意效果，说明在风险暴露后，相关证据已经难以充分支持财务报表真实性。</w:t>
      </w:r>
    </w:p>
    <w:p>
      <w:pPr>
        <w:spacing w:line="360" w:lineRule="auto" w:before="0" w:after="0"/>
        <w:ind w:firstLine="480"/>
      </w:pPr>
      <w:r>
        <w:rPr>
          <w:rFonts w:ascii="Times New Roman" w:hAnsi="Times New Roman" w:eastAsia="宋体"/>
          <w:b w:val="0"/>
          <w:sz w:val="24"/>
        </w:rPr>
        <w:t>再次，资金流水穿透核查不足。既然紫晶存储存在安排资金回款，审计人员就不能只核对客户是否付款，还应追踪付款资金来源和后续流向。如果客户付款前收到来自相关方的资金，或者回款后资金又通过采购、预付款、借款等形式回流，就可能构成资金闭环。只看银行回单而不追踪资金实质，难以识别“有回款但无真实交易”的舞弊。</w:t>
      </w:r>
    </w:p>
    <w:p>
      <w:pPr>
        <w:spacing w:line="360" w:lineRule="auto" w:before="0" w:after="0"/>
        <w:ind w:firstLine="480"/>
      </w:pPr>
      <w:r>
        <w:rPr>
          <w:rFonts w:ascii="Times New Roman" w:hAnsi="Times New Roman" w:eastAsia="宋体"/>
          <w:b w:val="0"/>
          <w:sz w:val="24"/>
        </w:rPr>
        <w:t>最后，对外担保核查不足。未披露对外担保是该案的重要违法事实。审计人员识别担保事项不能只依赖管理层声明，还应结合银行函证、企业征信、诉讼查询、资产受限情况、定期存单质押和印章使用记录等外部证据。若企业存在大额受限资金、异常定期存单或银行承兑安排，应进一步追查是否存在未披露担保。</w:t>
      </w:r>
    </w:p>
    <w:p>
      <w:pPr>
        <w:spacing w:line="360" w:lineRule="auto" w:before="0" w:after="0"/>
        <w:ind w:firstLine="480"/>
      </w:pPr>
      <w:r>
        <w:rPr>
          <w:rFonts w:ascii="Times New Roman" w:hAnsi="Times New Roman" w:eastAsia="宋体"/>
          <w:b w:val="0"/>
          <w:sz w:val="24"/>
        </w:rPr>
        <w:t>归根到底，紫晶存储案反映出审计职业怀疑不足。面对高增长、高应收、长账期、异常客户、异常回款和违规担保等信号，审计人员应提高风险评估等级，而不是轻易用行业特点解释异常。</w:t>
      </w:r>
    </w:p>
    <w:p>
      <w:pPr>
        <w:spacing w:line="360" w:lineRule="auto" w:before="200" w:after="80"/>
      </w:pPr>
      <w:r>
        <w:rPr>
          <w:rFonts w:ascii="Times New Roman" w:hAnsi="Times New Roman" w:eastAsia="宋体"/>
          <w:b/>
          <w:sz w:val="24"/>
        </w:rPr>
        <w:t>七、反舞弊对策建议</w:t>
      </w:r>
    </w:p>
    <w:p>
      <w:pPr>
        <w:spacing w:line="360" w:lineRule="auto" w:before="0" w:after="0"/>
        <w:ind w:firstLine="480"/>
      </w:pPr>
      <w:r>
        <w:rPr>
          <w:rFonts w:ascii="Times New Roman" w:hAnsi="Times New Roman" w:eastAsia="宋体"/>
          <w:b w:val="0"/>
          <w:sz w:val="24"/>
        </w:rPr>
        <w:t>企业层面，应建立以真实交易为核心的内部控制体系。公司应完善客户准入和信用审查，对新客户、大额客户、成立时间较短客户以及与公司人员存在潜在联系的客户进行重点审核；应强化合同、发货、物流、验收、开票和回款之间的交叉验证，确保每笔收入都有真实商业实质；应建立重大项目终端核查机制，不只核查直接客户，也核查终端用户、设备安装地点和实际使用状态。</w:t>
      </w:r>
    </w:p>
    <w:p>
      <w:pPr>
        <w:spacing w:line="360" w:lineRule="auto" w:before="0" w:after="0"/>
        <w:ind w:firstLine="480"/>
      </w:pPr>
      <w:r>
        <w:rPr>
          <w:rFonts w:ascii="Times New Roman" w:hAnsi="Times New Roman" w:eastAsia="宋体"/>
          <w:b w:val="0"/>
          <w:sz w:val="24"/>
        </w:rPr>
        <w:t>企业还应加强资金和担保控制。对外担保必须经过规定审批程序，任何定期存单质押、保证合同和银行承兑安排都应纳入统一台账，并由财务、法务、内部审计和董事会秘书共同审核。印章和合同管理应实现授权留痕，防止实际控制人或少数高管绕过程序实施重大事项。</w:t>
      </w:r>
    </w:p>
    <w:p>
      <w:pPr>
        <w:spacing w:line="360" w:lineRule="auto" w:before="0" w:after="0"/>
        <w:ind w:firstLine="480"/>
      </w:pPr>
      <w:r>
        <w:rPr>
          <w:rFonts w:ascii="Times New Roman" w:hAnsi="Times New Roman" w:eastAsia="宋体"/>
          <w:b w:val="0"/>
          <w:sz w:val="24"/>
        </w:rPr>
        <w:t>会计师事务所层面，应强化收入舞弊识别和职业怀疑。对于高成长、高估值、项目制销售、回款周期长、客户集中度高的企业，应扩大实质性程序范围。审计人员不仅要检查合同和验收单，还要通过实地走访、视频核验、终端用户访谈、物流轨迹核查等方式验证交易真实性。对大额应收账款和异常回款，应结合银行流水穿透分析资金来源和去向。</w:t>
      </w:r>
    </w:p>
    <w:p>
      <w:pPr>
        <w:spacing w:line="360" w:lineRule="auto" w:before="0" w:after="0"/>
        <w:ind w:firstLine="480"/>
      </w:pPr>
      <w:r>
        <w:rPr>
          <w:rFonts w:ascii="Times New Roman" w:hAnsi="Times New Roman" w:eastAsia="宋体"/>
          <w:b w:val="0"/>
          <w:sz w:val="24"/>
        </w:rPr>
        <w:t>中介机构层面，应压实保荐、审计和法律责任。紫晶存储事件中，中信建投、致同会计师事务所、容诚会计师事务所、广东恒益律师事务所等共同出资设立先行赔付专项基金，用于赔付适格投资者损失。这说明资本市场财务造假的责任已不只停留在公司和管理层，也会延伸至中介机构。保荐机构应关注发行人收入增长是否与客户质量、现金流和产能匹配；律师事务所应重点核查担保、重大合同、诉讼和关联关系；会计师事务所应重点核查财务数据真实性。</w:t>
      </w:r>
    </w:p>
    <w:p>
      <w:pPr>
        <w:spacing w:line="360" w:lineRule="auto" w:before="0" w:after="0"/>
        <w:ind w:firstLine="480"/>
      </w:pPr>
      <w:r>
        <w:rPr>
          <w:rFonts w:ascii="Times New Roman" w:hAnsi="Times New Roman" w:eastAsia="宋体"/>
          <w:b w:val="0"/>
          <w:sz w:val="24"/>
        </w:rPr>
        <w:t>监管层面，应继续提高财务造假违法成本，强化行政、民事、刑事立体追责。对于实际控制人、董事长、财务负责人等“关键少数”，应重点追究组织、指使和隐瞒舞弊的责任。监管部门还可加强数据化监测，对收入增长、应收账款、经营现金流、客户集中度、预付款、受限资金和担保事项进行联动分析，及时识别异常信号。</w:t>
      </w:r>
    </w:p>
    <w:p>
      <w:pPr>
        <w:spacing w:line="360" w:lineRule="auto" w:before="200" w:after="80"/>
      </w:pPr>
      <w:r>
        <w:rPr>
          <w:rFonts w:ascii="Times New Roman" w:hAnsi="Times New Roman" w:eastAsia="宋体"/>
          <w:b/>
          <w:sz w:val="24"/>
        </w:rPr>
        <w:t>八、案例启示与结论</w:t>
      </w:r>
    </w:p>
    <w:p>
      <w:pPr>
        <w:spacing w:line="360" w:lineRule="auto" w:before="0" w:after="0"/>
        <w:ind w:firstLine="480"/>
      </w:pPr>
      <w:r>
        <w:rPr>
          <w:rFonts w:ascii="Times New Roman" w:hAnsi="Times New Roman" w:eastAsia="宋体"/>
          <w:b w:val="0"/>
          <w:sz w:val="24"/>
        </w:rPr>
        <w:t>紫晶存储案例的第一点启示是，收入舞弊往往不是单一会计科目问题，而是业务、资金和披露共同参与的系统性问题。虚构合同、伪造物流验收、安排回款和提前确认收入相互配合，使舞弊具有较强隐蔽性。因此，反舞弊不能停留在账务层面，而要回到真实交易和商业实质。</w:t>
      </w:r>
    </w:p>
    <w:p>
      <w:pPr>
        <w:spacing w:line="360" w:lineRule="auto" w:before="0" w:after="0"/>
        <w:ind w:firstLine="480"/>
      </w:pPr>
      <w:r>
        <w:rPr>
          <w:rFonts w:ascii="Times New Roman" w:hAnsi="Times New Roman" w:eastAsia="宋体"/>
          <w:b w:val="0"/>
          <w:sz w:val="24"/>
        </w:rPr>
        <w:t>第二点启示是，实际控制人凌驾于内部控制之上，是上市公司舞弊的重要风险源。再完善的制度，如果不能约束关键少数，就可能沦为形式。董事会、监事会、独立董事、审计委员会和内部审计部门必须具备足够独立性，能够对管理层异常行为提出质疑。</w:t>
      </w:r>
    </w:p>
    <w:p>
      <w:pPr>
        <w:spacing w:line="360" w:lineRule="auto" w:before="0" w:after="0"/>
        <w:ind w:firstLine="480"/>
      </w:pPr>
      <w:r>
        <w:rPr>
          <w:rFonts w:ascii="Times New Roman" w:hAnsi="Times New Roman" w:eastAsia="宋体"/>
          <w:b w:val="0"/>
          <w:sz w:val="24"/>
        </w:rPr>
        <w:t>第三点启示是，审计反舞弊需要真正贯彻职业怀疑。审计人员面对高增长、高应收、长账期、异常客户、异常回款和违规担保等信号时，应当扩大审计程序范围，获取更独立、更直接的证据。纸面证据越完整，越要警惕其是否是被系统性设计出来的证据链条。</w:t>
      </w:r>
    </w:p>
    <w:p>
      <w:pPr>
        <w:spacing w:line="360" w:lineRule="auto" w:before="0" w:after="0"/>
        <w:ind w:firstLine="480"/>
      </w:pPr>
      <w:r>
        <w:rPr>
          <w:rFonts w:ascii="Times New Roman" w:hAnsi="Times New Roman" w:eastAsia="宋体"/>
          <w:b w:val="0"/>
          <w:sz w:val="24"/>
        </w:rPr>
        <w:t>第四点启示是，中介机构责任不能只停留在事后道歉。紫晶存储事件先行赔付专项基金说明，欺诈发行和信息披露违法的后果会外溢到保荐、审计、法律等资本市场服务机构。只有让中介机构为未勤勉尽责付出实质成本，才能倒逼其在项目承做阶段真正承担“看门人”责任。</w:t>
      </w:r>
    </w:p>
    <w:p>
      <w:pPr>
        <w:spacing w:line="360" w:lineRule="auto" w:before="0" w:after="0"/>
        <w:ind w:firstLine="480"/>
      </w:pPr>
      <w:r>
        <w:rPr>
          <w:rFonts w:ascii="Times New Roman" w:hAnsi="Times New Roman" w:eastAsia="宋体"/>
          <w:b w:val="0"/>
          <w:sz w:val="24"/>
        </w:rPr>
        <w:t>综上，紫晶存储财务舞弊案是一起典型的以收入舞弊为核心、贯穿发行上市前后的资本市场违法案例。其舞弊手段围绕销售合同、物流验收、资金回款和信息披露形成系统性链条；其舞弊动因包括上市融资压力、维持成长性叙事和管理层凌驾于内部控制之上的机会；其风险暴露也反映出公司治理、外部审计和中介机构尽职调查均存在不足。对于《财务舞弊与反舞弊》课程而言，该案说明财务舞弊识别不能只看报表数字，而要结合业务实质、资金流向、内部控制和治理结构综合判断。只有企业、审计机构、中介机构和监管部门共同发挥作用，才能更有效地预防和发现财务舞弊，维护资本市场的信息真实性和公平性。</w:t>
      </w:r>
    </w:p>
    <w:p>
      <w:pPr>
        <w:spacing w:line="360" w:lineRule="auto" w:before="200" w:after="80"/>
      </w:pPr>
      <w:r>
        <w:rPr>
          <w:rFonts w:ascii="Times New Roman" w:hAnsi="Times New Roman" w:eastAsia="宋体"/>
          <w:b/>
          <w:sz w:val="24"/>
        </w:rPr>
        <w:t>参考文献</w:t>
      </w:r>
    </w:p>
    <w:p>
      <w:pPr>
        <w:spacing w:line="360" w:lineRule="auto" w:before="0" w:after="0"/>
        <w:ind w:firstLine="0"/>
      </w:pPr>
      <w:r>
        <w:rPr>
          <w:rFonts w:ascii="Times New Roman" w:hAnsi="Times New Roman" w:eastAsia="宋体"/>
          <w:b w:val="0"/>
          <w:sz w:val="24"/>
        </w:rPr>
        <w:t>[1] 广东紫晶信息存储技术股份有限公司. 首次公开发行股票并在科创板上市招股说明书[EB/OL]. 2020-02-21. http://static.cninfo.com.cn/finalpage/2020-02-21/1207316126.PDF</w:t>
      </w:r>
    </w:p>
    <w:p>
      <w:pPr>
        <w:spacing w:line="360" w:lineRule="auto" w:before="0" w:after="0"/>
        <w:ind w:firstLine="0"/>
      </w:pPr>
      <w:r>
        <w:rPr>
          <w:rFonts w:ascii="Times New Roman" w:hAnsi="Times New Roman" w:eastAsia="宋体"/>
          <w:b w:val="0"/>
          <w:sz w:val="24"/>
        </w:rPr>
        <w:t>[2] 广东紫晶信息存储技术股份有限公司. 关于收到中国证券监督管理委员会立案告知书的公告[EB/OL]. 2022-02-12. http://static.cninfo.com.cn/finalpage/2022-02-12/1212353025.PDF</w:t>
      </w:r>
    </w:p>
    <w:p>
      <w:pPr>
        <w:spacing w:line="360" w:lineRule="auto" w:before="0" w:after="0"/>
        <w:ind w:firstLine="0"/>
      </w:pPr>
      <w:r>
        <w:rPr>
          <w:rFonts w:ascii="Times New Roman" w:hAnsi="Times New Roman" w:eastAsia="宋体"/>
          <w:b w:val="0"/>
          <w:sz w:val="24"/>
        </w:rPr>
        <w:t>[3] 广东紫晶信息存储技术股份有限公司. 2021年年度报告[EB/OL]. 2022-04-30. http://static.cninfo.com.cn/finalpage/2022-04-30/1213274169.PDF</w:t>
      </w:r>
    </w:p>
    <w:p>
      <w:pPr>
        <w:spacing w:line="360" w:lineRule="auto" w:before="0" w:after="0"/>
        <w:ind w:firstLine="0"/>
      </w:pPr>
      <w:r>
        <w:rPr>
          <w:rFonts w:ascii="Times New Roman" w:hAnsi="Times New Roman" w:eastAsia="宋体"/>
          <w:b w:val="0"/>
          <w:sz w:val="24"/>
        </w:rPr>
        <w:t>[4] 广东紫晶信息存储技术股份有限公司. 关于收到中国证券监督管理委员会《行政处罚及市场禁入事先告知书》的公告[EB/OL]. 2022-11-19. http://static.cninfo.com.cn/finalpage/2022-11-19/1215152883.PDF</w:t>
      </w:r>
    </w:p>
    <w:p>
      <w:pPr>
        <w:spacing w:line="360" w:lineRule="auto" w:before="0" w:after="0"/>
        <w:ind w:firstLine="0"/>
      </w:pPr>
      <w:r>
        <w:rPr>
          <w:rFonts w:ascii="Times New Roman" w:hAnsi="Times New Roman" w:eastAsia="宋体"/>
          <w:b w:val="0"/>
          <w:sz w:val="24"/>
        </w:rPr>
        <w:t>[5] 广东紫晶信息存储技术股份有限公司. 关于收到中国证券监督管理委员会《行政处罚决定书》的公告[EB/OL]. 2023-04-22. http://static.cninfo.com.cn/finalpage/2023-04-22/1216516398.PDF</w:t>
      </w:r>
    </w:p>
    <w:p>
      <w:pPr>
        <w:spacing w:line="360" w:lineRule="auto" w:before="0" w:after="0"/>
        <w:ind w:firstLine="0"/>
      </w:pPr>
      <w:r>
        <w:rPr>
          <w:rFonts w:ascii="Times New Roman" w:hAnsi="Times New Roman" w:eastAsia="宋体"/>
          <w:b w:val="0"/>
          <w:sz w:val="24"/>
        </w:rPr>
        <w:t>[6] 广东紫晶信息存储技术股份有限公司. 关于收到中国证券监督管理委员会《市场禁入决定书》的公告[EB/OL]. 2023-04-22. http://static.cninfo.com.cn/finalpage/2023-04-22/1216516400.PDF</w:t>
      </w:r>
    </w:p>
    <w:p>
      <w:pPr>
        <w:spacing w:line="360" w:lineRule="auto" w:before="0" w:after="0"/>
        <w:ind w:firstLine="0"/>
      </w:pPr>
      <w:r>
        <w:rPr>
          <w:rFonts w:ascii="Times New Roman" w:hAnsi="Times New Roman" w:eastAsia="宋体"/>
          <w:b w:val="0"/>
          <w:sz w:val="24"/>
        </w:rPr>
        <w:t>[7] 广东紫晶信息存储技术股份有限公司. 关于公司股票停牌暨将被终止上市的风险提示公告[EB/OL]. 2023-04-22. http://static.cninfo.com.cn/finalpage/2023-04-22/1216516399.PDF</w:t>
      </w:r>
    </w:p>
    <w:p>
      <w:pPr>
        <w:spacing w:line="360" w:lineRule="auto" w:before="0" w:after="0"/>
        <w:ind w:firstLine="0"/>
      </w:pPr>
      <w:r>
        <w:rPr>
          <w:rFonts w:ascii="Times New Roman" w:hAnsi="Times New Roman" w:eastAsia="宋体"/>
          <w:b w:val="0"/>
          <w:sz w:val="24"/>
        </w:rPr>
        <w:t>[8] 广东紫晶信息存储技术股份有限公司. 转中信建投证券股份有限公司关于拟设立紫晶存储事件先行赔付专项基金与申请适用证券期货行政执法当事人承诺制度的公告[EB/OL]. 2023-04-22. http://static.cninfo.com.cn/finalpage/2023-04-22/1216527875.PDF</w:t>
      </w:r>
    </w:p>
    <w:p>
      <w:pPr>
        <w:spacing w:line="360" w:lineRule="auto" w:before="0" w:after="0"/>
        <w:ind w:firstLine="0"/>
      </w:pPr>
      <w:r>
        <w:rPr>
          <w:rFonts w:ascii="Times New Roman" w:hAnsi="Times New Roman" w:eastAsia="宋体"/>
          <w:b w:val="0"/>
          <w:sz w:val="24"/>
        </w:rPr>
        <w:t>[9] 广东紫晶信息存储技术股份有限公司. 转中信建投证券股份有限公司关于正式设立紫晶存储事件先行赔付专项基金的公告[EB/OL]. 2023-05-27. http://static.cninfo.com.cn/finalpage/2023-05-27/1216920797.PDF</w:t>
      </w:r>
    </w:p>
    <w:p>
      <w:pPr>
        <w:spacing w:line="360" w:lineRule="auto" w:before="0" w:after="0"/>
        <w:ind w:firstLine="0"/>
      </w:pPr>
      <w:r>
        <w:rPr>
          <w:rFonts w:ascii="Times New Roman" w:hAnsi="Times New Roman" w:eastAsia="宋体"/>
          <w:b w:val="0"/>
          <w:sz w:val="24"/>
        </w:rPr>
        <w:t>[10] 中国注册会计师协会. 中国注册会计师审计准则第1141号--财务报表审计中与舞弊相关的责任[S].</w:t>
      </w:r>
    </w:p>
    <w:sectPr w:rsidR="00FC693F" w:rsidRPr="0006063C" w:rsidSect="00034616">
      <w:footerReference w:type="default" r:id="rId9"/>
      <w:pgSz w:w="11906" w:h="16838"/>
      <w:pgMar w:top="1440" w:right="1803" w:bottom="1440" w:left="1803" w:header="72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