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DD88" w14:textId="193D9CBC" w:rsidR="007F28D4" w:rsidRDefault="001C1D86" w:rsidP="001C1D86">
      <w:pPr>
        <w:pStyle w:val="Heading1"/>
      </w:pPr>
      <w:r>
        <w:t>Project Description</w:t>
      </w:r>
    </w:p>
    <w:p w14:paraId="6360B8F1" w14:textId="44BAA9D0" w:rsidR="00E635F2" w:rsidRDefault="001C1D86" w:rsidP="001C1D86">
      <w:r>
        <w:t>Each year the IRE Office need to report student, finance and HR data to t</w:t>
      </w:r>
      <w:r w:rsidRPr="001C1D86">
        <w:t>he Integrated Postsecondary Education Data System</w:t>
      </w:r>
      <w:r>
        <w:t xml:space="preserve"> (IPEDS), and IPEDS is </w:t>
      </w:r>
      <w:r w:rsidRPr="001C1D86">
        <w:t>a system of interrelated surveys conducted annually by the National Center for Education Statistics, a part of the Institute for Education Sciences within the United States Department of Education</w:t>
      </w:r>
      <w:r>
        <w:t>.</w:t>
      </w:r>
      <w:r w:rsidRPr="001C1D86">
        <w:t xml:space="preserve"> </w:t>
      </w:r>
      <w:r>
        <w:t xml:space="preserve">You can find </w:t>
      </w:r>
      <w:r w:rsidR="00E635F2">
        <w:t xml:space="preserve">a feedback report for UD </w:t>
      </w:r>
      <w:r w:rsidR="004827C9">
        <w:t>in academic year 2019-20</w:t>
      </w:r>
      <w:r w:rsidR="00E635F2">
        <w:t xml:space="preserve">, </w:t>
      </w:r>
      <w:hyperlink r:id="rId5" w:history="1">
        <w:r w:rsidR="00E635F2">
          <w:rPr>
            <w:rStyle w:val="Hyperlink"/>
          </w:rPr>
          <w:t>DFR Report HTML (ed.gov)</w:t>
        </w:r>
      </w:hyperlink>
      <w:r w:rsidR="00E635F2">
        <w:t xml:space="preserve">. In this project, </w:t>
      </w:r>
      <w:r w:rsidR="003F30C1">
        <w:t>please</w:t>
      </w:r>
      <w:r w:rsidR="00E635F2">
        <w:t xml:space="preserve"> </w:t>
      </w:r>
      <w:r w:rsidR="003F30C1">
        <w:t xml:space="preserve">collect reported data </w:t>
      </w:r>
      <w:r w:rsidR="004827C9">
        <w:t>on</w:t>
      </w:r>
      <w:r w:rsidR="003F30C1">
        <w:t xml:space="preserve"> tuition and required fees from UD and the 30 institutions in UD’s comparison group</w:t>
      </w:r>
      <w:r w:rsidR="00D73988">
        <w:t xml:space="preserve"> and perform data analysis</w:t>
      </w:r>
      <w:r w:rsidR="003F30C1">
        <w:t>.</w:t>
      </w:r>
      <w:r w:rsidR="00167119">
        <w:t xml:space="preserve"> </w:t>
      </w:r>
      <w:r w:rsidR="00167119" w:rsidRPr="00167119">
        <w:t xml:space="preserve">The Unit IDs of UD and the 30 institutions in UD’s comparison group are listed </w:t>
      </w:r>
      <w:r w:rsidR="00167119">
        <w:t>at the bottom of this document</w:t>
      </w:r>
      <w:r w:rsidR="00167119" w:rsidRPr="00167119">
        <w:t>.</w:t>
      </w:r>
      <w:r w:rsidR="00D73988">
        <w:t xml:space="preserve"> </w:t>
      </w:r>
      <w:r w:rsidR="00D73988">
        <w:t>Please contact us if you have any question about the steps and the instruction below.</w:t>
      </w:r>
    </w:p>
    <w:p w14:paraId="12AD5F4D" w14:textId="460D5E6A" w:rsidR="003F30C1" w:rsidRDefault="003F30C1" w:rsidP="001C1D86">
      <w:pPr>
        <w:rPr>
          <w:rFonts w:hint="eastAsia"/>
        </w:rPr>
      </w:pPr>
      <w:r>
        <w:t>Steps:</w:t>
      </w:r>
    </w:p>
    <w:p w14:paraId="07E27525" w14:textId="48116199" w:rsidR="003F30C1" w:rsidRDefault="008C236E" w:rsidP="00E635F2">
      <w:pPr>
        <w:pStyle w:val="ListParagraph"/>
        <w:numPr>
          <w:ilvl w:val="0"/>
          <w:numId w:val="1"/>
        </w:numPr>
      </w:pPr>
      <w:r>
        <w:t>Collect data from IPEDS and p</w:t>
      </w:r>
      <w:r w:rsidR="003F30C1">
        <w:t xml:space="preserve">repare a dataset on tuition and required fees (more instruction </w:t>
      </w:r>
      <w:r>
        <w:t xml:space="preserve">on data collection </w:t>
      </w:r>
      <w:r w:rsidR="003F30C1">
        <w:t>later).</w:t>
      </w:r>
    </w:p>
    <w:p w14:paraId="73DA2BB3" w14:textId="5569477F" w:rsidR="00E635F2" w:rsidRDefault="003F30C1" w:rsidP="00E635F2">
      <w:pPr>
        <w:pStyle w:val="ListParagraph"/>
        <w:numPr>
          <w:ilvl w:val="0"/>
          <w:numId w:val="1"/>
        </w:numPr>
      </w:pPr>
      <w:r>
        <w:t>R</w:t>
      </w:r>
      <w:r w:rsidR="00E635F2">
        <w:t>eplicate Figure 7 in the feedback report</w:t>
      </w:r>
      <w:r w:rsidR="004827C9">
        <w:t xml:space="preserve"> for UD in academic year 2019-20</w:t>
      </w:r>
      <w:r w:rsidR="00D73988">
        <w:t xml:space="preserve"> (</w:t>
      </w:r>
      <w:hyperlink r:id="rId6" w:history="1">
        <w:r w:rsidR="00D73988">
          <w:rPr>
            <w:rStyle w:val="Hyperlink"/>
          </w:rPr>
          <w:t>DFR Report HTML (ed.gov)</w:t>
        </w:r>
      </w:hyperlink>
      <w:r w:rsidR="00D73988">
        <w:t>)</w:t>
      </w:r>
      <w:r>
        <w:t>.</w:t>
      </w:r>
      <w:r w:rsidR="00614F33">
        <w:t xml:space="preserve"> </w:t>
      </w:r>
      <w:r w:rsidR="00614F33">
        <w:rPr>
          <w:rFonts w:hint="eastAsia"/>
        </w:rPr>
        <w:t>You</w:t>
      </w:r>
      <w:r w:rsidR="00614F33">
        <w:t xml:space="preserve"> do not need to replicate the exact format.</w:t>
      </w:r>
      <w:r>
        <w:t xml:space="preserve"> How would you interpret the figure?</w:t>
      </w:r>
    </w:p>
    <w:p w14:paraId="0B6D9CBF" w14:textId="71F0739F" w:rsidR="00E635F2" w:rsidRDefault="003F30C1" w:rsidP="00E635F2">
      <w:pPr>
        <w:pStyle w:val="ListParagraph"/>
        <w:numPr>
          <w:ilvl w:val="0"/>
          <w:numId w:val="1"/>
        </w:numPr>
      </w:pPr>
      <w:r>
        <w:t>Summarize</w:t>
      </w:r>
      <w:r w:rsidR="002F53A5">
        <w:t xml:space="preserve"> the </w:t>
      </w:r>
      <w:r>
        <w:t>data</w:t>
      </w:r>
      <w:r w:rsidR="002F53A5">
        <w:t xml:space="preserve"> in different type</w:t>
      </w:r>
      <w:r w:rsidR="00D73988">
        <w:t>(</w:t>
      </w:r>
      <w:r w:rsidR="002F53A5">
        <w:t>s</w:t>
      </w:r>
      <w:r w:rsidR="00D73988">
        <w:t>)</w:t>
      </w:r>
      <w:r w:rsidR="002F53A5">
        <w:t xml:space="preserve"> of visualization</w:t>
      </w:r>
      <w:r>
        <w:t>. How would you interpret the figure(s)?</w:t>
      </w:r>
    </w:p>
    <w:p w14:paraId="48C11B6E" w14:textId="57294824" w:rsidR="002F53A5" w:rsidRDefault="003F30C1" w:rsidP="00E635F2">
      <w:pPr>
        <w:pStyle w:val="ListParagraph"/>
        <w:numPr>
          <w:ilvl w:val="0"/>
          <w:numId w:val="1"/>
        </w:numPr>
      </w:pPr>
      <w:r>
        <w:t>Predict</w:t>
      </w:r>
      <w:r w:rsidR="002F53A5">
        <w:t xml:space="preserve"> tuition and required fees at UD in academic year 2020-21</w:t>
      </w:r>
      <w:r w:rsidR="00167119">
        <w:t>.</w:t>
      </w:r>
      <w:r w:rsidR="002F53A5">
        <w:t xml:space="preserve"> Do you think the result will be accurate? Why?</w:t>
      </w:r>
    </w:p>
    <w:p w14:paraId="677B3BF0" w14:textId="73A311D0" w:rsidR="002F53A5" w:rsidRDefault="002F53A5" w:rsidP="00E635F2">
      <w:pPr>
        <w:pStyle w:val="ListParagraph"/>
        <w:numPr>
          <w:ilvl w:val="0"/>
          <w:numId w:val="1"/>
        </w:numPr>
      </w:pPr>
      <w:r>
        <w:t xml:space="preserve">Present your process/results on data collection, data visualization and prediction. The presentation will be 45 minutes following </w:t>
      </w:r>
      <w:r w:rsidR="00ED3BED">
        <w:t>with</w:t>
      </w:r>
      <w:r>
        <w:t xml:space="preserve"> a 15-minute Q&amp;A</w:t>
      </w:r>
      <w:r w:rsidR="00167119">
        <w:t xml:space="preserve"> session</w:t>
      </w:r>
      <w:r>
        <w:t>.</w:t>
      </w:r>
    </w:p>
    <w:p w14:paraId="7A9ADEB0" w14:textId="156AB6E9" w:rsidR="00E635F2" w:rsidRDefault="00E635F2" w:rsidP="00E635F2"/>
    <w:p w14:paraId="39F7C051" w14:textId="5F23EFD6" w:rsidR="002F53A5" w:rsidRDefault="00CD6181" w:rsidP="00E635F2">
      <w:r>
        <w:t>Here is one of the multiple ways to collect data from IPEDS</w:t>
      </w:r>
      <w:r w:rsidR="008C236E">
        <w:t xml:space="preserve">. </w:t>
      </w:r>
    </w:p>
    <w:p w14:paraId="770E15CE" w14:textId="652090CF" w:rsidR="002F53A5" w:rsidRDefault="00167119" w:rsidP="002F53A5">
      <w:pPr>
        <w:pStyle w:val="ListParagraph"/>
        <w:numPr>
          <w:ilvl w:val="0"/>
          <w:numId w:val="2"/>
        </w:numPr>
      </w:pPr>
      <w:r>
        <w:t xml:space="preserve">Visit </w:t>
      </w:r>
      <w:hyperlink r:id="rId7" w:history="1">
        <w:r>
          <w:rPr>
            <w:rStyle w:val="Hyperlink"/>
          </w:rPr>
          <w:t>The Integrated Postsecondary Education Data System</w:t>
        </w:r>
      </w:hyperlink>
    </w:p>
    <w:p w14:paraId="2D6048AA" w14:textId="15226D3D" w:rsidR="00167119" w:rsidRDefault="00524530" w:rsidP="002F53A5">
      <w:pPr>
        <w:pStyle w:val="ListParagraph"/>
        <w:numPr>
          <w:ilvl w:val="0"/>
          <w:numId w:val="2"/>
        </w:numPr>
      </w:pPr>
      <w:r>
        <w:t xml:space="preserve">Click “Select download option” under </w:t>
      </w:r>
      <w:r w:rsidR="00CD6181">
        <w:t>“</w:t>
      </w:r>
      <w:r>
        <w:t>Survey data</w:t>
      </w:r>
      <w:r w:rsidR="00CD6181">
        <w:t>”</w:t>
      </w:r>
    </w:p>
    <w:p w14:paraId="34D9E2E6" w14:textId="1EB3AB9D" w:rsidR="00524530" w:rsidRDefault="00CD6181" w:rsidP="002F53A5">
      <w:pPr>
        <w:pStyle w:val="ListParagraph"/>
        <w:numPr>
          <w:ilvl w:val="0"/>
          <w:numId w:val="2"/>
        </w:numPr>
      </w:pPr>
      <w:r>
        <w:t>Click</w:t>
      </w:r>
      <w:r w:rsidR="00524530">
        <w:t xml:space="preserve"> “2019-20 Access” under “</w:t>
      </w:r>
      <w:r w:rsidR="00524530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Download an IPEDS Access Database</w:t>
      </w:r>
      <w:r w:rsidR="00524530">
        <w:t>”</w:t>
      </w:r>
    </w:p>
    <w:p w14:paraId="5DE20881" w14:textId="6D00FB62" w:rsidR="00CD6181" w:rsidRDefault="00CD6181" w:rsidP="002F53A5">
      <w:pPr>
        <w:pStyle w:val="ListParagraph"/>
        <w:numPr>
          <w:ilvl w:val="0"/>
          <w:numId w:val="2"/>
        </w:numPr>
      </w:pPr>
      <w:r>
        <w:t>Similarly, download earlier years’ data by clicking “2018-19 Access”, “2017-18 Access” and “2016-17 Access”</w:t>
      </w:r>
    </w:p>
    <w:p w14:paraId="13B41E32" w14:textId="7CEB275F" w:rsidR="00623B97" w:rsidRDefault="00CD6181" w:rsidP="002F53A5">
      <w:pPr>
        <w:pStyle w:val="ListParagraph"/>
        <w:numPr>
          <w:ilvl w:val="0"/>
          <w:numId w:val="2"/>
        </w:numPr>
      </w:pPr>
      <w:r>
        <w:t>Unzip the downloaded</w:t>
      </w:r>
      <w:r w:rsidR="004827C9">
        <w:t xml:space="preserve"> Zip</w:t>
      </w:r>
      <w:r>
        <w:t xml:space="preserve"> files, you should see three files</w:t>
      </w:r>
      <w:r w:rsidR="008C236E">
        <w:t xml:space="preserve"> in each </w:t>
      </w:r>
      <w:r w:rsidR="004827C9">
        <w:t>Z</w:t>
      </w:r>
      <w:r w:rsidR="008C236E">
        <w:t>ip file</w:t>
      </w:r>
      <w:r>
        <w:t xml:space="preserve">, a </w:t>
      </w:r>
      <w:r w:rsidR="004827C9">
        <w:t xml:space="preserve">Microsoft </w:t>
      </w:r>
      <w:r>
        <w:t xml:space="preserve">Access file with all the data tables, </w:t>
      </w:r>
      <w:r w:rsidR="00623B97">
        <w:t xml:space="preserve">a </w:t>
      </w:r>
      <w:r w:rsidR="004827C9">
        <w:t xml:space="preserve">Microsoft </w:t>
      </w:r>
      <w:r w:rsidR="00623B97">
        <w:t xml:space="preserve">Excel file as data dictionary and a </w:t>
      </w:r>
      <w:r w:rsidR="004827C9">
        <w:t xml:space="preserve">Microsoft </w:t>
      </w:r>
      <w:r w:rsidR="00623B97">
        <w:t>Word file for general instruction.</w:t>
      </w:r>
    </w:p>
    <w:p w14:paraId="59B8D13E" w14:textId="5D3D7BE9" w:rsidR="00CD6181" w:rsidRDefault="00623B97" w:rsidP="002F53A5">
      <w:pPr>
        <w:pStyle w:val="ListParagraph"/>
        <w:numPr>
          <w:ilvl w:val="0"/>
          <w:numId w:val="2"/>
        </w:numPr>
      </w:pPr>
      <w:r>
        <w:t>In order to select the proper tables and use proper fields in the Access files, please read the Word file</w:t>
      </w:r>
      <w:r w:rsidR="00ED3BED">
        <w:t>s</w:t>
      </w:r>
      <w:r>
        <w:t xml:space="preserve"> and Excel file</w:t>
      </w:r>
      <w:r w:rsidR="00ED3BED">
        <w:t>s</w:t>
      </w:r>
      <w:r>
        <w:t xml:space="preserve"> at first.</w:t>
      </w:r>
    </w:p>
    <w:p w14:paraId="1AC7774F" w14:textId="7D0F0D07" w:rsidR="009E22FA" w:rsidRDefault="009E22FA" w:rsidP="002F53A5">
      <w:pPr>
        <w:pStyle w:val="ListParagraph"/>
        <w:numPr>
          <w:ilvl w:val="0"/>
          <w:numId w:val="2"/>
        </w:numPr>
      </w:pPr>
      <w:r>
        <w:t xml:space="preserve">Collect data on </w:t>
      </w:r>
      <w:r>
        <w:t>tuition and required fees</w:t>
      </w:r>
      <w:r>
        <w:t xml:space="preserve"> of the 31 institutions</w:t>
      </w:r>
    </w:p>
    <w:p w14:paraId="0D723784" w14:textId="02526A52" w:rsidR="00E635F2" w:rsidRDefault="00595FCD" w:rsidP="00E635F2">
      <w:r>
        <w:t>H</w:t>
      </w:r>
      <w:r w:rsidR="00623B97">
        <w:t xml:space="preserve">ere is a manual </w:t>
      </w:r>
      <w:r w:rsidR="009E22FA">
        <w:t xml:space="preserve">(not recommended) </w:t>
      </w:r>
      <w:r w:rsidR="00623B97">
        <w:t>way to collect data</w:t>
      </w:r>
      <w:r w:rsidR="00ED3BED">
        <w:t xml:space="preserve"> from IPEDS</w:t>
      </w:r>
      <w:r w:rsidR="00623B97">
        <w:t>. You can review the “</w:t>
      </w:r>
      <w:hyperlink r:id="rId8" w:history="1">
        <w:r w:rsidR="00623B97">
          <w:rPr>
            <w:rStyle w:val="Hyperlink"/>
            <w:rFonts w:ascii="Arial" w:hAnsi="Arial" w:cs="Arial"/>
            <w:color w:val="617E43"/>
            <w:shd w:val="clear" w:color="auto" w:fill="FFFFFF"/>
          </w:rPr>
          <w:t>Data Feedback Report</w:t>
        </w:r>
      </w:hyperlink>
      <w:r w:rsidR="00623B97">
        <w:t xml:space="preserve">” </w:t>
      </w:r>
      <w:r w:rsidR="00ED3BED">
        <w:t xml:space="preserve">to collect data from </w:t>
      </w:r>
      <w:r w:rsidR="00623B97">
        <w:t>the 31 institutions’ individually, or you can use “</w:t>
      </w:r>
      <w:hyperlink r:id="rId9" w:history="1">
        <w:r w:rsidR="00623B97">
          <w:rPr>
            <w:rStyle w:val="Hyperlink"/>
            <w:rFonts w:ascii="Arial" w:hAnsi="Arial" w:cs="Arial"/>
            <w:color w:val="617E43"/>
            <w:shd w:val="clear" w:color="auto" w:fill="FFFFFF"/>
          </w:rPr>
          <w:t>Look Up an Institution</w:t>
        </w:r>
      </w:hyperlink>
      <w:r w:rsidR="00623B97">
        <w:t xml:space="preserve">”. This option is not recommended because it is a more manual process than automatic. However, you can use the option </w:t>
      </w:r>
      <w:r w:rsidR="00ED3BED">
        <w:t>as a backup option or to validate your results.</w:t>
      </w:r>
      <w:r w:rsidR="00623B97">
        <w:t xml:space="preserve"> </w:t>
      </w:r>
    </w:p>
    <w:p w14:paraId="159B5456" w14:textId="4CBA0D5E" w:rsidR="00167119" w:rsidRDefault="00623B97" w:rsidP="00E635F2">
      <w:r>
        <w:t xml:space="preserve">In addition, </w:t>
      </w:r>
      <w:bookmarkStart w:id="0" w:name="_Hlk73688823"/>
      <w:r>
        <w:t>you can contact “</w:t>
      </w:r>
      <w:r>
        <w:rPr>
          <w:rFonts w:ascii="Arial" w:hAnsi="Arial" w:cs="Arial"/>
          <w:b/>
          <w:bCs/>
          <w:color w:val="617E43"/>
          <w:sz w:val="18"/>
          <w:szCs w:val="18"/>
          <w:shd w:val="clear" w:color="auto" w:fill="FFFFFF"/>
        </w:rPr>
        <w:t>IPEDS Data Use Help Desk (866) 558-0658 or </w:t>
      </w:r>
      <w:hyperlink r:id="rId10" w:history="1">
        <w:r>
          <w:rPr>
            <w:rStyle w:val="Hyperlink"/>
            <w:rFonts w:ascii="Arial" w:hAnsi="Arial" w:cs="Arial"/>
            <w:b/>
            <w:bCs/>
            <w:color w:val="617E43"/>
            <w:sz w:val="18"/>
            <w:szCs w:val="18"/>
          </w:rPr>
          <w:t>ipedstools@rti.org</w:t>
        </w:r>
      </w:hyperlink>
      <w:r>
        <w:rPr>
          <w:rFonts w:ascii="Arial" w:hAnsi="Arial" w:cs="Arial"/>
          <w:b/>
          <w:bCs/>
          <w:color w:val="617E43"/>
          <w:sz w:val="18"/>
          <w:szCs w:val="18"/>
          <w:u w:val="single"/>
          <w:shd w:val="clear" w:color="auto" w:fill="FFFFFF"/>
        </w:rPr>
        <w:t>”</w:t>
      </w:r>
      <w:r w:rsidR="008C236E">
        <w:t xml:space="preserve">, </w:t>
      </w:r>
      <w:bookmarkEnd w:id="0"/>
      <w:r w:rsidR="008C236E">
        <w:t>to get help for the data collection step.</w:t>
      </w:r>
      <w:r w:rsidR="009E22FA">
        <w:t xml:space="preserve"> We can also provide help if you stuck in any step.</w:t>
      </w:r>
    </w:p>
    <w:p w14:paraId="0CE668E0" w14:textId="77777777" w:rsidR="008C236E" w:rsidRDefault="008C236E" w:rsidP="00E635F2"/>
    <w:p w14:paraId="066E4B60" w14:textId="0CDFB2D4" w:rsidR="008C236E" w:rsidRDefault="008C236E" w:rsidP="00E635F2">
      <w:r>
        <w:lastRenderedPageBreak/>
        <w:t xml:space="preserve">Unit ID list for UD and </w:t>
      </w:r>
      <w:r w:rsidR="00595FCD">
        <w:t xml:space="preserve">30 </w:t>
      </w:r>
      <w:r>
        <w:t>institutions in the comparison 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7360"/>
      </w:tblGrid>
      <w:tr w:rsidR="00E635F2" w:rsidRPr="00E635F2" w14:paraId="5568D1D0" w14:textId="77777777" w:rsidTr="00E635F2">
        <w:trPr>
          <w:trHeight w:val="330"/>
        </w:trPr>
        <w:tc>
          <w:tcPr>
            <w:tcW w:w="960" w:type="dxa"/>
            <w:hideMark/>
          </w:tcPr>
          <w:p w14:paraId="143A4D06" w14:textId="77777777" w:rsidR="00E635F2" w:rsidRPr="00E635F2" w:rsidRDefault="00E635F2">
            <w:r w:rsidRPr="00E635F2">
              <w:t>UNITID</w:t>
            </w:r>
          </w:p>
        </w:tc>
        <w:tc>
          <w:tcPr>
            <w:tcW w:w="7360" w:type="dxa"/>
            <w:hideMark/>
          </w:tcPr>
          <w:p w14:paraId="1BA99FEC" w14:textId="77777777" w:rsidR="00E635F2" w:rsidRPr="00E635F2" w:rsidRDefault="00E635F2">
            <w:r w:rsidRPr="00E635F2">
              <w:t>INSTNM</w:t>
            </w:r>
          </w:p>
        </w:tc>
      </w:tr>
      <w:tr w:rsidR="00020213" w:rsidRPr="00E635F2" w14:paraId="6A87322E" w14:textId="77777777" w:rsidTr="00E635F2">
        <w:trPr>
          <w:trHeight w:val="330"/>
        </w:trPr>
        <w:tc>
          <w:tcPr>
            <w:tcW w:w="960" w:type="dxa"/>
          </w:tcPr>
          <w:p w14:paraId="5C22412A" w14:textId="6C6B631A" w:rsidR="00020213" w:rsidRPr="00E635F2" w:rsidRDefault="00020213">
            <w:r w:rsidRPr="00020213">
              <w:t>130943</w:t>
            </w:r>
          </w:p>
        </w:tc>
        <w:tc>
          <w:tcPr>
            <w:tcW w:w="7360" w:type="dxa"/>
          </w:tcPr>
          <w:p w14:paraId="292AD056" w14:textId="7DB11733" w:rsidR="00020213" w:rsidRPr="00E635F2" w:rsidRDefault="00020213">
            <w:r w:rsidRPr="00020213">
              <w:t>University of Delaware</w:t>
            </w:r>
            <w:r>
              <w:t xml:space="preserve"> (Newark, DE)</w:t>
            </w:r>
          </w:p>
        </w:tc>
      </w:tr>
      <w:tr w:rsidR="00E635F2" w:rsidRPr="00E635F2" w14:paraId="6DFB8A2A" w14:textId="77777777" w:rsidTr="00E635F2">
        <w:trPr>
          <w:trHeight w:val="330"/>
        </w:trPr>
        <w:tc>
          <w:tcPr>
            <w:tcW w:w="960" w:type="dxa"/>
            <w:hideMark/>
          </w:tcPr>
          <w:p w14:paraId="3145F16E" w14:textId="77777777" w:rsidR="00E635F2" w:rsidRPr="00E635F2" w:rsidRDefault="00E635F2" w:rsidP="00E635F2">
            <w:r w:rsidRPr="00E635F2">
              <w:t>164988</w:t>
            </w:r>
          </w:p>
        </w:tc>
        <w:tc>
          <w:tcPr>
            <w:tcW w:w="7360" w:type="dxa"/>
            <w:hideMark/>
          </w:tcPr>
          <w:p w14:paraId="634BCCC5" w14:textId="77777777" w:rsidR="00E635F2" w:rsidRPr="00E635F2" w:rsidRDefault="00E635F2">
            <w:r w:rsidRPr="00E635F2">
              <w:t>Boston University (Boston, MA)</w:t>
            </w:r>
          </w:p>
        </w:tc>
      </w:tr>
      <w:tr w:rsidR="00E635F2" w:rsidRPr="00E635F2" w14:paraId="14F47C73" w14:textId="77777777" w:rsidTr="00E635F2">
        <w:trPr>
          <w:trHeight w:val="330"/>
        </w:trPr>
        <w:tc>
          <w:tcPr>
            <w:tcW w:w="960" w:type="dxa"/>
            <w:hideMark/>
          </w:tcPr>
          <w:p w14:paraId="65F05CF9" w14:textId="77777777" w:rsidR="00E635F2" w:rsidRPr="00E635F2" w:rsidRDefault="00E635F2" w:rsidP="00E635F2">
            <w:r w:rsidRPr="00E635F2">
              <w:t>211440</w:t>
            </w:r>
          </w:p>
        </w:tc>
        <w:tc>
          <w:tcPr>
            <w:tcW w:w="7360" w:type="dxa"/>
            <w:hideMark/>
          </w:tcPr>
          <w:p w14:paraId="512BB611" w14:textId="77777777" w:rsidR="00E635F2" w:rsidRPr="00E635F2" w:rsidRDefault="00E635F2">
            <w:r w:rsidRPr="00E635F2">
              <w:t>Carnegie Mellon University (Pittsburgh, PA)</w:t>
            </w:r>
          </w:p>
        </w:tc>
      </w:tr>
      <w:tr w:rsidR="00E635F2" w:rsidRPr="00E635F2" w14:paraId="78474B33" w14:textId="77777777" w:rsidTr="00E635F2">
        <w:trPr>
          <w:trHeight w:val="330"/>
        </w:trPr>
        <w:tc>
          <w:tcPr>
            <w:tcW w:w="960" w:type="dxa"/>
            <w:hideMark/>
          </w:tcPr>
          <w:p w14:paraId="02570C31" w14:textId="77777777" w:rsidR="00E635F2" w:rsidRPr="00E635F2" w:rsidRDefault="00E635F2" w:rsidP="00E635F2">
            <w:r w:rsidRPr="00E635F2">
              <w:t>201645</w:t>
            </w:r>
          </w:p>
        </w:tc>
        <w:tc>
          <w:tcPr>
            <w:tcW w:w="7360" w:type="dxa"/>
            <w:hideMark/>
          </w:tcPr>
          <w:p w14:paraId="607B610E" w14:textId="77777777" w:rsidR="00E635F2" w:rsidRPr="00E635F2" w:rsidRDefault="00E635F2">
            <w:r w:rsidRPr="00E635F2">
              <w:t>Case Western Reserve University (Cleveland, OH)</w:t>
            </w:r>
          </w:p>
        </w:tc>
      </w:tr>
      <w:tr w:rsidR="00E635F2" w:rsidRPr="00E635F2" w14:paraId="584F3957" w14:textId="77777777" w:rsidTr="00E635F2">
        <w:trPr>
          <w:trHeight w:val="330"/>
        </w:trPr>
        <w:tc>
          <w:tcPr>
            <w:tcW w:w="960" w:type="dxa"/>
            <w:hideMark/>
          </w:tcPr>
          <w:p w14:paraId="621CD0B2" w14:textId="77777777" w:rsidR="00E635F2" w:rsidRPr="00E635F2" w:rsidRDefault="00E635F2" w:rsidP="00E635F2">
            <w:r w:rsidRPr="00E635F2">
              <w:t>190415</w:t>
            </w:r>
          </w:p>
        </w:tc>
        <w:tc>
          <w:tcPr>
            <w:tcW w:w="7360" w:type="dxa"/>
            <w:hideMark/>
          </w:tcPr>
          <w:p w14:paraId="067F2F88" w14:textId="77777777" w:rsidR="00E635F2" w:rsidRPr="00E635F2" w:rsidRDefault="00E635F2">
            <w:r w:rsidRPr="00E635F2">
              <w:t>Cornell University (Ithaca, NY)</w:t>
            </w:r>
          </w:p>
        </w:tc>
      </w:tr>
      <w:tr w:rsidR="00E635F2" w:rsidRPr="00E635F2" w14:paraId="5E9C9268" w14:textId="77777777" w:rsidTr="00E635F2">
        <w:trPr>
          <w:trHeight w:val="330"/>
        </w:trPr>
        <w:tc>
          <w:tcPr>
            <w:tcW w:w="960" w:type="dxa"/>
            <w:hideMark/>
          </w:tcPr>
          <w:p w14:paraId="72579CA3" w14:textId="77777777" w:rsidR="00E635F2" w:rsidRPr="00E635F2" w:rsidRDefault="00E635F2" w:rsidP="00E635F2">
            <w:r w:rsidRPr="00E635F2">
              <w:t>131496</w:t>
            </w:r>
          </w:p>
        </w:tc>
        <w:tc>
          <w:tcPr>
            <w:tcW w:w="7360" w:type="dxa"/>
            <w:hideMark/>
          </w:tcPr>
          <w:p w14:paraId="262117D8" w14:textId="77777777" w:rsidR="00E635F2" w:rsidRPr="00E635F2" w:rsidRDefault="00E635F2">
            <w:r w:rsidRPr="00E635F2">
              <w:t>Georgetown University (Washington, DC)</w:t>
            </w:r>
          </w:p>
        </w:tc>
      </w:tr>
      <w:tr w:rsidR="00E635F2" w:rsidRPr="00E635F2" w14:paraId="78DB11B5" w14:textId="77777777" w:rsidTr="00E635F2">
        <w:trPr>
          <w:trHeight w:val="330"/>
        </w:trPr>
        <w:tc>
          <w:tcPr>
            <w:tcW w:w="960" w:type="dxa"/>
            <w:hideMark/>
          </w:tcPr>
          <w:p w14:paraId="37A990EC" w14:textId="77777777" w:rsidR="00E635F2" w:rsidRPr="00E635F2" w:rsidRDefault="00E635F2" w:rsidP="00E635F2">
            <w:r w:rsidRPr="00E635F2">
              <w:t>139755</w:t>
            </w:r>
          </w:p>
        </w:tc>
        <w:tc>
          <w:tcPr>
            <w:tcW w:w="7360" w:type="dxa"/>
            <w:hideMark/>
          </w:tcPr>
          <w:p w14:paraId="7F299236" w14:textId="77777777" w:rsidR="00E635F2" w:rsidRPr="00E635F2" w:rsidRDefault="00E635F2">
            <w:r w:rsidRPr="00E635F2">
              <w:t>Georgia Institute of Technology-Main Campus (Atlanta, GA)</w:t>
            </w:r>
          </w:p>
        </w:tc>
      </w:tr>
      <w:tr w:rsidR="00E635F2" w:rsidRPr="00E635F2" w14:paraId="57E278FA" w14:textId="77777777" w:rsidTr="00E635F2">
        <w:trPr>
          <w:trHeight w:val="330"/>
        </w:trPr>
        <w:tc>
          <w:tcPr>
            <w:tcW w:w="960" w:type="dxa"/>
            <w:hideMark/>
          </w:tcPr>
          <w:p w14:paraId="074342C5" w14:textId="77777777" w:rsidR="00E635F2" w:rsidRPr="00E635F2" w:rsidRDefault="00E635F2" w:rsidP="00E635F2">
            <w:r w:rsidRPr="00E635F2">
              <w:t>151351</w:t>
            </w:r>
          </w:p>
        </w:tc>
        <w:tc>
          <w:tcPr>
            <w:tcW w:w="7360" w:type="dxa"/>
            <w:hideMark/>
          </w:tcPr>
          <w:p w14:paraId="3A653657" w14:textId="77777777" w:rsidR="00E635F2" w:rsidRPr="00E635F2" w:rsidRDefault="00E635F2">
            <w:r w:rsidRPr="00E635F2">
              <w:t>Indiana University-Bloomington (Bloomington, IN)</w:t>
            </w:r>
          </w:p>
        </w:tc>
      </w:tr>
      <w:tr w:rsidR="00E635F2" w:rsidRPr="00E635F2" w14:paraId="17016BEB" w14:textId="77777777" w:rsidTr="00E635F2">
        <w:trPr>
          <w:trHeight w:val="330"/>
        </w:trPr>
        <w:tc>
          <w:tcPr>
            <w:tcW w:w="960" w:type="dxa"/>
            <w:hideMark/>
          </w:tcPr>
          <w:p w14:paraId="2647F2B4" w14:textId="77777777" w:rsidR="00E635F2" w:rsidRPr="00E635F2" w:rsidRDefault="00E635F2" w:rsidP="00E635F2">
            <w:r w:rsidRPr="00E635F2">
              <w:t>153603</w:t>
            </w:r>
          </w:p>
        </w:tc>
        <w:tc>
          <w:tcPr>
            <w:tcW w:w="7360" w:type="dxa"/>
            <w:hideMark/>
          </w:tcPr>
          <w:p w14:paraId="31369BBD" w14:textId="77777777" w:rsidR="00E635F2" w:rsidRPr="00E635F2" w:rsidRDefault="00E635F2">
            <w:r w:rsidRPr="00E635F2">
              <w:t>Iowa State University (Ames, IA)</w:t>
            </w:r>
          </w:p>
        </w:tc>
      </w:tr>
      <w:tr w:rsidR="00E635F2" w:rsidRPr="00E635F2" w14:paraId="0E2F7AEE" w14:textId="77777777" w:rsidTr="00E635F2">
        <w:trPr>
          <w:trHeight w:val="330"/>
        </w:trPr>
        <w:tc>
          <w:tcPr>
            <w:tcW w:w="960" w:type="dxa"/>
            <w:hideMark/>
          </w:tcPr>
          <w:p w14:paraId="2C95CA13" w14:textId="77777777" w:rsidR="00E635F2" w:rsidRPr="00E635F2" w:rsidRDefault="00E635F2" w:rsidP="00E635F2">
            <w:r w:rsidRPr="00E635F2">
              <w:t>171100</w:t>
            </w:r>
          </w:p>
        </w:tc>
        <w:tc>
          <w:tcPr>
            <w:tcW w:w="7360" w:type="dxa"/>
            <w:hideMark/>
          </w:tcPr>
          <w:p w14:paraId="0975FB1F" w14:textId="77777777" w:rsidR="00E635F2" w:rsidRPr="00E635F2" w:rsidRDefault="00E635F2">
            <w:r w:rsidRPr="00E635F2">
              <w:t>Michigan State University (East Lansing, MI)</w:t>
            </w:r>
          </w:p>
        </w:tc>
      </w:tr>
      <w:tr w:rsidR="00E635F2" w:rsidRPr="00E635F2" w14:paraId="47F3F79E" w14:textId="77777777" w:rsidTr="00E635F2">
        <w:trPr>
          <w:trHeight w:val="330"/>
        </w:trPr>
        <w:tc>
          <w:tcPr>
            <w:tcW w:w="960" w:type="dxa"/>
            <w:hideMark/>
          </w:tcPr>
          <w:p w14:paraId="4E8BA572" w14:textId="77777777" w:rsidR="00E635F2" w:rsidRPr="00E635F2" w:rsidRDefault="00E635F2" w:rsidP="00E635F2">
            <w:r w:rsidRPr="00E635F2">
              <w:t>199193</w:t>
            </w:r>
          </w:p>
        </w:tc>
        <w:tc>
          <w:tcPr>
            <w:tcW w:w="7360" w:type="dxa"/>
            <w:hideMark/>
          </w:tcPr>
          <w:p w14:paraId="5E56EDF7" w14:textId="77777777" w:rsidR="00E635F2" w:rsidRPr="00E635F2" w:rsidRDefault="00E635F2">
            <w:r w:rsidRPr="00E635F2">
              <w:t>North Carolina State University at Raleigh (Raleigh, NC)</w:t>
            </w:r>
          </w:p>
        </w:tc>
      </w:tr>
      <w:tr w:rsidR="00E635F2" w:rsidRPr="00E635F2" w14:paraId="17157F5E" w14:textId="77777777" w:rsidTr="00E635F2">
        <w:trPr>
          <w:trHeight w:val="330"/>
        </w:trPr>
        <w:tc>
          <w:tcPr>
            <w:tcW w:w="960" w:type="dxa"/>
            <w:hideMark/>
          </w:tcPr>
          <w:p w14:paraId="756F4EE6" w14:textId="77777777" w:rsidR="00E635F2" w:rsidRPr="00E635F2" w:rsidRDefault="00E635F2" w:rsidP="00E635F2">
            <w:r w:rsidRPr="00E635F2">
              <w:t>167358</w:t>
            </w:r>
          </w:p>
        </w:tc>
        <w:tc>
          <w:tcPr>
            <w:tcW w:w="7360" w:type="dxa"/>
            <w:hideMark/>
          </w:tcPr>
          <w:p w14:paraId="4A32B9FA" w14:textId="77777777" w:rsidR="00E635F2" w:rsidRPr="00E635F2" w:rsidRDefault="00E635F2">
            <w:r w:rsidRPr="00E635F2">
              <w:t>Northeastern University (Boston, MA)</w:t>
            </w:r>
          </w:p>
        </w:tc>
      </w:tr>
      <w:tr w:rsidR="00E635F2" w:rsidRPr="00E635F2" w14:paraId="1B458EDF" w14:textId="77777777" w:rsidTr="00E635F2">
        <w:trPr>
          <w:trHeight w:val="330"/>
        </w:trPr>
        <w:tc>
          <w:tcPr>
            <w:tcW w:w="960" w:type="dxa"/>
            <w:hideMark/>
          </w:tcPr>
          <w:p w14:paraId="2EC400EE" w14:textId="77777777" w:rsidR="00E635F2" w:rsidRPr="00E635F2" w:rsidRDefault="00E635F2" w:rsidP="00E635F2">
            <w:r w:rsidRPr="00E635F2">
              <w:t>147767</w:t>
            </w:r>
          </w:p>
        </w:tc>
        <w:tc>
          <w:tcPr>
            <w:tcW w:w="7360" w:type="dxa"/>
            <w:hideMark/>
          </w:tcPr>
          <w:p w14:paraId="306484C0" w14:textId="77777777" w:rsidR="00E635F2" w:rsidRPr="00E635F2" w:rsidRDefault="00E635F2">
            <w:r w:rsidRPr="00E635F2">
              <w:t>Northwestern University (Evanston, IL)</w:t>
            </w:r>
          </w:p>
        </w:tc>
      </w:tr>
      <w:tr w:rsidR="00E635F2" w:rsidRPr="00E635F2" w14:paraId="238458C7" w14:textId="77777777" w:rsidTr="00E635F2">
        <w:trPr>
          <w:trHeight w:val="330"/>
        </w:trPr>
        <w:tc>
          <w:tcPr>
            <w:tcW w:w="960" w:type="dxa"/>
            <w:hideMark/>
          </w:tcPr>
          <w:p w14:paraId="5686C1AC" w14:textId="77777777" w:rsidR="00E635F2" w:rsidRPr="00E635F2" w:rsidRDefault="00E635F2" w:rsidP="00E635F2">
            <w:r w:rsidRPr="00E635F2">
              <w:t>204796</w:t>
            </w:r>
          </w:p>
        </w:tc>
        <w:tc>
          <w:tcPr>
            <w:tcW w:w="7360" w:type="dxa"/>
            <w:hideMark/>
          </w:tcPr>
          <w:p w14:paraId="0AC0DA53" w14:textId="77777777" w:rsidR="00E635F2" w:rsidRPr="00E635F2" w:rsidRDefault="00E635F2">
            <w:r w:rsidRPr="00E635F2">
              <w:t>Ohio State University-Main Campus (Columbus, OH)</w:t>
            </w:r>
          </w:p>
        </w:tc>
      </w:tr>
      <w:tr w:rsidR="00E635F2" w:rsidRPr="00E635F2" w14:paraId="14E0D844" w14:textId="77777777" w:rsidTr="00E635F2">
        <w:trPr>
          <w:trHeight w:val="330"/>
        </w:trPr>
        <w:tc>
          <w:tcPr>
            <w:tcW w:w="960" w:type="dxa"/>
            <w:hideMark/>
          </w:tcPr>
          <w:p w14:paraId="274E8DBB" w14:textId="77777777" w:rsidR="00E635F2" w:rsidRPr="00E635F2" w:rsidRDefault="00E635F2" w:rsidP="00E635F2">
            <w:r w:rsidRPr="00E635F2">
              <w:t>214777</w:t>
            </w:r>
          </w:p>
        </w:tc>
        <w:tc>
          <w:tcPr>
            <w:tcW w:w="7360" w:type="dxa"/>
            <w:hideMark/>
          </w:tcPr>
          <w:p w14:paraId="0BA004B2" w14:textId="77777777" w:rsidR="00E635F2" w:rsidRPr="00E635F2" w:rsidRDefault="00E635F2">
            <w:r w:rsidRPr="00E635F2">
              <w:t>Pennsylvania State University-Main Campus (University Park, PA)</w:t>
            </w:r>
          </w:p>
        </w:tc>
      </w:tr>
      <w:tr w:rsidR="00E635F2" w:rsidRPr="00E635F2" w14:paraId="235EBB75" w14:textId="77777777" w:rsidTr="00E635F2">
        <w:trPr>
          <w:trHeight w:val="330"/>
        </w:trPr>
        <w:tc>
          <w:tcPr>
            <w:tcW w:w="960" w:type="dxa"/>
            <w:hideMark/>
          </w:tcPr>
          <w:p w14:paraId="10D553A4" w14:textId="77777777" w:rsidR="00E635F2" w:rsidRPr="00E635F2" w:rsidRDefault="00E635F2" w:rsidP="00E635F2">
            <w:r w:rsidRPr="00E635F2">
              <w:t>243780</w:t>
            </w:r>
          </w:p>
        </w:tc>
        <w:tc>
          <w:tcPr>
            <w:tcW w:w="7360" w:type="dxa"/>
            <w:hideMark/>
          </w:tcPr>
          <w:p w14:paraId="62F67120" w14:textId="77777777" w:rsidR="00E635F2" w:rsidRPr="00E635F2" w:rsidRDefault="00E635F2">
            <w:r w:rsidRPr="00E635F2">
              <w:t>Purdue University-Main Campus (West Lafayette, IN)</w:t>
            </w:r>
          </w:p>
        </w:tc>
      </w:tr>
      <w:tr w:rsidR="00E635F2" w:rsidRPr="00E635F2" w14:paraId="3A4E4842" w14:textId="77777777" w:rsidTr="00E635F2">
        <w:trPr>
          <w:trHeight w:val="330"/>
        </w:trPr>
        <w:tc>
          <w:tcPr>
            <w:tcW w:w="960" w:type="dxa"/>
            <w:hideMark/>
          </w:tcPr>
          <w:p w14:paraId="044A4163" w14:textId="77777777" w:rsidR="00E635F2" w:rsidRPr="00E635F2" w:rsidRDefault="00E635F2" w:rsidP="00E635F2">
            <w:r w:rsidRPr="00E635F2">
              <w:t>186380</w:t>
            </w:r>
          </w:p>
        </w:tc>
        <w:tc>
          <w:tcPr>
            <w:tcW w:w="7360" w:type="dxa"/>
            <w:hideMark/>
          </w:tcPr>
          <w:p w14:paraId="2FBB2A30" w14:textId="77777777" w:rsidR="00E635F2" w:rsidRPr="00E635F2" w:rsidRDefault="00E635F2">
            <w:r w:rsidRPr="00E635F2">
              <w:t>Rutgers University-New Brunswick (New Brunswick, NJ)</w:t>
            </w:r>
          </w:p>
        </w:tc>
      </w:tr>
      <w:tr w:rsidR="00E635F2" w:rsidRPr="00E635F2" w14:paraId="4EA03867" w14:textId="77777777" w:rsidTr="00E635F2">
        <w:trPr>
          <w:trHeight w:val="330"/>
        </w:trPr>
        <w:tc>
          <w:tcPr>
            <w:tcW w:w="960" w:type="dxa"/>
            <w:hideMark/>
          </w:tcPr>
          <w:p w14:paraId="6836D721" w14:textId="77777777" w:rsidR="00E635F2" w:rsidRPr="00E635F2" w:rsidRDefault="00E635F2" w:rsidP="00E635F2">
            <w:r w:rsidRPr="00E635F2">
              <w:t>196097</w:t>
            </w:r>
          </w:p>
        </w:tc>
        <w:tc>
          <w:tcPr>
            <w:tcW w:w="7360" w:type="dxa"/>
            <w:hideMark/>
          </w:tcPr>
          <w:p w14:paraId="1AE7EDF3" w14:textId="77777777" w:rsidR="00E635F2" w:rsidRPr="00E635F2" w:rsidRDefault="00E635F2">
            <w:r w:rsidRPr="00E635F2">
              <w:t>Stony Brook University (Stony Brook, NY)</w:t>
            </w:r>
          </w:p>
        </w:tc>
      </w:tr>
      <w:tr w:rsidR="00E635F2" w:rsidRPr="00E635F2" w14:paraId="7FB6F9E7" w14:textId="77777777" w:rsidTr="00E635F2">
        <w:trPr>
          <w:trHeight w:val="330"/>
        </w:trPr>
        <w:tc>
          <w:tcPr>
            <w:tcW w:w="960" w:type="dxa"/>
            <w:hideMark/>
          </w:tcPr>
          <w:p w14:paraId="73A098F0" w14:textId="77777777" w:rsidR="00E635F2" w:rsidRPr="00E635F2" w:rsidRDefault="00E635F2" w:rsidP="00E635F2">
            <w:r w:rsidRPr="00E635F2">
              <w:t>228723</w:t>
            </w:r>
          </w:p>
        </w:tc>
        <w:tc>
          <w:tcPr>
            <w:tcW w:w="7360" w:type="dxa"/>
            <w:hideMark/>
          </w:tcPr>
          <w:p w14:paraId="73182100" w14:textId="77777777" w:rsidR="00E635F2" w:rsidRPr="00E635F2" w:rsidRDefault="00E635F2">
            <w:r w:rsidRPr="00E635F2">
              <w:t>Texas A &amp; M University-College Station (College Station, TX)</w:t>
            </w:r>
          </w:p>
        </w:tc>
      </w:tr>
      <w:tr w:rsidR="00E635F2" w:rsidRPr="00E635F2" w14:paraId="49984E75" w14:textId="77777777" w:rsidTr="00E635F2">
        <w:trPr>
          <w:trHeight w:val="330"/>
        </w:trPr>
        <w:tc>
          <w:tcPr>
            <w:tcW w:w="960" w:type="dxa"/>
            <w:hideMark/>
          </w:tcPr>
          <w:p w14:paraId="299E0B54" w14:textId="77777777" w:rsidR="00E635F2" w:rsidRPr="00E635F2" w:rsidRDefault="00E635F2" w:rsidP="00E635F2">
            <w:r w:rsidRPr="00E635F2">
              <w:t>104179</w:t>
            </w:r>
          </w:p>
        </w:tc>
        <w:tc>
          <w:tcPr>
            <w:tcW w:w="7360" w:type="dxa"/>
            <w:hideMark/>
          </w:tcPr>
          <w:p w14:paraId="2F256B76" w14:textId="77777777" w:rsidR="00E635F2" w:rsidRPr="00E635F2" w:rsidRDefault="00E635F2">
            <w:r w:rsidRPr="00E635F2">
              <w:t>University of Arizona (Tucson, AZ)</w:t>
            </w:r>
          </w:p>
        </w:tc>
      </w:tr>
      <w:tr w:rsidR="00E635F2" w:rsidRPr="00E635F2" w14:paraId="75E615CD" w14:textId="77777777" w:rsidTr="00E635F2">
        <w:trPr>
          <w:trHeight w:val="330"/>
        </w:trPr>
        <w:tc>
          <w:tcPr>
            <w:tcW w:w="960" w:type="dxa"/>
            <w:hideMark/>
          </w:tcPr>
          <w:p w14:paraId="7306A801" w14:textId="77777777" w:rsidR="00E635F2" w:rsidRPr="00E635F2" w:rsidRDefault="00E635F2" w:rsidP="00E635F2">
            <w:r w:rsidRPr="00E635F2">
              <w:t>129020</w:t>
            </w:r>
          </w:p>
        </w:tc>
        <w:tc>
          <w:tcPr>
            <w:tcW w:w="7360" w:type="dxa"/>
            <w:hideMark/>
          </w:tcPr>
          <w:p w14:paraId="616835D5" w14:textId="77777777" w:rsidR="00E635F2" w:rsidRPr="00E635F2" w:rsidRDefault="00E635F2">
            <w:r w:rsidRPr="00E635F2">
              <w:t>University of Connecticut (Storrs, CT)</w:t>
            </w:r>
          </w:p>
        </w:tc>
      </w:tr>
      <w:tr w:rsidR="00E635F2" w:rsidRPr="00E635F2" w14:paraId="46B6049C" w14:textId="77777777" w:rsidTr="00E635F2">
        <w:trPr>
          <w:trHeight w:val="330"/>
        </w:trPr>
        <w:tc>
          <w:tcPr>
            <w:tcW w:w="960" w:type="dxa"/>
            <w:hideMark/>
          </w:tcPr>
          <w:p w14:paraId="16DF491E" w14:textId="77777777" w:rsidR="00E635F2" w:rsidRPr="00E635F2" w:rsidRDefault="00E635F2" w:rsidP="00E635F2">
            <w:r w:rsidRPr="00E635F2">
              <w:t>145637</w:t>
            </w:r>
          </w:p>
        </w:tc>
        <w:tc>
          <w:tcPr>
            <w:tcW w:w="7360" w:type="dxa"/>
            <w:hideMark/>
          </w:tcPr>
          <w:p w14:paraId="0F04D041" w14:textId="77777777" w:rsidR="00E635F2" w:rsidRPr="00E635F2" w:rsidRDefault="00E635F2">
            <w:r w:rsidRPr="00E635F2">
              <w:t>University of Illinois at Urbana-Champaign (Champaign, IL)</w:t>
            </w:r>
          </w:p>
        </w:tc>
      </w:tr>
      <w:tr w:rsidR="00E635F2" w:rsidRPr="00E635F2" w14:paraId="7D8CF293" w14:textId="77777777" w:rsidTr="00E635F2">
        <w:trPr>
          <w:trHeight w:val="330"/>
        </w:trPr>
        <w:tc>
          <w:tcPr>
            <w:tcW w:w="960" w:type="dxa"/>
            <w:hideMark/>
          </w:tcPr>
          <w:p w14:paraId="4FDBBAF3" w14:textId="77777777" w:rsidR="00E635F2" w:rsidRPr="00E635F2" w:rsidRDefault="00E635F2" w:rsidP="00E635F2">
            <w:r w:rsidRPr="00E635F2">
              <w:t>163286</w:t>
            </w:r>
          </w:p>
        </w:tc>
        <w:tc>
          <w:tcPr>
            <w:tcW w:w="7360" w:type="dxa"/>
            <w:hideMark/>
          </w:tcPr>
          <w:p w14:paraId="3B9FD3CB" w14:textId="77777777" w:rsidR="00E635F2" w:rsidRPr="00E635F2" w:rsidRDefault="00E635F2">
            <w:r w:rsidRPr="00E635F2">
              <w:t>University of Maryland-College Park (College Park, MD)</w:t>
            </w:r>
          </w:p>
        </w:tc>
      </w:tr>
      <w:tr w:rsidR="00E635F2" w:rsidRPr="00E635F2" w14:paraId="7243DA7D" w14:textId="77777777" w:rsidTr="00E635F2">
        <w:trPr>
          <w:trHeight w:val="330"/>
        </w:trPr>
        <w:tc>
          <w:tcPr>
            <w:tcW w:w="960" w:type="dxa"/>
            <w:hideMark/>
          </w:tcPr>
          <w:p w14:paraId="2342FDD2" w14:textId="77777777" w:rsidR="00E635F2" w:rsidRPr="00E635F2" w:rsidRDefault="00E635F2" w:rsidP="00E635F2">
            <w:r w:rsidRPr="00E635F2">
              <w:t>166629</w:t>
            </w:r>
          </w:p>
        </w:tc>
        <w:tc>
          <w:tcPr>
            <w:tcW w:w="7360" w:type="dxa"/>
            <w:hideMark/>
          </w:tcPr>
          <w:p w14:paraId="5C10240C" w14:textId="77777777" w:rsidR="00E635F2" w:rsidRPr="00E635F2" w:rsidRDefault="00E635F2">
            <w:r w:rsidRPr="00E635F2">
              <w:t>University of Massachusetts-Amherst (Amherst, MA)</w:t>
            </w:r>
          </w:p>
        </w:tc>
      </w:tr>
      <w:tr w:rsidR="00E635F2" w:rsidRPr="00E635F2" w14:paraId="647E9DDB" w14:textId="77777777" w:rsidTr="00E635F2">
        <w:trPr>
          <w:trHeight w:val="330"/>
        </w:trPr>
        <w:tc>
          <w:tcPr>
            <w:tcW w:w="960" w:type="dxa"/>
            <w:hideMark/>
          </w:tcPr>
          <w:p w14:paraId="3021F076" w14:textId="77777777" w:rsidR="00E635F2" w:rsidRPr="00E635F2" w:rsidRDefault="00E635F2" w:rsidP="00E635F2">
            <w:r w:rsidRPr="00E635F2">
              <w:t>170976</w:t>
            </w:r>
          </w:p>
        </w:tc>
        <w:tc>
          <w:tcPr>
            <w:tcW w:w="7360" w:type="dxa"/>
            <w:hideMark/>
          </w:tcPr>
          <w:p w14:paraId="2112ACDF" w14:textId="77777777" w:rsidR="00E635F2" w:rsidRPr="00E635F2" w:rsidRDefault="00E635F2">
            <w:r w:rsidRPr="00E635F2">
              <w:t>University of Michigan-Ann Arbor (Ann Arbor, MI)</w:t>
            </w:r>
          </w:p>
        </w:tc>
      </w:tr>
      <w:tr w:rsidR="00E635F2" w:rsidRPr="00E635F2" w14:paraId="7AC9012A" w14:textId="77777777" w:rsidTr="00E635F2">
        <w:trPr>
          <w:trHeight w:val="330"/>
        </w:trPr>
        <w:tc>
          <w:tcPr>
            <w:tcW w:w="960" w:type="dxa"/>
            <w:hideMark/>
          </w:tcPr>
          <w:p w14:paraId="687AD943" w14:textId="77777777" w:rsidR="00E635F2" w:rsidRPr="00E635F2" w:rsidRDefault="00E635F2" w:rsidP="00E635F2">
            <w:r w:rsidRPr="00E635F2">
              <w:t>174066</w:t>
            </w:r>
          </w:p>
        </w:tc>
        <w:tc>
          <w:tcPr>
            <w:tcW w:w="7360" w:type="dxa"/>
            <w:hideMark/>
          </w:tcPr>
          <w:p w14:paraId="4BEDBF19" w14:textId="77777777" w:rsidR="00E635F2" w:rsidRPr="00E635F2" w:rsidRDefault="00E635F2">
            <w:r w:rsidRPr="00E635F2">
              <w:t>University of Minnesota-Twin Cities (Minneapolis, MN)</w:t>
            </w:r>
          </w:p>
        </w:tc>
      </w:tr>
      <w:tr w:rsidR="00E635F2" w:rsidRPr="00E635F2" w14:paraId="5B4C7567" w14:textId="77777777" w:rsidTr="00E635F2">
        <w:trPr>
          <w:trHeight w:val="330"/>
        </w:trPr>
        <w:tc>
          <w:tcPr>
            <w:tcW w:w="960" w:type="dxa"/>
            <w:hideMark/>
          </w:tcPr>
          <w:p w14:paraId="0C3E955B" w14:textId="77777777" w:rsidR="00E635F2" w:rsidRPr="00E635F2" w:rsidRDefault="00E635F2" w:rsidP="00E635F2">
            <w:r w:rsidRPr="00E635F2">
              <w:t>199120</w:t>
            </w:r>
          </w:p>
        </w:tc>
        <w:tc>
          <w:tcPr>
            <w:tcW w:w="7360" w:type="dxa"/>
            <w:hideMark/>
          </w:tcPr>
          <w:p w14:paraId="57F48984" w14:textId="77777777" w:rsidR="00E635F2" w:rsidRPr="00E635F2" w:rsidRDefault="00E635F2">
            <w:r w:rsidRPr="00E635F2">
              <w:t>University of North Carolina at Chapel Hill (Chapel Hill, NC)</w:t>
            </w:r>
          </w:p>
        </w:tc>
      </w:tr>
      <w:tr w:rsidR="00E635F2" w:rsidRPr="00E635F2" w14:paraId="0F6BED1C" w14:textId="77777777" w:rsidTr="00E635F2">
        <w:trPr>
          <w:trHeight w:val="330"/>
        </w:trPr>
        <w:tc>
          <w:tcPr>
            <w:tcW w:w="960" w:type="dxa"/>
            <w:hideMark/>
          </w:tcPr>
          <w:p w14:paraId="1F40D234" w14:textId="77777777" w:rsidR="00E635F2" w:rsidRPr="00E635F2" w:rsidRDefault="00E635F2" w:rsidP="00E635F2">
            <w:r w:rsidRPr="00E635F2">
              <w:t>215293</w:t>
            </w:r>
          </w:p>
        </w:tc>
        <w:tc>
          <w:tcPr>
            <w:tcW w:w="7360" w:type="dxa"/>
            <w:hideMark/>
          </w:tcPr>
          <w:p w14:paraId="14CCC9F1" w14:textId="77777777" w:rsidR="00E635F2" w:rsidRPr="00E635F2" w:rsidRDefault="00E635F2">
            <w:r w:rsidRPr="00E635F2">
              <w:t>University of Pittsburgh-Pittsburgh Campus (Pittsburgh, PA)</w:t>
            </w:r>
          </w:p>
        </w:tc>
      </w:tr>
      <w:tr w:rsidR="00E635F2" w:rsidRPr="00E635F2" w14:paraId="16136031" w14:textId="77777777" w:rsidTr="00E635F2">
        <w:trPr>
          <w:trHeight w:val="330"/>
        </w:trPr>
        <w:tc>
          <w:tcPr>
            <w:tcW w:w="960" w:type="dxa"/>
            <w:hideMark/>
          </w:tcPr>
          <w:p w14:paraId="3A73F462" w14:textId="77777777" w:rsidR="00E635F2" w:rsidRPr="00E635F2" w:rsidRDefault="00E635F2" w:rsidP="00E635F2">
            <w:r w:rsidRPr="00E635F2">
              <w:t>230764</w:t>
            </w:r>
          </w:p>
        </w:tc>
        <w:tc>
          <w:tcPr>
            <w:tcW w:w="7360" w:type="dxa"/>
            <w:hideMark/>
          </w:tcPr>
          <w:p w14:paraId="0D7329B3" w14:textId="77777777" w:rsidR="00E635F2" w:rsidRPr="00E635F2" w:rsidRDefault="00E635F2">
            <w:r w:rsidRPr="00E635F2">
              <w:t>University of Utah (Salt Lake City, UT)</w:t>
            </w:r>
          </w:p>
        </w:tc>
      </w:tr>
      <w:tr w:rsidR="00E635F2" w:rsidRPr="00E635F2" w14:paraId="25DACE81" w14:textId="77777777" w:rsidTr="00E635F2">
        <w:trPr>
          <w:trHeight w:val="330"/>
        </w:trPr>
        <w:tc>
          <w:tcPr>
            <w:tcW w:w="960" w:type="dxa"/>
            <w:hideMark/>
          </w:tcPr>
          <w:p w14:paraId="005DF911" w14:textId="77777777" w:rsidR="00E635F2" w:rsidRPr="00E635F2" w:rsidRDefault="00E635F2" w:rsidP="00E635F2">
            <w:r w:rsidRPr="00E635F2">
              <w:t>234076</w:t>
            </w:r>
          </w:p>
        </w:tc>
        <w:tc>
          <w:tcPr>
            <w:tcW w:w="7360" w:type="dxa"/>
            <w:hideMark/>
          </w:tcPr>
          <w:p w14:paraId="3028BCAC" w14:textId="77777777" w:rsidR="00E635F2" w:rsidRPr="00E635F2" w:rsidRDefault="00E635F2">
            <w:r w:rsidRPr="00E635F2">
              <w:t>University of Virginia-Main Campus (Charlottesville, VA)</w:t>
            </w:r>
          </w:p>
        </w:tc>
      </w:tr>
      <w:tr w:rsidR="00E635F2" w:rsidRPr="00E635F2" w14:paraId="5CA86B87" w14:textId="77777777" w:rsidTr="00E635F2">
        <w:trPr>
          <w:trHeight w:val="330"/>
        </w:trPr>
        <w:tc>
          <w:tcPr>
            <w:tcW w:w="960" w:type="dxa"/>
            <w:hideMark/>
          </w:tcPr>
          <w:p w14:paraId="5630FFAE" w14:textId="77777777" w:rsidR="00E635F2" w:rsidRPr="00E635F2" w:rsidRDefault="00E635F2" w:rsidP="00E635F2">
            <w:r w:rsidRPr="00E635F2">
              <w:t>233921</w:t>
            </w:r>
          </w:p>
        </w:tc>
        <w:tc>
          <w:tcPr>
            <w:tcW w:w="7360" w:type="dxa"/>
            <w:hideMark/>
          </w:tcPr>
          <w:p w14:paraId="30CDA7BB" w14:textId="77777777" w:rsidR="00E635F2" w:rsidRPr="00E635F2" w:rsidRDefault="00E635F2" w:rsidP="00E635F2">
            <w:r w:rsidRPr="00E635F2">
              <w:t>Virginia Polytechnic Institute and State University (Blacksburg, VA)</w:t>
            </w:r>
          </w:p>
        </w:tc>
      </w:tr>
    </w:tbl>
    <w:p w14:paraId="33A7BDCC" w14:textId="77777777" w:rsidR="00E635F2" w:rsidRPr="001C1D86" w:rsidRDefault="00E635F2" w:rsidP="00E635F2"/>
    <w:sectPr w:rsidR="00E635F2" w:rsidRPr="001C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C6B19"/>
    <w:multiLevelType w:val="hybridMultilevel"/>
    <w:tmpl w:val="DBB0B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F305A"/>
    <w:multiLevelType w:val="hybridMultilevel"/>
    <w:tmpl w:val="2A60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66"/>
    <w:rsid w:val="00020213"/>
    <w:rsid w:val="00167119"/>
    <w:rsid w:val="001C1D86"/>
    <w:rsid w:val="002F53A5"/>
    <w:rsid w:val="00356481"/>
    <w:rsid w:val="003F30C1"/>
    <w:rsid w:val="00433774"/>
    <w:rsid w:val="004827C9"/>
    <w:rsid w:val="00524530"/>
    <w:rsid w:val="00595FCD"/>
    <w:rsid w:val="00614F33"/>
    <w:rsid w:val="00623B97"/>
    <w:rsid w:val="008C236E"/>
    <w:rsid w:val="008D0366"/>
    <w:rsid w:val="009019D5"/>
    <w:rsid w:val="009C2888"/>
    <w:rsid w:val="009E22FA"/>
    <w:rsid w:val="00BE1DE2"/>
    <w:rsid w:val="00CD6181"/>
    <w:rsid w:val="00CE7099"/>
    <w:rsid w:val="00D73988"/>
    <w:rsid w:val="00E635F2"/>
    <w:rsid w:val="00ED3BED"/>
    <w:rsid w:val="00E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3A3A"/>
  <w15:chartTrackingRefBased/>
  <w15:docId w15:val="{5C1A644D-7B19-493B-8DA9-E70B61ED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635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35F2"/>
    <w:pPr>
      <w:ind w:left="720"/>
      <w:contextualSpacing/>
    </w:pPr>
  </w:style>
  <w:style w:type="table" w:styleId="TableGrid">
    <w:name w:val="Table Grid"/>
    <w:basedOn w:val="TableNormal"/>
    <w:uiPriority w:val="39"/>
    <w:rsid w:val="00E63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D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es.ed.gov/ipeds/datacenter/Default.aspx?gotoReportId=12&amp;fromIpeds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ces.ed.gov/ipeds/use-the-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es.ed.gov/ipeds/dfr/2020/ReportHTML.aspx?unitId=13094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ces.ed.gov/ipeds/dfr/2020/ReportHTML.aspx?unitId=130943" TargetMode="External"/><Relationship Id="rId10" Type="http://schemas.openxmlformats.org/officeDocument/2006/relationships/hyperlink" Target="mailto:ipedstools@rti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ces.ed.gov/ipeds/datacenter/Default.aspx?gotoReportId=6&amp;fromIpeds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Chuan</dc:creator>
  <cp:keywords/>
  <dc:description/>
  <cp:lastModifiedBy>Cai, Chuan</cp:lastModifiedBy>
  <cp:revision>3</cp:revision>
  <dcterms:created xsi:type="dcterms:W3CDTF">2021-06-04T12:27:00Z</dcterms:created>
  <dcterms:modified xsi:type="dcterms:W3CDTF">2021-06-04T12:49:00Z</dcterms:modified>
</cp:coreProperties>
</file>