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915" w:dyaOrig="2915">
          <v:rect xmlns:o="urn:schemas-microsoft-com:office:office" xmlns:v="urn:schemas-microsoft-com:vml" id="rectole0000000000" style="width:145.750000pt;height:14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240" w:after="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Dokumentation</w:t>
      </w:r>
    </w:p>
    <w:p>
      <w:pPr>
        <w:spacing w:before="240" w:after="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Virtual Archery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!!! Inoffizielle Vorabversion !!!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Dieser Stand der Dokumentation dient lediglich Vorab-Tests und hat keinen Anspruch auf Vollständigkeit. 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"/>
        </w:numPr>
        <w:spacing w:before="0" w:after="0" w:line="288"/>
        <w:ind w:right="0" w:left="357" w:hanging="357"/>
        <w:jc w:val="left"/>
        <w:rPr>
          <w:rFonts w:ascii="Calibri" w:hAnsi="Calibri" w:cs="Calibri" w:eastAsia="Calibri"/>
          <w:b/>
          <w:caps w:val="true"/>
          <w:color w:val="00000A"/>
          <w:spacing w:val="44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A"/>
          <w:spacing w:val="44"/>
          <w:position w:val="0"/>
          <w:sz w:val="44"/>
          <w:shd w:fill="auto" w:val="clear"/>
        </w:rPr>
        <w:t xml:space="preserve">Sicherheitshinweise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Bei der Benutzung des Bogens müssen folgende Sicherheitshinweise beachtet und unbedingt eingehalten werden! Sollten die Hinweise nicht eingehalten werden, besteht ein erhöhtes Sicherheitsrisiko mit Gefährdung der Gesundheit!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Der Akku muss nach Benutzung abgezogen werden, um ein Tiefentladen zu vermeiden!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Der Akku darf nicht tiefentladen oder zu hoch geladen werden! Dies kann zum Aufblähen des Akkus, dauerhafter Beschädigung und im schlimmsten Fall zu einer Explosion führen.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 Laden ist nur über den integrierten Mikro-USB Anschluss zulässig. Das Netzteil muss genau 5V und mindestens 2A bereitstellen.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Der Bogen kann während des Ladevorgangs weiterhin genutzt werden, wenn das Ladegerät mindestens 2A liefert.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Sollte ein kritischer Ladestand des Akkus erreicht werden, wird die Meldung: 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Voltage Low! Going to Sleep now!\n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über die Telnet-Verbindung übertragen und der Controller geht in den Schlaf-Modus. Gleichzeitig werden die IR-LEDs ausgeschaltet.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Der Dämpfer ist für einen Bogen mit maximal 14lbs Zugkraft dimensioniert! Stärkere Bögen können zum Defekt (Zerbersten mit Splittergefahr) des Bogens führen.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Der Dämpfer muss jederzeit durch Fett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geschmiert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sein! Bei zu geringer Schmierung ist die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ämpfwirkung nicht mehr gegeben, was zu Vibrationen, zu Verkanten des Dämpfers und dadurch zu einem Defekt des Bogens führen kann.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 äußere Rohr des Dämpfers muss vor und während jeder Benutzung auf korrekten Sitz und Halt überprüft werden! Das Rohr ist auf der Griff-Seite bündig mit der Aluminium-Klemmung ausgerichtet. Sollte es von dieser Position abweichen, muss die Klemmung überprüft und repariert werden.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Ein zu starkes Anziehen der Klemmung des Dämpfers kann das äußere Rohr verziehen, was zu hoher Reibung, zum Splittern/Bersten des Rohres und somit zum Defekt des Bogens führen kann.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"/>
        </w:numPr>
        <w:spacing w:before="0" w:after="0" w:line="288"/>
        <w:ind w:right="0" w:left="357" w:hanging="357"/>
        <w:jc w:val="left"/>
        <w:rPr>
          <w:rFonts w:ascii="Calibri" w:hAnsi="Calibri" w:cs="Calibri" w:eastAsia="Calibri"/>
          <w:b/>
          <w:caps w:val="true"/>
          <w:color w:val="00000A"/>
          <w:spacing w:val="44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A"/>
          <w:spacing w:val="44"/>
          <w:position w:val="0"/>
          <w:sz w:val="44"/>
          <w:shd w:fill="auto" w:val="clear"/>
        </w:rPr>
        <w:t xml:space="preserve">Telnet-/WLAN-Verbindung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Der Controller des Bogens stellt beim Betrieb einen Access-Point zur Verfügung. Wenn die Verbindung aufgebaut wurde, kann eine Telnet Session geöffnet werden. Folgende Daten werden dafür benötigt: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SSID: </w:t>
        <w:tab/>
        <w:tab/>
        <w:tab/>
        <w:t xml:space="preserve">Bogen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Passwort: </w:t>
        <w:tab/>
        <w:tab/>
        <w:t xml:space="preserve">bogenpasswort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 des Bogens:</w:t>
        <w:tab/>
        <w:tab/>
        <w:t xml:space="preserve">192.168.4.1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Telnet-Port:</w:t>
        <w:tab/>
        <w:tab/>
        <w:t xml:space="preserve">23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Tipp: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Auf Groß- und Kleinschreibung achten.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 kann sich zu einer Zeit nur ein einzelner Client mit dem Access-Point verbinden. Weitere Verbindungen werden abgelehnt.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auto"/>
          <w:spacing w:val="44"/>
          <w:position w:val="0"/>
          <w:sz w:val="44"/>
          <w:shd w:fill="auto" w:val="clear"/>
        </w:rPr>
      </w:pPr>
    </w:p>
    <w:p>
      <w:pPr>
        <w:keepNext w:val="true"/>
        <w:numPr>
          <w:ilvl w:val="0"/>
          <w:numId w:val="15"/>
        </w:numPr>
        <w:spacing w:before="0" w:after="0" w:line="288"/>
        <w:ind w:right="0" w:left="357" w:hanging="357"/>
        <w:jc w:val="left"/>
        <w:rPr>
          <w:rFonts w:ascii="Calibri" w:hAnsi="Calibri" w:cs="Calibri" w:eastAsia="Calibri"/>
          <w:b/>
          <w:caps w:val="true"/>
          <w:color w:val="00000A"/>
          <w:spacing w:val="44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A"/>
          <w:spacing w:val="44"/>
          <w:position w:val="0"/>
          <w:sz w:val="44"/>
          <w:shd w:fill="auto" w:val="clear"/>
        </w:rPr>
        <w:t xml:space="preserve">Befehle und Rückmeldungen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Über die Telnet-Verbindung lässt sich die Elektronik zu einem gewissen Grad konfigurieren bzw. deren Status abfragen.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7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Carriage Return und New Line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Alle Befehle, egal ob gesendet oder empfangen, werden mit einem New Line abgeschlossen: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Ein Carriage Return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\r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wird nicht benötigt bzw. abgefragt und sollte vermieden werden.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1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Volt: XXX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Nicht nötig!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Volt: X,XX\n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Alle 10 Sekunden wird die Akku-Spannung gemessen und über die Telnet-Verbindung gesendet. Sinkt die Spannung unter 3,5V wird die 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Voltage Low! Going to Sleep now!\n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über die Telnet-Verbindung ausgegeben und der Controller schaltet sich ab. Der Akku muss daraufhin geladen werden. Ein gleichzeitiger Betrieb des Bogens, während des Ladevorgangs, ist problemlos möglich.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1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enableDebug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deaktiviert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enableDebug\n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Debug enabled.\n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Durch Aktivierung von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enableDebug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werden alle Texte und Befehle über die zusätzliche Software-Serial Schnittstelle an den Pins 2 (RX) und 3 (TX) ausgegeben. Über einen USB2Serial Adapter (FTDI-Adapter) können diese Befehle über jedes serielle Terminal abgerufen werden. Die Aktivierung ist allerdings nur über das WLAN-Modul möglich.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9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disableDebug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disableDebug\n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Debug disabled.\n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Durch das Kommando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disableDebug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wird die Ausgabe über die Sofware-Serial Schnittstelle wieder deaktiviert.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7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enableShotDetection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enableShotDetection\n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ShotDetection enabled.\n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Durch Aktivierung von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enableShotDetection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wird die Routine zur Erkennung eines Schusses durchlaufen. Hierbei wird ermittelt, ob die Beschleunigung in Schuss-Richtung den bei setShotDetection eingestellten Wert überschreitet. Ist dies der Fall, wird die Stärke des Auszugs (0-1500) über das WLAN-Modul mit folgendem Befehl übertragen.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Shot XXXX\n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Abhängig vom erkannten Auszug, wird ein LED-Lauflicht in der entsprechenden Geschwindigkeit auf dem Dämpfer des Bogens aktiviert. Die Farbe des Lauflichts kann über den Befehl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shotColor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eingestellt werden.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7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disableShotDetection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deaktiviert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disableShotDetection\n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ShotDetection disabled.\n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Sollte das LED-Lauflicht und die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Meldung nicht gewünscht werden, kann sie über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disableShotDetection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deaktiviert werden.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5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setShotDetection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 Minimum: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setShotDetection 1\n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 Maximum: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setShotDetection 1000\n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New ShotDetection: XX\n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Durch Veränderung des setShotDetection Wertes kann eingestellt werden, bei welcher Wert-Änderung (Beschleunigung) ein Schuss erkannt wird.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Tipp: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Die Beschleunigung ist abhängig vom Auszug des Bogens. Umso größer der Auszug, desto größer die Wert-Änderung beim Schuss. Je nach Schütze (Kind oder Erwachsener) sollte dieser Wert bei Bedarf dynamisch angepasst werden.</w:t>
      </w:r>
    </w:p>
    <w:p>
      <w:pPr>
        <w:keepNext w:val="true"/>
        <w:numPr>
          <w:ilvl w:val="0"/>
          <w:numId w:val="75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enablePrintPixelData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deaktiviert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enablePrintPixelData\n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PrintPixelData enabled.\n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Diese Funktion eignet sich normalerweise nur zum Debugging bzw. der Kontrolle der Kamera. Auf Grund der hohen Datenmenge (es wird der Wert jedes einzelnen Pixels übertragen) ist ein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üssiger“ Betrieb des Bogens nicht möglich.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3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disablePrintPixelData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disablePrintPixelData\n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PrintPixelData disabled.\n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Durch Aufruf von disablePrintPixelData wird die Funktion wieder deaktiviert.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1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enableTotal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deaktiviert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enableTotal\n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PrintTotalData enabled.\n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Die Funktion enableTotal überträgt jede Wertänderung beim Auszug des Bogens in der Form: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Total: X\n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ist hierbei der aktuelle Gesamt-Wert im Bereich 0 bis 1500.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ist der letzte erkannte Delta-Wert zwischen zwei Messungen des Auszugs.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1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enableDelta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deaktiviert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enableDelta\n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PrintDeltaData enabled.\n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Die Funktion enable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Delta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überträgt jede Wertänderung beim Auszug des Bogens in der Form: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Delta: X\n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ist der letzte erkannte Delta-Wert zwischen zwei Messungen des Auszugs.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1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disableTotal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disableTotal\n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PrintTotalData disabled.\n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Zur Reduzierung der zu übertragenden Datenmenge kann die kontinuierliche Übertragung der Sensor-Daten durch disableContinuous gestoppt werden.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9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disableDelta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disableDelta\n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PrintDeltaData disabled.\n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Zur Reduzierung der zu übertragenden Datenmenge kann die kontinuierliche Übertragung der Sensor-Daten durch disableContinuous gestoppt werden.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7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shotColor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red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shotColor X\n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New Shot Color: X\n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Der Wert X kann auf folgende Farben gesetzt werden:</w:t>
      </w:r>
    </w:p>
    <w:p>
      <w:pPr>
        <w:numPr>
          <w:ilvl w:val="0"/>
          <w:numId w:val="135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</w:t>
      </w:r>
    </w:p>
    <w:p>
      <w:pPr>
        <w:numPr>
          <w:ilvl w:val="0"/>
          <w:numId w:val="135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</w:t>
      </w:r>
    </w:p>
    <w:p>
      <w:pPr>
        <w:numPr>
          <w:ilvl w:val="0"/>
          <w:numId w:val="135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blue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Mischfarben sind derzeit nicht implementiert.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Nach einem Neustart des Bogens ist die Farbe wieder auf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red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gesetzt.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37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enableIR1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deaktiviert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enableIR1\n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IR1 enabled.\n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Durch Aufruf von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enableIR1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wird das erste Paar IR-LEDs aktiviert. 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45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disableIR1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disableIR1\n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IR2 disabled.\n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Durch Aufruf von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disableIR1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wird das erste Paar IR-LEDs ausgeschaltet.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53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enableIR2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 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deaktiviert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enableIR2\n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IR2 enabled.\n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Durch Aufruf von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enableIR2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wird das zweite Paar IR-LEDs aktiviert. 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61"/>
        </w:numPr>
        <w:spacing w:before="120" w:after="240" w:line="240"/>
        <w:ind w:right="0" w:left="788" w:hanging="431"/>
        <w:jc w:val="left"/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</w:pPr>
      <w:r>
        <w:rPr>
          <w:rFonts w:ascii="Hoefler Text" w:hAnsi="Hoefler Text" w:cs="Hoefler Text" w:eastAsia="Hoefler Text"/>
          <w:b/>
          <w:color w:val="217227"/>
          <w:spacing w:val="44"/>
          <w:position w:val="0"/>
          <w:sz w:val="28"/>
          <w:shd w:fill="auto" w:val="clear"/>
        </w:rPr>
        <w:t xml:space="preserve">disableIR2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aktiviert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Aufruf: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disableIR2\n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Rückmeldung: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IR2 disabled.\n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Durch Aufruf von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disableIR2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wird das zweite Paar IR-LEDs ausgeschaltet.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7">
    <w:abstractNumId w:val="132"/>
  </w:num>
  <w:num w:numId="9">
    <w:abstractNumId w:val="126"/>
  </w:num>
  <w:num w:numId="12">
    <w:abstractNumId w:val="120"/>
  </w:num>
  <w:num w:numId="15">
    <w:abstractNumId w:val="114"/>
  </w:num>
  <w:num w:numId="17">
    <w:abstractNumId w:val="108"/>
  </w:num>
  <w:num w:numId="21">
    <w:abstractNumId w:val="102"/>
  </w:num>
  <w:num w:numId="31">
    <w:abstractNumId w:val="96"/>
  </w:num>
  <w:num w:numId="39">
    <w:abstractNumId w:val="90"/>
  </w:num>
  <w:num w:numId="47">
    <w:abstractNumId w:val="84"/>
  </w:num>
  <w:num w:numId="57">
    <w:abstractNumId w:val="78"/>
  </w:num>
  <w:num w:numId="65">
    <w:abstractNumId w:val="72"/>
  </w:num>
  <w:num w:numId="75">
    <w:abstractNumId w:val="66"/>
  </w:num>
  <w:num w:numId="83">
    <w:abstractNumId w:val="60"/>
  </w:num>
  <w:num w:numId="91">
    <w:abstractNumId w:val="54"/>
  </w:num>
  <w:num w:numId="101">
    <w:abstractNumId w:val="48"/>
  </w:num>
  <w:num w:numId="111">
    <w:abstractNumId w:val="42"/>
  </w:num>
  <w:num w:numId="119">
    <w:abstractNumId w:val="36"/>
  </w:num>
  <w:num w:numId="127">
    <w:abstractNumId w:val="30"/>
  </w:num>
  <w:num w:numId="135">
    <w:abstractNumId w:val="24"/>
  </w:num>
  <w:num w:numId="137">
    <w:abstractNumId w:val="18"/>
  </w:num>
  <w:num w:numId="145">
    <w:abstractNumId w:val="12"/>
  </w:num>
  <w:num w:numId="153">
    <w:abstractNumId w:val="6"/>
  </w:num>
  <w:num w:numId="1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