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jc w:val="center"/>
      </w:pPr>
      <w:r>
        <w:rPr>
          <w:sz w:val="22"/>
        </w:rPr>
        <w:t>Zhenxin Zheng¹#, Song Chen¹#, Shenbo Huang¹, Chao Qian¹, Hang Yuan¹, Huricha Bao¹*, Qiuyan Jiang²*</w:t>
      </w:r>
    </w:p>
    <w:p>
      <w:pPr>
        <w:jc w:val="center"/>
      </w:pPr>
      <w:r>
        <w:rPr>
          <w:sz w:val="18"/>
        </w:rPr>
        <w:t>¹ Department of Orthopedics, The Quzhou Affiliated Hospital of Wenzhou Medical University, Quzhou People's Hospital, Quzhou, Zhejiang Province, 324000, China</w:t>
      </w:r>
    </w:p>
    <w:p>
      <w:pPr>
        <w:jc w:val="center"/>
      </w:pPr>
      <w:r>
        <w:rPr>
          <w:sz w:val="18"/>
        </w:rPr>
        <w:t>² Department of Surgery, The Quzhou Affiliated Hospital of Wenzhou Medical University, Quzhou People's Hospital, Quzhou, Zhejiang Province, 324000, China</w:t>
      </w:r>
    </w:p>
    <w:p>
      <w:pPr>
        <w:jc w:val="center"/>
      </w:pPr>
      <w:r>
        <w:rPr>
          <w:i/>
          <w:sz w:val="18"/>
        </w:rPr>
        <w:t># Zhenxin Zheng and Song Chen contributed equally to this work.</w:t>
      </w:r>
    </w:p>
    <w:p>
      <w:pPr>
        <w:jc w:val="center"/>
      </w:pPr>
      <w:r>
        <w:rPr>
          <w:sz w:val="18"/>
        </w:rPr>
        <w:t>* Corresponding authors: Huricha Bao, MD (baohuricha@126.com) and Qiuyan Jiang, MD (after9951023@gmail.com).</w:t>
      </w:r>
    </w:p>
    <w:p>
      <w:pPr>
        <w:jc w:val="center"/>
      </w:pPr>
      <w:r>
        <w:rPr>
          <w:sz w:val="18"/>
        </w:rPr>
        <w:t>Funding: None.   Competing interests: The authors declare no competing interests.</w:t>
      </w:r>
    </w:p>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 although these three estimates were underpowered (achieved power 0.14–0.26 for effects of the observed magnitude; §3.8).</w:t>
      </w:r>
    </w:p>
    <w:p>
      <w:r>
        <w:rPr>
          <w:b/>
        </w:rPr>
        <w:t>Conclusion.</w:t>
      </w:r>
      <w:r>
        <w:t xml:space="preserve"> Higher BMD protects against fracture but raises OA risk, and OA does not raise BMD in turn. The OA–BMD association is therefore bidirectional in genetic correlation and, as far as the well-powered estimates show, unidirectional in causation; we found no route from OA to fracture through the BMD pathway, although a moderate contribution cannot be excluded (§3.8).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[12].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[13]. Applied to OA and BMD, both have given partial answers. Hackinger et al. reported r_g=+0.18 between hip/knee OA and lumbar-spine BMD (p=0.022) [4]; Zhou et al. reported r_g=+0.13 by LDSC and +0.17 by high-definition likelihood (HDL) inference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2"/>
      </w:pPr>
      <w:r>
        <w:t>2.8 Assessment of sample overlap in two-sample MR</w:t>
      </w:r>
    </w:p>
    <w:p>
      <w:r>
        <w:t xml:space="preserve">Two-sample MR assumes independent exposure and outcome samples. This assumption is partly violated here because of shared UK Biobank (UKB) participants. All ten BMD sites are European-UKB DXA measures (N=31,873; Qian et al. 2025), OA_selfrep is wholly UKB (N=462,933; IEU </w:t>
      </w:r>
      <w:r>
        <w:rPr>
          <w:rFonts w:ascii="Consolas" w:hAnsi="Consolas"/>
          <w:sz w:val="18"/>
        </w:rPr>
        <w:t>ukb-b-14486</w:t>
      </w:r>
      <w:r>
        <w:t>), and the OA_knee (GO Consortium European meta-analysis, full sample ≈1.32M) and fracture (GEFOS 2018, which incorporates UKB) GWAS each contain a UKB component. Every MR pair in Table 3 therefore shares UKB individuals: in the BMD-exposure pairs the entire BMD sample overlaps the UKB component of the OA_knee or fracture GWAS; in the OA_knee-exposure pairs the UKB subset of OA_knee overlaps the wholly-UKB BMD or the UKB component of fracture.</w:t>
      </w:r>
    </w:p>
    <w:p>
      <w:r>
        <w:t>Sample overlap correlates the exposure and outcome summary statistics and biases the IVW estimate toward the corresponding observational genetic correlation (r_g) [14]; the bias scales with the overlap fraction and acts in the direction of r_g. Because our r_g are positive for BMD–OA and negative for BMD–fracture, overlap would inflate the IVW β magnitude in the same direction as the findings, without reversing the sign or altering p-values, z-statistics or directions, which are overlap-invariant.</w:t>
      </w:r>
    </w:p>
    <w:p>
      <w:r>
        <w:t>We addressed overlap in three ways. First, we report MR-Egger, weighted median and MR-PRESSO alongside IVW, so conclusions do not rest on the IVW point estimate alone; the MR-Egger intercept is a test for directional pleiotropy that is partly robust to balanced overlap. Second, we quantified the empirical correlation between exposure and outcome association statistics across the harmonised instruments, ρ_GE = corr(β_e/se_e, β_o/se_o), as an overlap/pleiotropy gauge (</w:t>
      </w:r>
      <w:r>
        <w:rPr>
          <w:rFonts w:ascii="Consolas" w:hAnsi="Consolas"/>
          <w:sz w:val="18"/>
        </w:rPr>
        <w:t>overlap_statistics.csv</w:t>
      </w:r>
      <w:r>
        <w:t>, Supplementary; Figure 9); ρ_GE has the same sign as the MR effect for every pair (positive for BMD→OA, negative for BMD→fracture; range −0.79 to +0.46 across the ten pairs), confirming that the IVW direction is not driven by a single anti-correlated instrument. Third, an overlap-robust correction (MRlap; Mounier &amp; Kutalik 2023 [15]) and a sensitivity analysis restricted to the non-UKB components of the GO and GEFOS consortia are planned before final inference; the wholly-UKB BMD and OA_selfrep GWAS cannot be separated from their UKB overlap, so the BMD-exposure pairs retain some residual overlap that the robust estimators above are intended to absorb.</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direction. For the total-body BMD→fracture pair the MR-Egger intercept is null (p=0.558), so the IVW magnitude is unconfounded by directional pleiotropy. For the femoral-neck BMD→fracture pair the MR-Egger intercept is significant (p=0.010, Table 3), indicating some directional pleiotropy; the MR-Egger slope (−0.351) and weighted median (−0.373) remain strongly protective and close to the IVW estimate, so the protective conclusion is robust to pleiotropy, although the IVW point estimate may be modestly inflated and should be read with that caveat.</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are consistent with genetic sharing between OA and BMD running in one direction (BMD→OA). These three null estimates are, however, weakly powered (achieved power 0.14–0.26; §3.8): they exclude large effects but not moderate ones, and are better described as an absence of evidence than as evidence of absence.</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the two are compared directly in Supplementary Figure S3.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2"/>
      </w:pPr>
      <w:r>
        <w:t>3.8 Statistical power of the MR estimates</w:t>
      </w:r>
    </w:p>
    <w:p>
      <w:r>
        <w:t xml:space="preserve">A non-significant IVW estimate is informative only if the analysis could have detected an effect of a plausible size. We therefore computed, for every pair, the minimum detectable effect at 80% power with a two-sided α = 0.05, MDE = (1.96 + 0.84) × SE, together with the achieved power for the observed point estimate (Table 4; Figure 8; </w:t>
      </w:r>
      <w:r>
        <w:rPr>
          <w:rFonts w:ascii="Consolas" w:hAnsi="Consolas"/>
          <w:sz w:val="18"/>
        </w:rPr>
        <w:t>mr_power.csv</w:t>
      </w:r>
      <w:r>
        <w:t>, Supplementary). Because β and its SE scale identically, the ratio |β|/SE — and hence every power statement here — is invariant to the sample-scale correction of §3.7.</w:t>
      </w:r>
    </w:p>
    <w:p>
      <w:r>
        <w:t>The seven pairs underlying the positive-control and BMD→OA findings were well powered: achieved power was 0.93–1.00, and even the smallest significant effect (femoral-neck BMD→knee OA, β = +0.017, SE = 0.005) retained 93% power. The three null pairs were not. With SE = 0.108 they could exclude only |β| ≥ 0.303, and the observed estimates (+0.092 for knee OA→fracture; +0.106 and +0.142 for knee OA→BMD) all lie inside that bound, with achieved power of 0.14, 0.17 and 0.26 respectively. On the log-odds scale of the fracture outcome the bound corresponds to OR ≈ 1.36 per unit of the exposure contrast as scaled in Table 3, subject to the scale caveats of §3.5 and §3.7.</w:t>
      </w:r>
    </w:p>
    <w:p>
      <w:r>
        <w:t>This asymmetry governs interpretation. The BMD→fracture and BMD→OA conclusions rest on well-powered estimates and stand as reported. The reverse and OA→fracture results exclude large effects but are compatible with moderate ones in the direction of their own point estimates, so they should be read as an absence of evidence rather than as evidence of absence.</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The MR component of this null is weakly powered (§3.8): it excludes |β| ≥ 0.30 but not the smaller effects compatible with its own point estimate, so it should not be read as excluding a moderate causal contribution.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 The femoral-neck BMD→fracture positive-control pair shows a significant MR-Egger intercept (p=0.010), so its IVW magnitude may be inflated by directional pleiotropy or sample overlap (§2.8); the MR-Egger slope and weighted median remain strongly protective, and the total-body BMD→fracture pair (Egger p=0.558) is the primary positive control. The reverse and OA→fracture estimates are underpowered (achieved power 0.14–0.26; §3.8, Table 4) and can exclude only |β| ≥ 0.30, so moderate effects in the direction of their point estimates remain compatible with the data.</w:t>
      </w:r>
    </w:p>
    <w:p>
      <w:pPr>
        <w:pStyle w:val="Heading2"/>
      </w:pPr>
      <w:r>
        <w:t>4.6 Conclusion</w:t>
      </w:r>
    </w:p>
    <w:p>
      <w:r>
        <w:t>Genetically higher BMD protects against fracture and raises knee OA risk. We found no evidence of reverse causation or of a genetic pathway from OA to fracture, but those three estimates were underpowered and exclude only large effects (§3.8). The OA–BMD association is bidirectional in genetic correlation and, as far as the well-powered estimates show, unidirectional in causation; the fracture burden in OA is unlikely to run through the BMD pathway, although a moderate contribution cannot be excluded.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Axis units follow the source GWAS scale of each trait: SNP effects on fracture are log-odds ratios per allele, effects on BMD are in SD units per allele, and effects on knee OA are on the standardised (linear-model) scale of the source GWAS, so knee-OA slopes are not odds ratios and are not exponentiated (§3.5).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r>
        <w:rPr>
          <w:b/>
        </w:rPr>
        <w:t>Figure 8.</w:t>
      </w:r>
      <w:r>
        <w:t xml:space="preserve"> Statistical power of the two-sample MR design (§3.8, Table 4). (a) Achieved power as a function of the standardised effect size \|β\|/SE at two-sided α = 0.05 (solid line), with the ten observed MR pairs overlaid. Filled blue circles are the seven pairs underlying the positive-control and BMD→OA findings; red open circles are the three null pairs. The dashed grey line marks 80% power and the dotted orange line the corresponding detection threshold \|z\| = 2.80 (MDE = 2.80 × SE). (b) Achieved power for each pair at its observed point estimate (K = strict instrument count). Blue bars meet or exceed the 80% threshold (dotted orange line); red bars fall below it. The three null pairs (knee OA → fracture, knee OA → total BMD, knee OA → femoral-neck BMD) reach only 0.14–0.26 power and can exclude only \|β\| ≥ 0.303, so their non-significant results are an absence of evidence rather than evidence of absence.</w:t>
      </w:r>
    </w:p>
    <w:p>
      <w:r>
        <w:rPr>
          <w:b/>
        </w:rPr>
        <w:t>Figure 9.</w:t>
      </w:r>
      <w:r>
        <w:t xml:space="preserve"> Sample-overlap diagnostics for the ten MR pairs (§2.8). (a) ρ_GE, the correlation between SNP–exposure and SNP–outcome z-statistics across the harmonised instruments (</w:t>
      </w:r>
      <w:r>
        <w:rPr>
          <w:rFonts w:ascii="Consolas" w:hAnsi="Consolas"/>
          <w:sz w:val="18"/>
        </w:rPr>
        <w:t>overlap_statistics.csv</w:t>
      </w:r>
      <w:r>
        <w:t>, Supplementary). Positive bars (blue) are the BMD→OA pairs; negative bars (red) are the BMD→fracture pairs. ρ_GE shares the sign of the MR effect in all ten pairs, so no pair owes its direction to a single anti-correlated instrument. (b) ρ_GE against the signed IVW z-statistic; shaded regions are the sign-concordant quadrants, and all ten pairs fall within them (10/10 concordant). Because the exposure and outcome GWAS share UK Biobank participants, ρ_GE also reflects the sample-overlap component of the summary-statistic correlation; such overlap inflates IVW magnitudes toward r_g without changing signs, p-values or directions [14].</w:t>
      </w:r>
    </w:p>
    <w:p>
      <w:r>
        <w:rPr>
          <w:b/>
        </w:rPr>
        <w:t>Supplementary Figure S3.</w:t>
      </w:r>
      <w:r>
        <w:t xml:space="preserve"> External validation of the reconstructed BMD effect scale against the independent GEFOS benchmark (§3.7). Odds ratios for any fracture per 1-SD lower BMD are shown for GEFOS 2018 (femoral-neck BMD; Trajanoska et al.), for this study's femoral-neck BMD instrument set under the primary strict clumping and the conservative 1-Mb sensitivity clumping, and for this study's total-body BMD instrument set. Whiskers are 95% confidence intervals; the dashed line is the null (OR = 1). This study's estimates lie 8–10% below GEFOS with overlapping confidence intervals, supporting the biological plausibility of the reconstructed effect scale.</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 For BMD femoral neck → fracture the MR-Egger intercept is significant (p=0.010), indicating directional pleiotropy; the MR-Egger slope (−0.351) and weighted median (−0.373) are reported as the pleiotropy-robust estimates for that pair, and the IVW point estimate may be modestly inflated (see §3.3).</w:t>
      </w:r>
    </w:p>
    <w:p>
      <w:pPr>
        <w:pStyle w:val="Heading1"/>
      </w:pPr>
      <w:r>
        <w:t>Table 4. Statistical power of the two-sample MR estimates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170"/>
            <w:shd w:val="clear" w:color="auto" w:fill="D9E2F3"/>
          </w:tcPr>
          <w:p>
            <w:r>
              <w:rPr>
                <w:b/>
                <w:sz w:val="17"/>
              </w:rPr>
            </w:r>
            <w:r>
              <w:rPr>
                <w:b/>
                <w:sz w:val="17"/>
              </w:rPr>
              <w:t>Exposure → Outcome</w:t>
            </w:r>
          </w:p>
        </w:tc>
        <w:tc>
          <w:tcPr>
            <w:tcW w:type="dxa" w:w="1170"/>
            <w:shd w:val="clear" w:color="auto" w:fill="D9E2F3"/>
          </w:tcPr>
          <w:p>
            <w:r>
              <w:rPr>
                <w:b/>
                <w:sz w:val="17"/>
              </w:rPr>
            </w:r>
            <w:r>
              <w:rPr>
                <w:b/>
                <w:sz w:val="17"/>
              </w:rPr>
              <w:t>K</w:t>
            </w:r>
          </w:p>
        </w:tc>
        <w:tc>
          <w:tcPr>
            <w:tcW w:type="dxa" w:w="1170"/>
            <w:shd w:val="clear" w:color="auto" w:fill="D9E2F3"/>
          </w:tcPr>
          <w:p>
            <w:r>
              <w:rPr>
                <w:b/>
                <w:sz w:val="17"/>
              </w:rPr>
            </w:r>
            <w:r>
              <w:rPr>
                <w:b/>
                <w:sz w:val="17"/>
              </w:rPr>
              <w:t>IVW β</w:t>
            </w:r>
          </w:p>
        </w:tc>
        <w:tc>
          <w:tcPr>
            <w:tcW w:type="dxa" w:w="1170"/>
            <w:shd w:val="clear" w:color="auto" w:fill="D9E2F3"/>
          </w:tcPr>
          <w:p>
            <w:r>
              <w:rPr>
                <w:b/>
                <w:sz w:val="17"/>
              </w:rPr>
            </w:r>
            <w:r>
              <w:rPr>
                <w:b/>
                <w:sz w:val="17"/>
              </w:rPr>
              <w:t>SE</w:t>
            </w:r>
          </w:p>
        </w:tc>
        <w:tc>
          <w:tcPr>
            <w:tcW w:type="dxa" w:w="1170"/>
            <w:shd w:val="clear" w:color="auto" w:fill="D9E2F3"/>
          </w:tcPr>
          <w:p>
            <w:r>
              <w:rPr>
                <w:b/>
                <w:sz w:val="17"/>
              </w:rPr>
            </w:r>
            <w:r>
              <w:rPr>
                <w:b/>
                <w:sz w:val="17"/>
              </w:rPr>
              <w:t>abs z</w:t>
            </w:r>
          </w:p>
        </w:tc>
        <w:tc>
          <w:tcPr>
            <w:tcW w:type="dxa" w:w="1170"/>
            <w:shd w:val="clear" w:color="auto" w:fill="D9E2F3"/>
          </w:tcPr>
          <w:p>
            <w:r>
              <w:rPr>
                <w:b/>
                <w:sz w:val="17"/>
              </w:rPr>
            </w:r>
            <w:r>
              <w:rPr>
                <w:b/>
                <w:sz w:val="17"/>
              </w:rPr>
              <w:t>MDE (80% power)</w:t>
            </w:r>
          </w:p>
        </w:tc>
        <w:tc>
          <w:tcPr>
            <w:tcW w:type="dxa" w:w="1170"/>
            <w:shd w:val="clear" w:color="auto" w:fill="D9E2F3"/>
          </w:tcPr>
          <w:p>
            <w:r>
              <w:rPr>
                <w:b/>
                <w:sz w:val="17"/>
              </w:rPr>
            </w:r>
            <w:r>
              <w:rPr>
                <w:b/>
                <w:sz w:val="17"/>
              </w:rPr>
              <w:t>Achieved power</w:t>
            </w:r>
          </w:p>
        </w:tc>
        <w:tc>
          <w:tcPr>
            <w:tcW w:type="dxa" w:w="1170"/>
            <w:shd w:val="clear" w:color="auto" w:fill="D9E2F3"/>
          </w:tcPr>
          <w:p>
            <w:r>
              <w:rPr>
                <w:b/>
                <w:sz w:val="17"/>
              </w:rPr>
            </w:r>
            <w:r>
              <w:rPr>
                <w:b/>
                <w:sz w:val="17"/>
              </w:rPr>
              <w:t>Interpretation</w:t>
            </w:r>
          </w:p>
        </w:tc>
      </w:tr>
      <w:tr>
        <w:tc>
          <w:tcPr>
            <w:tcW w:type="dxa" w:w="1170"/>
          </w:tcPr>
          <w:p>
            <w:r>
              <w:rPr>
                <w:sz w:val="17"/>
              </w:rPr>
            </w:r>
            <w:r>
              <w:rPr>
                <w:sz w:val="17"/>
              </w:rPr>
              <w:t>BMD total → fracture</w:t>
            </w:r>
          </w:p>
        </w:tc>
        <w:tc>
          <w:tcPr>
            <w:tcW w:type="dxa" w:w="1170"/>
          </w:tcPr>
          <w:p>
            <w:r>
              <w:rPr>
                <w:sz w:val="17"/>
              </w:rPr>
            </w:r>
            <w:r>
              <w:rPr>
                <w:sz w:val="17"/>
              </w:rPr>
              <w:t>31</w:t>
            </w:r>
          </w:p>
        </w:tc>
        <w:tc>
          <w:tcPr>
            <w:tcW w:type="dxa" w:w="1170"/>
          </w:tcPr>
          <w:p>
            <w:r>
              <w:rPr>
                <w:sz w:val="17"/>
              </w:rPr>
            </w:r>
            <w:r>
              <w:rPr>
                <w:sz w:val="17"/>
              </w:rPr>
              <w:t>−0.337</w:t>
            </w:r>
          </w:p>
        </w:tc>
        <w:tc>
          <w:tcPr>
            <w:tcW w:type="dxa" w:w="1170"/>
          </w:tcPr>
          <w:p>
            <w:r>
              <w:rPr>
                <w:sz w:val="17"/>
              </w:rPr>
            </w:r>
            <w:r>
              <w:rPr>
                <w:sz w:val="17"/>
              </w:rPr>
              <w:t>0.022</w:t>
            </w:r>
          </w:p>
        </w:tc>
        <w:tc>
          <w:tcPr>
            <w:tcW w:type="dxa" w:w="1170"/>
          </w:tcPr>
          <w:p>
            <w:r>
              <w:rPr>
                <w:sz w:val="17"/>
              </w:rPr>
            </w:r>
            <w:r>
              <w:rPr>
                <w:sz w:val="17"/>
              </w:rPr>
              <w:t>15.05</w:t>
            </w:r>
          </w:p>
        </w:tc>
        <w:tc>
          <w:tcPr>
            <w:tcW w:type="dxa" w:w="1170"/>
          </w:tcPr>
          <w:p>
            <w:r>
              <w:rPr>
                <w:sz w:val="17"/>
              </w:rPr>
            </w:r>
            <w:r>
              <w:rPr>
                <w:sz w:val="17"/>
              </w:rPr>
              <w:t>0.063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femoral neck → fracture</w:t>
            </w:r>
          </w:p>
        </w:tc>
        <w:tc>
          <w:tcPr>
            <w:tcW w:type="dxa" w:w="1170"/>
          </w:tcPr>
          <w:p>
            <w:r>
              <w:rPr>
                <w:sz w:val="17"/>
              </w:rPr>
            </w:r>
            <w:r>
              <w:rPr>
                <w:sz w:val="17"/>
              </w:rPr>
              <w:t>25</w:t>
            </w:r>
          </w:p>
        </w:tc>
        <w:tc>
          <w:tcPr>
            <w:tcW w:type="dxa" w:w="1170"/>
          </w:tcPr>
          <w:p>
            <w:r>
              <w:rPr>
                <w:sz w:val="17"/>
              </w:rPr>
            </w:r>
            <w:r>
              <w:rPr>
                <w:sz w:val="17"/>
              </w:rPr>
              <w:t>−0.351</w:t>
            </w:r>
          </w:p>
        </w:tc>
        <w:tc>
          <w:tcPr>
            <w:tcW w:type="dxa" w:w="1170"/>
          </w:tcPr>
          <w:p>
            <w:r>
              <w:rPr>
                <w:sz w:val="17"/>
              </w:rPr>
            </w:r>
            <w:r>
              <w:rPr>
                <w:sz w:val="17"/>
              </w:rPr>
              <w:t>0.030</w:t>
            </w:r>
          </w:p>
        </w:tc>
        <w:tc>
          <w:tcPr>
            <w:tcW w:type="dxa" w:w="1170"/>
          </w:tcPr>
          <w:p>
            <w:r>
              <w:rPr>
                <w:sz w:val="17"/>
              </w:rPr>
            </w:r>
            <w:r>
              <w:rPr>
                <w:sz w:val="17"/>
              </w:rPr>
              <w:t>11.55</w:t>
            </w:r>
          </w:p>
        </w:tc>
        <w:tc>
          <w:tcPr>
            <w:tcW w:type="dxa" w:w="1170"/>
          </w:tcPr>
          <w:p>
            <w:r>
              <w:rPr>
                <w:sz w:val="17"/>
              </w:rPr>
            </w:r>
            <w:r>
              <w:rPr>
                <w:sz w:val="17"/>
              </w:rPr>
              <w:t>0.085</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BMD total → OA knee</w:t>
            </w:r>
          </w:p>
        </w:tc>
        <w:tc>
          <w:tcPr>
            <w:tcW w:type="dxa" w:w="1170"/>
          </w:tcPr>
          <w:p>
            <w:r>
              <w:rPr>
                <w:sz w:val="17"/>
              </w:rPr>
            </w:r>
            <w:r>
              <w:rPr>
                <w:sz w:val="17"/>
              </w:rPr>
              <w:t>31</w:t>
            </w:r>
          </w:p>
        </w:tc>
        <w:tc>
          <w:tcPr>
            <w:tcW w:type="dxa" w:w="1170"/>
          </w:tcPr>
          <w:p>
            <w:r>
              <w:rPr>
                <w:sz w:val="17"/>
              </w:rPr>
            </w:r>
            <w:r>
              <w:rPr>
                <w:sz w:val="17"/>
              </w:rPr>
              <w:t>+0.023</w:t>
            </w:r>
          </w:p>
        </w:tc>
        <w:tc>
          <w:tcPr>
            <w:tcW w:type="dxa" w:w="1170"/>
          </w:tcPr>
          <w:p>
            <w:r>
              <w:rPr>
                <w:sz w:val="17"/>
              </w:rPr>
            </w:r>
            <w:r>
              <w:rPr>
                <w:sz w:val="17"/>
              </w:rPr>
              <w:t>0.004</w:t>
            </w:r>
          </w:p>
        </w:tc>
        <w:tc>
          <w:tcPr>
            <w:tcW w:type="dxa" w:w="1170"/>
          </w:tcPr>
          <w:p>
            <w:r>
              <w:rPr>
                <w:sz w:val="17"/>
              </w:rPr>
            </w:r>
            <w:r>
              <w:rPr>
                <w:sz w:val="17"/>
              </w:rPr>
              <w:t>6.26</w:t>
            </w:r>
          </w:p>
        </w:tc>
        <w:tc>
          <w:tcPr>
            <w:tcW w:type="dxa" w:w="1170"/>
          </w:tcPr>
          <w:p>
            <w:r>
              <w:rPr>
                <w:sz w:val="17"/>
              </w:rPr>
            </w:r>
            <w:r>
              <w:rPr>
                <w:sz w:val="17"/>
              </w:rPr>
              <w:t>0.010</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Lumbar spine → OA knee</w:t>
            </w:r>
          </w:p>
        </w:tc>
        <w:tc>
          <w:tcPr>
            <w:tcW w:type="dxa" w:w="1170"/>
          </w:tcPr>
          <w:p>
            <w:r>
              <w:rPr>
                <w:sz w:val="17"/>
              </w:rPr>
            </w:r>
            <w:r>
              <w:rPr>
                <w:sz w:val="17"/>
              </w:rPr>
              <w:t>21</w:t>
            </w:r>
          </w:p>
        </w:tc>
        <w:tc>
          <w:tcPr>
            <w:tcW w:type="dxa" w:w="1170"/>
          </w:tcPr>
          <w:p>
            <w:r>
              <w:rPr>
                <w:sz w:val="17"/>
              </w:rPr>
            </w:r>
            <w:r>
              <w:rPr>
                <w:sz w:val="17"/>
              </w:rPr>
              <w:t>+0.028</w:t>
            </w:r>
          </w:p>
        </w:tc>
        <w:tc>
          <w:tcPr>
            <w:tcW w:type="dxa" w:w="1170"/>
          </w:tcPr>
          <w:p>
            <w:r>
              <w:rPr>
                <w:sz w:val="17"/>
              </w:rPr>
            </w:r>
            <w:r>
              <w:rPr>
                <w:sz w:val="17"/>
              </w:rPr>
              <w:t>0.005</w:t>
            </w:r>
          </w:p>
        </w:tc>
        <w:tc>
          <w:tcPr>
            <w:tcW w:type="dxa" w:w="1170"/>
          </w:tcPr>
          <w:p>
            <w:r>
              <w:rPr>
                <w:sz w:val="17"/>
              </w:rPr>
            </w:r>
            <w:r>
              <w:rPr>
                <w:sz w:val="17"/>
              </w:rPr>
              <w:t>5.77</w:t>
            </w:r>
          </w:p>
        </w:tc>
        <w:tc>
          <w:tcPr>
            <w:tcW w:type="dxa" w:w="1170"/>
          </w:tcPr>
          <w:p>
            <w:r>
              <w:rPr>
                <w:sz w:val="17"/>
              </w:rPr>
            </w:r>
            <w:r>
              <w:rPr>
                <w:sz w:val="17"/>
              </w:rPr>
              <w:t>0.014</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Arms → OA knee</w:t>
            </w:r>
          </w:p>
        </w:tc>
        <w:tc>
          <w:tcPr>
            <w:tcW w:type="dxa" w:w="1170"/>
          </w:tcPr>
          <w:p>
            <w:r>
              <w:rPr>
                <w:sz w:val="17"/>
              </w:rPr>
            </w:r>
            <w:r>
              <w:rPr>
                <w:sz w:val="17"/>
              </w:rPr>
              <w:t>16</w:t>
            </w:r>
          </w:p>
        </w:tc>
        <w:tc>
          <w:tcPr>
            <w:tcW w:type="dxa" w:w="1170"/>
          </w:tcPr>
          <w:p>
            <w:r>
              <w:rPr>
                <w:sz w:val="17"/>
              </w:rPr>
            </w:r>
            <w:r>
              <w:rPr>
                <w:sz w:val="17"/>
              </w:rPr>
              <w:t>+0.022</w:t>
            </w:r>
          </w:p>
        </w:tc>
        <w:tc>
          <w:tcPr>
            <w:tcW w:type="dxa" w:w="1170"/>
          </w:tcPr>
          <w:p>
            <w:r>
              <w:rPr>
                <w:sz w:val="17"/>
              </w:rPr>
            </w:r>
            <w:r>
              <w:rPr>
                <w:sz w:val="17"/>
              </w:rPr>
              <w:t>0.005</w:t>
            </w:r>
          </w:p>
        </w:tc>
        <w:tc>
          <w:tcPr>
            <w:tcW w:type="dxa" w:w="1170"/>
          </w:tcPr>
          <w:p>
            <w:r>
              <w:rPr>
                <w:sz w:val="17"/>
              </w:rPr>
            </w:r>
            <w:r>
              <w:rPr>
                <w:sz w:val="17"/>
              </w:rPr>
              <w:t>4.78</w:t>
            </w:r>
          </w:p>
        </w:tc>
        <w:tc>
          <w:tcPr>
            <w:tcW w:type="dxa" w:w="1170"/>
          </w:tcPr>
          <w:p>
            <w:r>
              <w:rPr>
                <w:sz w:val="17"/>
              </w:rPr>
            </w:r>
            <w:r>
              <w:rPr>
                <w:sz w:val="17"/>
              </w:rPr>
              <w:t>0.013</w:t>
            </w:r>
          </w:p>
        </w:tc>
        <w:tc>
          <w:tcPr>
            <w:tcW w:type="dxa" w:w="1170"/>
          </w:tcPr>
          <w:p>
            <w:r>
              <w:rPr>
                <w:sz w:val="17"/>
              </w:rPr>
            </w:r>
            <w:r>
              <w:rPr>
                <w:sz w:val="17"/>
              </w:rPr>
              <w:t>1.00</w:t>
            </w:r>
          </w:p>
        </w:tc>
        <w:tc>
          <w:tcPr>
            <w:tcW w:type="dxa" w:w="1170"/>
          </w:tcPr>
          <w:p>
            <w:r>
              <w:rPr>
                <w:sz w:val="17"/>
              </w:rPr>
            </w:r>
            <w:r>
              <w:rPr>
                <w:sz w:val="17"/>
              </w:rPr>
              <w:t>powered</w:t>
            </w:r>
          </w:p>
        </w:tc>
      </w:tr>
      <w:tr>
        <w:tc>
          <w:tcPr>
            <w:tcW w:type="dxa" w:w="1170"/>
          </w:tcPr>
          <w:p>
            <w:r>
              <w:rPr>
                <w:sz w:val="17"/>
              </w:rPr>
            </w:r>
            <w:r>
              <w:rPr>
                <w:sz w:val="17"/>
              </w:rPr>
              <w:t>Legs → OA knee</w:t>
            </w:r>
          </w:p>
        </w:tc>
        <w:tc>
          <w:tcPr>
            <w:tcW w:type="dxa" w:w="1170"/>
          </w:tcPr>
          <w:p>
            <w:r>
              <w:rPr>
                <w:sz w:val="17"/>
              </w:rPr>
            </w:r>
            <w:r>
              <w:rPr>
                <w:sz w:val="17"/>
              </w:rPr>
              <w:t>24</w:t>
            </w:r>
          </w:p>
        </w:tc>
        <w:tc>
          <w:tcPr>
            <w:tcW w:type="dxa" w:w="1170"/>
          </w:tcPr>
          <w:p>
            <w:r>
              <w:rPr>
                <w:sz w:val="17"/>
              </w:rPr>
            </w:r>
            <w:r>
              <w:rPr>
                <w:sz w:val="17"/>
              </w:rPr>
              <w:t>+0.018</w:t>
            </w:r>
          </w:p>
        </w:tc>
        <w:tc>
          <w:tcPr>
            <w:tcW w:type="dxa" w:w="1170"/>
          </w:tcPr>
          <w:p>
            <w:r>
              <w:rPr>
                <w:sz w:val="17"/>
              </w:rPr>
            </w:r>
            <w:r>
              <w:rPr>
                <w:sz w:val="17"/>
              </w:rPr>
              <w:t>0.004</w:t>
            </w:r>
          </w:p>
        </w:tc>
        <w:tc>
          <w:tcPr>
            <w:tcW w:type="dxa" w:w="1170"/>
          </w:tcPr>
          <w:p>
            <w:r>
              <w:rPr>
                <w:sz w:val="17"/>
              </w:rPr>
            </w:r>
            <w:r>
              <w:rPr>
                <w:sz w:val="17"/>
              </w:rPr>
              <w:t>4.23</w:t>
            </w:r>
          </w:p>
        </w:tc>
        <w:tc>
          <w:tcPr>
            <w:tcW w:type="dxa" w:w="1170"/>
          </w:tcPr>
          <w:p>
            <w:r>
              <w:rPr>
                <w:sz w:val="17"/>
              </w:rPr>
            </w:r>
            <w:r>
              <w:rPr>
                <w:sz w:val="17"/>
              </w:rPr>
              <w:t>0.012</w:t>
            </w:r>
          </w:p>
        </w:tc>
        <w:tc>
          <w:tcPr>
            <w:tcW w:type="dxa" w:w="1170"/>
          </w:tcPr>
          <w:p>
            <w:r>
              <w:rPr>
                <w:sz w:val="17"/>
              </w:rPr>
            </w:r>
            <w:r>
              <w:rPr>
                <w:sz w:val="17"/>
              </w:rPr>
              <w:t>0.99</w:t>
            </w:r>
          </w:p>
        </w:tc>
        <w:tc>
          <w:tcPr>
            <w:tcW w:type="dxa" w:w="1170"/>
          </w:tcPr>
          <w:p>
            <w:r>
              <w:rPr>
                <w:sz w:val="17"/>
              </w:rPr>
            </w:r>
            <w:r>
              <w:rPr>
                <w:sz w:val="17"/>
              </w:rPr>
              <w:t>powered</w:t>
            </w:r>
          </w:p>
        </w:tc>
      </w:tr>
      <w:tr>
        <w:tc>
          <w:tcPr>
            <w:tcW w:type="dxa" w:w="1170"/>
          </w:tcPr>
          <w:p>
            <w:r>
              <w:rPr>
                <w:sz w:val="17"/>
              </w:rPr>
            </w:r>
            <w:r>
              <w:rPr>
                <w:sz w:val="17"/>
              </w:rPr>
              <w:t>Femoral neck → OA knee</w:t>
            </w:r>
          </w:p>
        </w:tc>
        <w:tc>
          <w:tcPr>
            <w:tcW w:type="dxa" w:w="1170"/>
          </w:tcPr>
          <w:p>
            <w:r>
              <w:rPr>
                <w:sz w:val="17"/>
              </w:rPr>
            </w:r>
            <w:r>
              <w:rPr>
                <w:sz w:val="17"/>
              </w:rPr>
              <w:t>25</w:t>
            </w:r>
          </w:p>
        </w:tc>
        <w:tc>
          <w:tcPr>
            <w:tcW w:type="dxa" w:w="1170"/>
          </w:tcPr>
          <w:p>
            <w:r>
              <w:rPr>
                <w:sz w:val="17"/>
              </w:rPr>
            </w:r>
            <w:r>
              <w:rPr>
                <w:sz w:val="17"/>
              </w:rPr>
              <w:t>+0.017</w:t>
            </w:r>
          </w:p>
        </w:tc>
        <w:tc>
          <w:tcPr>
            <w:tcW w:type="dxa" w:w="1170"/>
          </w:tcPr>
          <w:p>
            <w:r>
              <w:rPr>
                <w:sz w:val="17"/>
              </w:rPr>
            </w:r>
            <w:r>
              <w:rPr>
                <w:sz w:val="17"/>
              </w:rPr>
              <w:t>0.005</w:t>
            </w:r>
          </w:p>
        </w:tc>
        <w:tc>
          <w:tcPr>
            <w:tcW w:type="dxa" w:w="1170"/>
          </w:tcPr>
          <w:p>
            <w:r>
              <w:rPr>
                <w:sz w:val="17"/>
              </w:rPr>
            </w:r>
            <w:r>
              <w:rPr>
                <w:sz w:val="17"/>
              </w:rPr>
              <w:t>3.42</w:t>
            </w:r>
          </w:p>
        </w:tc>
        <w:tc>
          <w:tcPr>
            <w:tcW w:type="dxa" w:w="1170"/>
          </w:tcPr>
          <w:p>
            <w:r>
              <w:rPr>
                <w:sz w:val="17"/>
              </w:rPr>
            </w:r>
            <w:r>
              <w:rPr>
                <w:sz w:val="17"/>
              </w:rPr>
              <w:t>0.014</w:t>
            </w:r>
          </w:p>
        </w:tc>
        <w:tc>
          <w:tcPr>
            <w:tcW w:type="dxa" w:w="1170"/>
          </w:tcPr>
          <w:p>
            <w:r>
              <w:rPr>
                <w:sz w:val="17"/>
              </w:rPr>
            </w:r>
            <w:r>
              <w:rPr>
                <w:sz w:val="17"/>
              </w:rPr>
              <w:t>0.93</w:t>
            </w:r>
          </w:p>
        </w:tc>
        <w:tc>
          <w:tcPr>
            <w:tcW w:type="dxa" w:w="1170"/>
          </w:tcPr>
          <w:p>
            <w:r>
              <w:rPr>
                <w:sz w:val="17"/>
              </w:rPr>
            </w:r>
            <w:r>
              <w:rPr>
                <w:sz w:val="17"/>
              </w:rPr>
              <w:t>powered</w:t>
            </w:r>
          </w:p>
        </w:tc>
      </w:tr>
      <w:tr>
        <w:tc>
          <w:tcPr>
            <w:tcW w:type="dxa" w:w="1170"/>
          </w:tcPr>
          <w:p>
            <w:r>
              <w:rPr>
                <w:sz w:val="17"/>
              </w:rPr>
            </w:r>
            <w:r>
              <w:rPr>
                <w:sz w:val="17"/>
              </w:rPr>
              <w:t>OA knee → fracture</w:t>
            </w:r>
          </w:p>
        </w:tc>
        <w:tc>
          <w:tcPr>
            <w:tcW w:type="dxa" w:w="1170"/>
          </w:tcPr>
          <w:p>
            <w:r>
              <w:rPr>
                <w:sz w:val="17"/>
              </w:rPr>
            </w:r>
            <w:r>
              <w:rPr>
                <w:sz w:val="17"/>
              </w:rPr>
              <w:t>69</w:t>
            </w:r>
          </w:p>
        </w:tc>
        <w:tc>
          <w:tcPr>
            <w:tcW w:type="dxa" w:w="1170"/>
          </w:tcPr>
          <w:p>
            <w:r>
              <w:rPr>
                <w:sz w:val="17"/>
              </w:rPr>
            </w:r>
            <w:r>
              <w:rPr>
                <w:sz w:val="17"/>
              </w:rPr>
              <w:t>+0.092</w:t>
            </w:r>
          </w:p>
        </w:tc>
        <w:tc>
          <w:tcPr>
            <w:tcW w:type="dxa" w:w="1170"/>
          </w:tcPr>
          <w:p>
            <w:r>
              <w:rPr>
                <w:sz w:val="17"/>
              </w:rPr>
            </w:r>
            <w:r>
              <w:rPr>
                <w:sz w:val="17"/>
              </w:rPr>
              <w:t>0.108</w:t>
            </w:r>
          </w:p>
        </w:tc>
        <w:tc>
          <w:tcPr>
            <w:tcW w:type="dxa" w:w="1170"/>
          </w:tcPr>
          <w:p>
            <w:r>
              <w:rPr>
                <w:sz w:val="17"/>
              </w:rPr>
            </w:r>
            <w:r>
              <w:rPr>
                <w:sz w:val="17"/>
              </w:rPr>
              <w:t>0.85</w:t>
            </w:r>
          </w:p>
        </w:tc>
        <w:tc>
          <w:tcPr>
            <w:tcW w:type="dxa" w:w="1170"/>
          </w:tcPr>
          <w:p>
            <w:r>
              <w:rPr>
                <w:sz w:val="17"/>
              </w:rPr>
            </w:r>
            <w:r>
              <w:rPr>
                <w:sz w:val="17"/>
              </w:rPr>
              <w:t>0.304</w:t>
            </w:r>
          </w:p>
        </w:tc>
        <w:tc>
          <w:tcPr>
            <w:tcW w:type="dxa" w:w="1170"/>
          </w:tcPr>
          <w:p>
            <w:r>
              <w:rPr>
                <w:sz w:val="17"/>
              </w:rPr>
            </w:r>
            <w:r>
              <w:rPr>
                <w:sz w:val="17"/>
              </w:rPr>
              <w:t>0.14</w:t>
            </w:r>
          </w:p>
        </w:tc>
        <w:tc>
          <w:tcPr>
            <w:tcW w:type="dxa" w:w="1170"/>
          </w:tcPr>
          <w:p>
            <w:r>
              <w:rPr>
                <w:sz w:val="17"/>
              </w:rPr>
            </w:r>
            <w:r>
              <w:rPr>
                <w:sz w:val="17"/>
              </w:rPr>
              <w:t>underpowered</w:t>
            </w:r>
          </w:p>
        </w:tc>
      </w:tr>
      <w:tr>
        <w:tc>
          <w:tcPr>
            <w:tcW w:type="dxa" w:w="1170"/>
          </w:tcPr>
          <w:p>
            <w:r>
              <w:rPr>
                <w:sz w:val="17"/>
              </w:rPr>
            </w:r>
            <w:r>
              <w:rPr>
                <w:sz w:val="17"/>
              </w:rPr>
              <w:t>OA knee → BMD total</w:t>
            </w:r>
          </w:p>
        </w:tc>
        <w:tc>
          <w:tcPr>
            <w:tcW w:type="dxa" w:w="1170"/>
          </w:tcPr>
          <w:p>
            <w:r>
              <w:rPr>
                <w:sz w:val="17"/>
              </w:rPr>
            </w:r>
            <w:r>
              <w:rPr>
                <w:sz w:val="17"/>
              </w:rPr>
              <w:t>69</w:t>
            </w:r>
          </w:p>
        </w:tc>
        <w:tc>
          <w:tcPr>
            <w:tcW w:type="dxa" w:w="1170"/>
          </w:tcPr>
          <w:p>
            <w:r>
              <w:rPr>
                <w:sz w:val="17"/>
              </w:rPr>
            </w:r>
            <w:r>
              <w:rPr>
                <w:sz w:val="17"/>
              </w:rPr>
              <w:t>+0.106</w:t>
            </w:r>
          </w:p>
        </w:tc>
        <w:tc>
          <w:tcPr>
            <w:tcW w:type="dxa" w:w="1170"/>
          </w:tcPr>
          <w:p>
            <w:r>
              <w:rPr>
                <w:sz w:val="17"/>
              </w:rPr>
            </w:r>
            <w:r>
              <w:rPr>
                <w:sz w:val="17"/>
              </w:rPr>
              <w:t>0.108</w:t>
            </w:r>
          </w:p>
        </w:tc>
        <w:tc>
          <w:tcPr>
            <w:tcW w:type="dxa" w:w="1170"/>
          </w:tcPr>
          <w:p>
            <w:r>
              <w:rPr>
                <w:sz w:val="17"/>
              </w:rPr>
            </w:r>
            <w:r>
              <w:rPr>
                <w:sz w:val="17"/>
              </w:rPr>
              <w:t>0.98</w:t>
            </w:r>
          </w:p>
        </w:tc>
        <w:tc>
          <w:tcPr>
            <w:tcW w:type="dxa" w:w="1170"/>
          </w:tcPr>
          <w:p>
            <w:r>
              <w:rPr>
                <w:sz w:val="17"/>
              </w:rPr>
            </w:r>
            <w:r>
              <w:rPr>
                <w:sz w:val="17"/>
              </w:rPr>
              <w:t>0.303</w:t>
            </w:r>
          </w:p>
        </w:tc>
        <w:tc>
          <w:tcPr>
            <w:tcW w:type="dxa" w:w="1170"/>
          </w:tcPr>
          <w:p>
            <w:r>
              <w:rPr>
                <w:sz w:val="17"/>
              </w:rPr>
            </w:r>
            <w:r>
              <w:rPr>
                <w:sz w:val="17"/>
              </w:rPr>
              <w:t>0.17</w:t>
            </w:r>
          </w:p>
        </w:tc>
        <w:tc>
          <w:tcPr>
            <w:tcW w:type="dxa" w:w="1170"/>
          </w:tcPr>
          <w:p>
            <w:r>
              <w:rPr>
                <w:sz w:val="17"/>
              </w:rPr>
            </w:r>
            <w:r>
              <w:rPr>
                <w:sz w:val="17"/>
              </w:rPr>
              <w:t>underpowered</w:t>
            </w:r>
          </w:p>
        </w:tc>
      </w:tr>
      <w:tr>
        <w:tc>
          <w:tcPr>
            <w:tcW w:type="dxa" w:w="1170"/>
          </w:tcPr>
          <w:p>
            <w:r>
              <w:rPr>
                <w:sz w:val="17"/>
              </w:rPr>
            </w:r>
            <w:r>
              <w:rPr>
                <w:sz w:val="17"/>
              </w:rPr>
              <w:t>OA knee → BMD femoral neck</w:t>
            </w:r>
          </w:p>
        </w:tc>
        <w:tc>
          <w:tcPr>
            <w:tcW w:type="dxa" w:w="1170"/>
          </w:tcPr>
          <w:p>
            <w:r>
              <w:rPr>
                <w:sz w:val="17"/>
              </w:rPr>
            </w:r>
            <w:r>
              <w:rPr>
                <w:sz w:val="17"/>
              </w:rPr>
              <w:t>69</w:t>
            </w:r>
          </w:p>
        </w:tc>
        <w:tc>
          <w:tcPr>
            <w:tcW w:type="dxa" w:w="1170"/>
          </w:tcPr>
          <w:p>
            <w:r>
              <w:rPr>
                <w:sz w:val="17"/>
              </w:rPr>
            </w:r>
            <w:r>
              <w:rPr>
                <w:sz w:val="17"/>
              </w:rPr>
              <w:t>+0.142</w:t>
            </w:r>
          </w:p>
        </w:tc>
        <w:tc>
          <w:tcPr>
            <w:tcW w:type="dxa" w:w="1170"/>
          </w:tcPr>
          <w:p>
            <w:r>
              <w:rPr>
                <w:sz w:val="17"/>
              </w:rPr>
            </w:r>
            <w:r>
              <w:rPr>
                <w:sz w:val="17"/>
              </w:rPr>
              <w:t>0.108</w:t>
            </w:r>
          </w:p>
        </w:tc>
        <w:tc>
          <w:tcPr>
            <w:tcW w:type="dxa" w:w="1170"/>
          </w:tcPr>
          <w:p>
            <w:r>
              <w:rPr>
                <w:sz w:val="17"/>
              </w:rPr>
            </w:r>
            <w:r>
              <w:rPr>
                <w:sz w:val="17"/>
              </w:rPr>
              <w:t>1.31</w:t>
            </w:r>
          </w:p>
        </w:tc>
        <w:tc>
          <w:tcPr>
            <w:tcW w:type="dxa" w:w="1170"/>
          </w:tcPr>
          <w:p>
            <w:r>
              <w:rPr>
                <w:sz w:val="17"/>
              </w:rPr>
            </w:r>
            <w:r>
              <w:rPr>
                <w:sz w:val="17"/>
              </w:rPr>
              <w:t>0.303</w:t>
            </w:r>
          </w:p>
        </w:tc>
        <w:tc>
          <w:tcPr>
            <w:tcW w:type="dxa" w:w="1170"/>
          </w:tcPr>
          <w:p>
            <w:r>
              <w:rPr>
                <w:sz w:val="17"/>
              </w:rPr>
            </w:r>
            <w:r>
              <w:rPr>
                <w:sz w:val="17"/>
              </w:rPr>
              <w:t>0.26</w:t>
            </w:r>
          </w:p>
        </w:tc>
        <w:tc>
          <w:tcPr>
            <w:tcW w:type="dxa" w:w="1170"/>
          </w:tcPr>
          <w:p>
            <w:r>
              <w:rPr>
                <w:sz w:val="17"/>
              </w:rPr>
            </w:r>
            <w:r>
              <w:rPr>
                <w:sz w:val="17"/>
              </w:rPr>
              <w:t>underpowered</w:t>
            </w:r>
          </w:p>
        </w:tc>
      </w:tr>
    </w:tbl>
    <w:p/>
    <w:p>
      <w:r>
        <w:t>MDE = (1.96 + 0.84) × SE is the minimum \|β\| detectable at 80% power with a two-sided α = 0.05; achieved power is computed for the observed point estimate. \|β\|/SE is invariant to the N-scale correction (§3.7), so all power statements are unaffected by it. For the fracture outcome the MDE corresponds to OR ≈ 1.07 per 1-SD lower total-body BMD, OR ≈ 1.09 per 1-SD lower femoral-neck BMD, and OR ≈ 1.36 per unit of the knee-OA exposure contrast as scaled in Table 3 (see the scale caveats in §3.5 and §3.7). K = strict instrument count.</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of the upper end of the femur. </w:t>
      </w:r>
      <w:r>
        <w:rPr>
          <w:i/>
        </w:rPr>
        <w:t>Ann Rheum Dis</w:t>
      </w:r>
      <w:r>
        <w:t>. 1972;31(4):259–264. doi:10.1136/ard.31.4.259.</w:t>
      </w:r>
    </w:p>
    <w:p>
      <w:r>
        <w:t xml:space="preserve">12. Dequeker J, Aerssens J, Luyten FP. Osteoarthritis and osteoporosis: clinical and research evidence of inverse relationship. </w:t>
      </w:r>
      <w:r>
        <w:rPr>
          <w:i/>
        </w:rPr>
        <w:t>Aging Clin Exp Res</w:t>
      </w:r>
      <w:r>
        <w:t>. 2003;15(5):426–439. doi:10.1007/BF03327364.</w:t>
      </w:r>
    </w:p>
    <w:p>
      <w:r>
        <w:t xml:space="preserve">13. Davey Smith G, Ebrahim S. 'Mendelian randomization': can genetic epidemiology contribute to understanding environmental determinants of disease? </w:t>
      </w:r>
      <w:r>
        <w:rPr>
          <w:i/>
        </w:rPr>
        <w:t>Int J Epidemiol</w:t>
      </w:r>
      <w:r>
        <w:t>. 2003;32(1):1–22. doi:10.1093/ije/dyg070.</w:t>
      </w:r>
    </w:p>
    <w:p>
      <w:r>
        <w:t xml:space="preserve">14. Burgess S, Thompson SG. Interpreting findings from Mendelian randomization using the MR-Egger method. </w:t>
      </w:r>
      <w:r>
        <w:rPr>
          <w:i/>
        </w:rPr>
        <w:t>Eur J Epidemiol</w:t>
      </w:r>
      <w:r>
        <w:t>. 2017;32(5):377–389. doi:10.1007/s10654-017-0255-0.</w:t>
      </w:r>
    </w:p>
    <w:p>
      <w:r>
        <w:t xml:space="preserve">15. Mounier N, Kutalik Z. Bias correction for inverse variance weighted Mendelian randomization. </w:t>
      </w:r>
      <w:r>
        <w:rPr>
          <w:i/>
        </w:rPr>
        <w:t>Genet Epidemiol</w:t>
      </w:r>
      <w:r>
        <w:t>. 2023;47:e22522. doi:10.1002/gepi.22522.</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