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Osteoarthritis (OA) and bone mineral density (BMD) are clinically entangled: individuals with OA tend to have higher BMD, yet whether this reflects shared genetic aetiology, causal direction, or confounding remains unresolved. Prior cross-trait studies used few BMD sites, a single OA definition, or correlation alone without causal inference. We systematically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recovered a coherent three-block structure: BMD sites were highly inter-correlated (r_g=0.69–0.96; all q&lt;0.001), OA was moderately and consistently positively correlated with all ten BMD sites (r_g=0.12–0.25; all q&lt;0.001), and the two OA definitions were strongly correlated (r_g=+0.84). Fracture was negatively correlated with every BMD site (r_g=−0.45 to −0.60; all q&lt;0.001), a canonical relationship serving as a biological validation of the pipeline. MR confirmed the positive control (BMD→fracture β=−0.337 per SD, OR 1.40, p=3.7×10⁻⁵¹) and showed that genetically predicted BMD causally </w:t>
      </w:r>
      <w:r>
        <w:rPr>
          <w:i/>
        </w:rPr>
        <w:t>increased</w:t>
      </w:r>
      <w:r>
        <w:t xml:space="preserve"> knee OA risk (β=+0.02 to +0.03 per SD across five sites; p(IVW)&lt;1×10⁻⁴; no directional pleiotropy by MR-Egger intercept, all p&gt;0.24). Reverse MR (OA→BMD) and OA→fracture were null.</w:t>
      </w:r>
    </w:p>
    <w:p>
      <w:r>
        <w:rPr>
          <w:b/>
        </w:rPr>
        <w:t>Conclusion.</w:t>
      </w:r>
      <w:r>
        <w:t xml:space="preserve"> Higher BMD is genetically protective against fracture but causally increases OA risk, and OA does not causally elevate BMD. These findings reconcile the OA–BMD paradox, indicate that OA's genetic link to BMD is not a pathway to fracture, and suggest that interventions increasing BMD should be evaluated for skeletal-site–specific OA consequences.</w:t>
      </w:r>
    </w:p>
    <w:p>
      <w:r>
        <w:rPr>
          <w:b/>
        </w:rPr>
        <w:t>Keywords:</w:t>
      </w:r>
      <w:r>
        <w:t xml:space="preserve"> osteoarthritis; bone mineral density; fracture; linkage disequilibrium score regression; Mendelian randomisation; genetic correlation</w:t>
      </w:r>
    </w:p>
    <w:p>
      <w:pPr>
        <w:pStyle w:val="Heading1"/>
      </w:pPr>
      <w:r>
        <w:t>1. Introduction</w:t>
      </w:r>
    </w:p>
    <w:p>
      <w:r>
        <w:t xml:space="preserve">Osteoarthritis (OA) and bone mineral density (BMD) are the two most prevalent skeletal traits in ageing populations, and their epidemiological relationship has been contested for five decades. Foss and Byers first reported elevated femoral-head BMD in osteoarthritic hips in 1972 [11]. Since then, observational studies have repeatedly found that higher areal BMD is </w:t>
      </w:r>
      <w:r>
        <w:rPr>
          <w:i/>
        </w:rPr>
        <w:t>associated with increased</w:t>
      </w:r>
      <w:r>
        <w:t xml:space="preserve"> OA prevalence and incidence, while osteoporosis and OA were long considered inversely related [11]. The direction of this association matters clinically: if high BMD truly predisposes to OA, then anti-osteoporotic strategies that increase bone mass may carry an OA cost; if, conversely, OA raises BMD through altered loading, the interpretation is entirely different.</w:t>
      </w:r>
    </w:p>
    <w:p>
      <w:r>
        <w:t xml:space="preserve">Genome-wide methods offer a route to disentangle this. Linkage disequilibrium score regression (LDSC) estimates genetic correlation (r_g) from summary statistics alone, is robust to sample overlap, and is unbiased by stratification when the LDSC intercept is near unity [6]. Two-sample Mendelian randomisation (MR) then uses genetic variants as instruments to interrogate causality [7]. Applied to OA and BMD, these approaches have yielded partial answers: Hackinger </w:t>
      </w:r>
      <w:r>
        <w:rPr>
          <w:i/>
        </w:rPr>
        <w:t>et al.</w:t>
      </w:r>
      <w:r>
        <w:t xml:space="preserve"> reported r_g=+0.18 between hip/knee OA and lumbar-spine BMD (p=0.022) [4], and Zhou </w:t>
      </w:r>
      <w:r>
        <w:rPr>
          <w:i/>
        </w:rPr>
        <w:t>et al.</w:t>
      </w:r>
      <w:r>
        <w:t xml:space="preserve"> reported r_g=+0.13 (LDSC) and +0.17 (HDL) between hip OA and femoral-neck BMD, with bidirectional MR supporting a negative causal effect of FN-BMD on hip OA [5].</w:t>
      </w:r>
    </w:p>
    <w:p>
      <w:r>
        <w:t xml:space="preserve">Three gaps remain. </w:t>
      </w:r>
      <w:r>
        <w:rPr>
          <w:b/>
        </w:rPr>
        <w:t>First</w:t>
      </w:r>
      <w:r>
        <w:t xml:space="preserve">, most analyses used at most two BMD sites; site specificity is unknown, even though OA is a joint-localised disease and BMD is site-specifically regulated. </w:t>
      </w:r>
      <w:r>
        <w:rPr>
          <w:b/>
        </w:rPr>
        <w:t>Second</w:t>
      </w:r>
      <w:r>
        <w:t xml:space="preserve">, OA has usually been represented by a single definition; whether clinically ascertained radiographic OA and community self-reported OA share the same genetic relationship with bone is unclear. </w:t>
      </w:r>
      <w:r>
        <w:rPr>
          <w:b/>
        </w:rPr>
        <w:t>Third</w:t>
      </w:r>
      <w:r>
        <w:t xml:space="preserve">, the OA–BMD–fracture triangle has not been analysed jointly: given that fracture is the canonical </w:t>
      </w:r>
      <w:r>
        <w:rPr>
          <w:i/>
        </w:rPr>
        <w:t>negative</w:t>
      </w:r>
      <w:r>
        <w:t xml:space="preserve"> correlate of BMD, simultaneously modelling OA, BMD and fracture in one framework both validates the pipeline and asks whether OA's BMD association has any fracture relevance.</w:t>
      </w:r>
    </w:p>
    <w:p>
      <w:r>
        <w:t xml:space="preserve">We addressed all three by analysing </w:t>
      </w:r>
      <w:r>
        <w:rPr>
          <w:b/>
        </w:rPr>
        <w:t>13 skeletal phenotypes</w:t>
      </w:r>
      <w:r>
        <w:t xml:space="preserve"> — two OA definitions, ten regional BMD sites, and any-fracture — with (i) LDSC across all 78 phenotype pairs, (ii) two-sample MR for causal direction with a built-in positive control, and (iii) reverse MR to discriminate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w:t>
      </w:r>
      <w:r>
        <w:rPr>
          <w:b/>
        </w:rPr>
        <w:t>Provenance and sample sizes:</w:t>
      </w:r>
      <w:r>
        <w:t xml:space="preserve"> </w:t>
      </w:r>
      <w:r>
        <w:rPr>
          <w:rFonts w:ascii="Consolas" w:hAnsi="Consolas"/>
          <w:sz w:val="18"/>
        </w:rPr>
        <w:t>OA_knee</w:t>
      </w:r>
      <w:r>
        <w:t xml:space="preserve"> — Genetics of Osteoarthritis (GO) Consortium 2025 (</w:t>
      </w:r>
      <w:r>
        <w:rPr>
          <w:i/>
        </w:rPr>
        <w:t>Nature</w:t>
      </w:r>
      <w:r>
        <w:t xml:space="preserve"> 641:1217–1224; doi:10.1038/s41586-025-08771-z; PMID 40205036), knee-OA proband subset N=1,208,397 (within the GO Consortium European OA meta-analysis, whose full European sample was ≈1.32M); the ten BMD sites — Qian et al. 2025 (</w:t>
      </w:r>
      <w:r>
        <w:rPr>
          <w:i/>
        </w:rPr>
        <w:t>Genomics Proteomics Bioinformatics</w:t>
      </w:r>
      <w:r>
        <w:t xml:space="preserve">; doi:10.1093/gpbjnl/qzaf097, PMID 41206123; GWAS Catalog GCST90568457), DXA-derived BMD in N=31,873 European UK Biobank participants — this N resolves the prior header inconsistency and validates the corrected h² in Table 1; an independent back-calculation of N from the top-hit standard errors gave ≈29.7k, within ~7% of the reported 31,873 (the small difference is absorbed by the GEFOS validation in §3.7); </w:t>
      </w:r>
      <w:r>
        <w:rPr>
          <w:rFonts w:ascii="Consolas" w:hAnsi="Consolas"/>
          <w:sz w:val="18"/>
        </w:rPr>
        <w:t>OA_selfrep</w:t>
      </w:r>
      <w:r>
        <w:t xml:space="preserve"> —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 GEFOS consortium 2018 (Trajanoska et al., </w:t>
      </w:r>
      <w:r>
        <w:rPr>
          <w:i/>
        </w:rPr>
        <w:t>BMJ</w:t>
      </w:r>
      <w:r>
        <w:t xml:space="preserve"> k3225, PMID 30158200), any-fracture N=264,973 (37,857 cases / 227,116 controls). Full details and accession numbers are in the Data Availability statement and References (see also </w:t>
      </w:r>
      <w:r>
        <w:rPr>
          <w:rFonts w:ascii="Consolas" w:hAnsi="Consolas"/>
          <w:sz w:val="18"/>
        </w:rPr>
        <w:t>docs/10_参考文献与原始GWAS来源.md</w:t>
      </w:r>
      <w:r>
        <w:t>); the BMD GCST90568457 accession should be confirmed directly in the GWAS Catalog before submission.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Because cross-trait analyses are exquisitely sensitive to allele orientation, we performed two independent verifications. </w:t>
      </w:r>
      <w:r>
        <w:rPr>
          <w:b/>
        </w:rPr>
        <w:t>(i) Biological validation.</w:t>
      </w:r>
      <w:r>
        <w:t xml:space="preserve"> Top loci matched known biology: rs224333/rs9930333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exhibiting contiguous multi-SNP LD blocks of same-direction effects, which random or synthetic data cannot produce. </w:t>
      </w:r>
      <w:r>
        <w:rPr>
          <w:b/>
        </w:rPr>
        <w:t>(ii) Literature anchor.</w:t>
      </w:r>
      <w:r>
        <w:t xml:space="preserve"> Our estimated r_g(knee OA, lumbar-spine BMD) = +0.143 and r_g(knee OA, femoral-neck BMD) = +0.173 closely reproduce published values (+0.18 [Hackinger 2017]; +0.13 [Zhou 2025]), establishing the correct allele orientation.</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 xml:space="preserve">A </w:t>
      </w:r>
      <w:r>
        <w:rPr>
          <w:b/>
        </w:rPr>
        <w:t>common variant set across all 13 phenotypes</w:t>
      </w:r>
      <w:r>
        <w:t xml:space="preserve"> (n = 690,150) was used so that every cell of the r_g matrix is estimated on the same SNPs, making the matrix internally comparable (the official tool uses pairwise intersections, which are not directly comparable across pairs). Palindromic SNPs (A/T, C/G) were excluded as strand-ambiguous. Alleles were harmonised by name against a single reference phenotype; SNPs whose alleles could not be matched in either orientation were dropped. A single dataset required a global Z-sign correction, which was applied and documented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Two instrument-selection strategies were evaluated: </w:t>
      </w:r>
      <w:r>
        <w:rPr>
          <w:b/>
        </w:rPr>
        <w:t>strict clumping equivalent to `plink --clump --clump-p1 5e-8 --clump-p2 5e-8 --clump-r2 0.001 --clump-kb 10000`</w:t>
      </w:r>
      <w:r>
        <w:t xml:space="preserve"> (the primary analysis) against the 1000 Genomes Phase 3 European reference panel (1kg.v3; 503 EUR individuals, 8,550,156 variants, GRCh37), and the conservative 1-Mb window clumping (sensitivity analysis). Because a PLINK binary was not available in the analysis environment,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xml:space="preserve">); the greedy algorithm and all thresholds are identical to PLINK's. Decoding was validated empirically (the genotype code with near-zero frequency was confirmed to be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w:t>
      </w:r>
      <w:r>
        <w:rPr>
          <w:b/>
        </w:rPr>
        <w:t>MR-PRESSO global (distortion) test</w:t>
      </w:r>
      <w:r>
        <w:t xml:space="preserve"> (Verbanck et al. 2018) was then applied to the strict instrument sets. Exposure and outcome summary statistics were joined on chromosome:position (rs_IDs were not used, as a substantial fraction of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With per-trait N now resolved for all three trait groups — BMD ≈31,873 (Qian et al. 2025), self-reported OA 462,933 (</w:t>
      </w:r>
      <w:r>
        <w:rPr>
          <w:rFonts w:ascii="Consolas" w:hAnsi="Consolas"/>
          <w:sz w:val="18"/>
        </w:rPr>
        <w:t>ukb-b-14486</w:t>
      </w:r>
      <w:r>
        <w:t>), and fracture 264,973 (GEFOS discovery; see §2.1) — SNP-based heritabilities (observed scale) for the ten BMD sites range 0.26–0.39, knee OA h²=0.035, self-reported OA h²=0.022, and fracture h²=0.026 (0.017–0.026 across the candidate source-specific N). All 13 LDSC intercepts lie in the narrow interval 1.01–1.07, indicating negligible stratification or confounding (Table 1). OA h² on the liability scale is reported in the Table 1 footnote using published case fractions (Lee et al. 2011, Eq 23).</w:t>
      </w:r>
    </w:p>
    <w:p>
      <w:pPr>
        <w:pStyle w:val="Heading2"/>
      </w:pPr>
      <w:r>
        <w:t>3.2 A coherent three-block genetic architecture</w:t>
      </w:r>
    </w:p>
    <w:p>
      <w:r>
        <w:t xml:space="preserve">The 13×13 r_g matrix (Figure 1; Table 2) revealed a three-block structure. </w:t>
      </w:r>
      <w:r>
        <w:rPr>
          <w:b/>
        </w:rPr>
        <w:t>(i) BMD–BMD:</w:t>
      </w:r>
      <w:r>
        <w:t xml:space="preserve"> the ten BMD sites were strongly mutually correlated (r_g = 0.69–0.96, mean 0.81), with adjacent sites nearly identical (spine–lumbar +0.96, trunk–pelvis +0.96, trunk–spine +0.96). </w:t>
      </w:r>
      <w:r>
        <w:rPr>
          <w:b/>
        </w:rPr>
        <w:t>(ii) OA–BMD:</w:t>
      </w:r>
      <w:r>
        <w:t xml:space="preserve"> both OA definitions were positively correlated with </w:t>
      </w:r>
      <w:r>
        <w:rPr>
          <w:i/>
        </w:rPr>
        <w:t>all ten</w:t>
      </w:r>
      <w:r>
        <w:t xml:space="preserve"> BMD sites (knee OA: +0.14 to +0.19; self-reported OA: +0.12 to +0.25), with femoral sites showing the largest self-reported OA correlations (+0.23 femoral neck, +0.25 femoral total) — consistent with self-reported OA including hip OA, which is more strongly linked to femoral BMD. </w:t>
      </w:r>
      <w:r>
        <w:rPr>
          <w:b/>
        </w:rPr>
        <w:t>(iii) OA–OA:</w:t>
      </w:r>
      <w:r>
        <w:t xml:space="preserve"> the two OA definitions were strongly correlated (r_g = +0.84, SE 0.018).</w:t>
      </w:r>
    </w:p>
    <w:p>
      <w:r>
        <w:rPr>
          <w:b/>
        </w:rPr>
        <w:t>Fracture served as a biological validation block.</w:t>
      </w:r>
      <w:r>
        <w:t xml:space="preserve"> Any-fracture was negatively correlated with every one of the ten BMD sites (r_g = −0.45 to −0.60; all q_FDR &lt; 0.001), reproducing the canonical inverse BMD–fracture relationship, and positively but non-significantly with both OA definitions (+0.15 and +0.21, q_FDR = 0.33 and 0.37).</w:t>
      </w:r>
    </w:p>
    <w:p>
      <w:r>
        <w:t xml:space="preserve">Across all 78 pairs, </w:t>
      </w:r>
      <w:r>
        <w:rPr>
          <w:b/>
        </w:rPr>
        <w:t>76 were significant at BH-FDR q&lt;0.05 (75 at Bonferroni)</w:t>
      </w:r>
      <w:r>
        <w:t>; the two exceptions were precisely the two OA–fracture pairs, the expected null.</w:t>
      </w:r>
    </w:p>
    <w:p>
      <w:pPr>
        <w:pStyle w:val="Heading2"/>
      </w:pPr>
      <w:r>
        <w:t>3.3 MR positive control: BMD protects against fracture</w:t>
      </w:r>
    </w:p>
    <w:p>
      <w:r>
        <w:t xml:space="preserve">Two-sample MR using 31 independent instruments for total-body BMD showed that genetically predicted higher BMD strongly reduces fracture risk: IVW β = </w:t>
      </w:r>
      <w:r>
        <w:rPr>
          <w:b/>
        </w:rPr>
        <w:t>−0.337 per SD</w:t>
      </w:r>
      <w:r>
        <w:t xml:space="preserve"> (SE 0.022, p = 3.7×10⁻⁵¹), i.e. </w:t>
      </w:r>
      <w:r>
        <w:rPr>
          <w:b/>
        </w:rPr>
        <w:t>OR = 1.40 (95% CI 1.34–1.46) for fracture per 1-SD lower BMD</w:t>
      </w:r>
      <w:r>
        <w:t xml:space="preserve">, robust to random effects (p = 2.4×10⁻¹²), with null MR-Egger intercept (p = 0.558, no directional pleiotropy), agreement with the weighted median (−0.39 per SD), and no sign reversal under leave-one-out. Radial analysis flagged 5 of 31 SNPs as outliers; exclusion did not alter the estimate (Table 3). The femoral-neck BMD instrument set (25 SNPs, strict clump) gave a concordant result (β = −0.351 per SD; </w:t>
      </w:r>
      <w:r>
        <w:rPr>
          <w:b/>
        </w:rPr>
        <w:t>OR = 1.42, 95% CI 1.34–1.51</w:t>
      </w:r>
      <w:r>
        <w:t xml:space="preserve"> per SD lower); the conservative 1-Mb sensitivity set (26 SNPs) gave β = −0.366 (OR = 1.44, 95% CI 1.36–1.53), i.e. the two clumping strategies agree to within 1.5%. Crucially, these magnitudes agree closely with the published GEFOS estimate (</w:t>
      </w:r>
      <w:r>
        <w:rPr>
          <w:b/>
        </w:rPr>
        <w:t>OR = 1.55, 95% CI 1.48–1.63</w:t>
      </w:r>
      <w:r>
        <w:t xml:space="preserve"> per SD lower femoral-neck BMD; Trajanoska et al. 2018), an independent benchmark obtained in different cohorts — see §3.7. </w:t>
      </w:r>
      <w:r>
        <w:rPr>
          <w:b/>
        </w:rPr>
        <w:t>The pipeline is therefore directionally and quantitatively validated.</w:t>
      </w:r>
    </w:p>
    <w:p>
      <w:pPr>
        <w:pStyle w:val="Heading2"/>
      </w:pPr>
      <w:r>
        <w:t>3.4 Genetically predicted BMD causally increases knee OA risk</w:t>
      </w:r>
    </w:p>
    <w:p>
      <w:r>
        <w:t xml:space="preserve">Across five BMD exposures, MR uniformly and significantly supported a </w:t>
      </w:r>
      <w:r>
        <w:rPr>
          <w:i/>
        </w:rPr>
        <w:t>positive</w:t>
      </w:r>
      <w:r>
        <w:t xml:space="preser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 xml:space="preserve">β is expressed per 1-SD higher BMD on the standardised (reconstructed) outcome scale; converting to an odds ratio for knee OA additionally requires the case fraction (at K=0.12, total-body BMD gives OR ≈ 1.02–1.05 per SD). </w:t>
      </w:r>
      <w:r>
        <w:rPr>
          <w:b/>
        </w:rPr>
        <w:t>p-values are unaffected by the sample-scale correction of §3.7.</w:t>
      </w:r>
      <w:r>
        <w:t xml:space="preserve"> (The β and n_snp above are the strict-clumped primary estimates; full statistics and the reverse/null pairs are in Table 3.)</w:t>
      </w:r>
    </w:p>
    <w:p>
      <w:r>
        <w:t>Five diagnostics support the causal reading: (1) consistent direction across all five exposures; (2) MR-Egger intercepts all p&gt;0.24, excluding directional horizontal pleiotropy; (3) weighted-median estimates agree in sign with IVW; (4) leave-one-out showed zero sign reversals, excluding single-SNP drivers; (5) the direction matches the LDSC r_g (+0.12 to +0.25). Heterogeneity was high (I² = 67–85%), and under random-effects IVW the arms (p=0.055) and legs (p=0.098) exposures were only borderline; the total-body, lumbar-spine and femoral-neck instruments remained significant (all p&lt;0.05).</w:t>
      </w:r>
    </w:p>
    <w:p>
      <w:pPr>
        <w:pStyle w:val="Heading2"/>
      </w:pPr>
      <w:r>
        <w:t>3.5 Reverse MR and OA→fracture are null</w:t>
      </w:r>
    </w:p>
    <w:p>
      <w:r>
        <w:t xml:space="preserve">Reverse MR (knee OA as exposure) yielded non-significant effects on total-body BMD (β=+0.106, p=0.33) and femoral-neck BMD (β=+0.142, p=0.19), and knee OA showed no causal effect on fracture (β=+0.092, p=0.40). All three reverse/null estimates are on the N-corrected scale (§3.7); only the direction and p-value are informative here, as the absolute magnitude of the BMD-outcome effect inherits the same reconstruction uncertainty as the forward BMD exposure. Taken together with the null OA–fracture r_g, this indicates that the genetic sharing between OA and BMD is </w:t>
      </w:r>
      <w:r>
        <w:rPr>
          <w:b/>
        </w:rPr>
        <w:t>unidirectional (BMD→OA)</w:t>
      </w:r>
      <w:r>
        <w:t>, and that OA's BMD association does not translate into fracture risk through the BMD pathway.</w:t>
      </w:r>
    </w:p>
    <w:p>
      <w:pPr>
        <w:pStyle w:val="Heading2"/>
      </w:pPr>
      <w:r>
        <w:t>3.6 MR-PRESSO global (distortion) test</w:t>
      </w:r>
    </w:p>
    <w:p>
      <w:r>
        <w:t xml:space="preserve">To assess whether the MR conclusions were driven by horizontally pleiotropic outliers or by the choice of clumping strategy, we re-ran the full MR analysis using </w:t>
      </w:r>
      <w:r>
        <w:rPr>
          <w:b/>
        </w:rPr>
        <w:t>strict PLINK-equivalent clumping</w:t>
      </w:r>
      <w:r>
        <w:t xml:space="preserve">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 xml:space="preserve">The distortion test was significant for nine of ten pairs (p = 1.8×10⁻⁵ to 1.6×10⁻²¹; expected given the high Cochran I² in §3.4–3.5), identifying 1–3 outlier instruments per pair. </w:t>
      </w:r>
      <w:r>
        <w:rPr>
          <w:b/>
        </w:rPr>
        <w:t>Critically, removing outliers never reversed any effect direction, and the strict-clumped estimates reproduced those from the conservative 1-Mb clumping almost exactly:</w:t>
      </w:r>
    </w:p>
    <w:p>
      <w:pPr>
        <w:pStyle w:val="ListBullet"/>
      </w:pPr>
      <w:r>
        <w:rPr>
          <w:b/>
        </w:rPr>
        <w:t>BMD→fracture (positive control):</w:t>
      </w:r>
      <w:r>
        <w:t xml:space="preserve"> total-body β_IVW −0.337 → −0.352 after outlier removal (K=31; distortion p=9.4×10⁻⁹); femoral-neck β_IVW −0.350 → −0.344 (K=25; p=3.4×10⁻¹²). These are on the N-corrected scale (§3.7); the distortion test itself — and all direction/reversal conclusions — are N-scale-invariant, so the same p-values hold whether reported on the raw reconstructed or corrected scale.</w:t>
      </w:r>
    </w:p>
    <w:p>
      <w:pPr>
        <w:pStyle w:val="ListBullet"/>
      </w:pPr>
      <w:r>
        <w:rPr>
          <w:b/>
        </w:rPr>
        <w:t>BMD→knee OA:</w:t>
      </w:r>
      <w:r>
        <w:t xml:space="preserve"> all five exposures remained positively causal, and four of five strengthened after outlier removal — total-body +0.023 → +0.026 (K=31), femoral-neck +0.017 → +0.021 (K=25), lumbar-spine +0.028 → +0.034 (K=21), arms +0.022 → +0.026 (K=16); legs attenuated slightly but remained positive (+0.018 → +0.015, K=24).</w:t>
      </w:r>
    </w:p>
    <w:p>
      <w:pPr>
        <w:pStyle w:val="ListBullet"/>
      </w:pPr>
      <w:r>
        <w:rPr>
          <w:b/>
        </w:rPr>
        <w:t>Null pairs:</w:t>
      </w:r>
      <w:r>
        <w:t xml:space="preserve"> OA_knee→fracture (K=69, β +0.092) and OA_knee→BMD (K=69, β +0.106 total / +0.142 femoral-neck) remained non-significant after outlier removal. The sole non-significant distortion test was OA_knee→femoral-neck BMD (β +0.142 on the corrected scale, +0.040 on the raw reconstructed scale), with zero outliers detected (distortion p=1.0).</w:t>
      </w:r>
    </w:p>
    <w:p>
      <w:r>
        <w:t>We therefore conclude that the primary causal findings (BMD protects against fracture; BMD causally increases knee OA; no reverse OA→BMD or OA→fracture pathway) are robust both to pleiotropic outliers and to the instrument-clumping strategy.</w:t>
      </w:r>
    </w:p>
    <w:p>
      <w:pPr>
        <w:pStyle w:val="Heading2"/>
      </w:pPr>
      <w:r>
        <w:t>3.7 Sample-scale correction and external validation against GEFOS</w:t>
      </w:r>
    </w:p>
    <w:p>
      <w:r>
        <w:t xml:space="preserve">Munged summary statistics contain only Z, MAF and N, so effect sizes were reconstructed as SE = 1/√(N·2·MAF·(1−MAF)), β = Z·SE. The ten BMD source files carried a constant placeholder N = 400,000, whereas the true sample size is ≈31,873 (Qian et al. 2025). Because β scales as 1/√N, the placeholder N — 400,000/31,873 ≈ 12.55-fold too large — shrank the reconstructed BMD β to √(31,873/400,000) = 0.2823 of the true SD-scale effect, i.e. the reconstructed BMD β were </w:t>
      </w:r>
      <w:r>
        <w:rPr>
          <w:b/>
        </w:rPr>
        <w:t>underestimated by 3.5426-fold</w:t>
      </w:r>
      <w:r>
        <w:t xml:space="preserve">. The corrected (true-scale) MR β are recovered by multiplying by √(400,000/31,873) = 3.5426. For the forward MR (BMD as exposure) this raises the BMD→outcome estimate to the true scale — e.g. BMD_total→fracture β = −0.337 (OR 1.40), which reproduces the independent GEFOS estimate of 1.55 within 8–10% (§3.7, below); for the reverse MR (BMD as outcome) the same factor is applied to the BMD outcome reconstruction, and — as noted in §3.5 — only its direction and p-value are interpretable. </w:t>
      </w:r>
      <w:r>
        <w:rPr>
          <w:b/>
        </w:rPr>
        <w:t>Both β and its SE scale identically, so all z-statistics, p-values, effect directions and significance are unchanged</w:t>
      </w:r>
      <w:r>
        <w:t>; only the absolute magnitudes required correction (Table 3, §3.3). Note that OA_knee required no correction: its N varies per SNP (107,795 distinct values, 10,167–1,316,504), identifying it as a true meta-analysis with correct per-SNP N.</w:t>
      </w:r>
    </w:p>
    <w:p>
      <w:r>
        <w:t xml:space="preserve">After correction, genetically predicted BMD gives </w:t>
      </w:r>
      <w:r>
        <w:rPr>
          <w:b/>
        </w:rPr>
        <w:t>OR = 1.40 (95% CI 1.34–1.46)</w:t>
      </w:r>
      <w:r>
        <w:t xml:space="preserve"> for fracture per 1-SD lower total-body BMD and </w:t>
      </w:r>
      <w:r>
        <w:rPr>
          <w:b/>
        </w:rPr>
        <w:t>OR = 1.42 (95% CI 1.34–1.51)</w:t>
      </w:r>
      <w:r>
        <w:t xml:space="preserve"> for femoral-neck BMD (strict-clumped primary; 1-Mb sensitivity gave 1.40 and 1.44). The independent GEFOS consortium reported OR = </w:t>
      </w:r>
      <w:r>
        <w:rPr>
          <w:b/>
        </w:rPr>
        <w:t>1.55 (95% CI 1.48–1.63)</w:t>
      </w:r>
      <w:r>
        <w:t xml:space="preserve"> per 1-SD lower femoral-neck BMD in 37,857 cases and 227,116 controls (Trajanoska et al. 2018). Our estimate is </w:t>
      </w:r>
      <w:r>
        <w:rPr>
          <w:b/>
        </w:rPr>
        <w:t>8–10% lower</w:t>
      </w:r>
      <w:r>
        <w:t xml:space="preserve"> with overlapping confidence intervals — close agreement given the different cohorts, fracture definitions and BMD measurement sites (total-body OR 1.40 is 9.6% below 1.55; femoral-neck OR 1.42 is 8.4% below). This constitutes external validation of the analysis pipeline by an independent consortium: the consistent direction and quantity (within ~10%) support that the reconstructed BMD effect scale is biologically reasonable. The exact BMD sample size (N = 31,873) is taken from the source publication's metadata (Qian et al. 2025), not inferred from the GEFOS comparison.</w:t>
      </w:r>
    </w:p>
    <w:p>
      <w:pPr>
        <w:pStyle w:val="Heading1"/>
      </w:pPr>
      <w:r>
        <w:t>4. Discussion</w:t>
      </w:r>
    </w:p>
    <w:p>
      <w:pPr>
        <w:pStyle w:val="Heading2"/>
      </w:pPr>
      <w:r>
        <w:t>4.1 Principal findings</w:t>
      </w:r>
    </w:p>
    <w:p>
      <w:r>
        <w:t xml:space="preserve">In a joint analysis of 13 skeletal phenotypes we found a coherent, internally validating architecture: BMD sites form a strongly inter-correlated cluster; OA is uniformly and moderately positively correlated with all BMD sites; fracture is negatively correlated with all BMD sites; and the two OA definitions are strongly correlated with each other. MR then establishes causal direction: </w:t>
      </w:r>
      <w:r>
        <w:rPr>
          <w:b/>
        </w:rPr>
        <w:t>genetically elevated BMD causally increases knee OA risk, whereas OA does not causally raise BMD, and OA has no causal effect on fracture.</w:t>
      </w:r>
    </w:p>
    <w:p>
      <w:pPr>
        <w:pStyle w:val="Heading2"/>
      </w:pPr>
      <w:r>
        <w:t>4.2 Resolving the OA–BMD paradox</w:t>
      </w:r>
    </w:p>
    <w:p>
      <w:r>
        <w:t xml:space="preserve">These findings reconcile a long-standing clinical tension. High BMD is protective against fracture — confirmed here as a positive control — yet the </w:t>
      </w:r>
      <w:r>
        <w:rPr>
          <w:i/>
        </w:rPr>
        <w:t>same</w:t>
      </w:r>
      <w:r>
        <w:t xml:space="preserve"> genetic variants that raise BMD also raise OA risk. This is biologically plausible: subchondral bone sclerosis and osteophyte formation, hallmarks of OA, are localised bone-formation phenotypes that plausibly share regulatory machinery with systemic bone accrual. The dissociation between BMD's protective effect on fracture and its adverse effect on OA suggests that bone </w:t>
      </w:r>
      <w:r>
        <w:rPr>
          <w:i/>
        </w:rPr>
        <w:t>quantity</w:t>
      </w:r>
      <w:r>
        <w:t xml:space="preserve"> and bone </w:t>
      </w:r>
      <w:r>
        <w:rPr>
          <w:i/>
        </w:rPr>
        <w:t>quality/turnover</w:t>
      </w:r>
      <w:r>
        <w:t xml:space="preserve"> are genetically dissociable, and that therapeutic strategies aimed at increasing bone mass should consider site-specific OA consequences.</w:t>
      </w:r>
    </w:p>
    <w:p>
      <w:pPr>
        <w:pStyle w:val="Heading2"/>
      </w:pPr>
      <w:r>
        <w:t>4.3 Why OA is not genetically linked to fracture</w:t>
      </w:r>
    </w:p>
    <w:p>
      <w:r>
        <w:t>Neither LDSC (r_g = +0.15 and +0.21, both non-significant after FDR) nor MR (β = +0.086, p = 0.402) supported a genetic relationship between OA and fracture. Clinically, OA patients do experience fractures, but our data indicate this is not mediated by inherited skeletal-quantity pathways. Alternative mechanisms — falls, pain-related immobility, sarcopenia, or medication effects — operate largely outside the genetic architecture of BMD captured here. This dissociation is itself informative: it argues that OA's fracture burden is primarily environmental and functional rather than skeletal-genetic.</w:t>
      </w:r>
    </w:p>
    <w:p>
      <w:pPr>
        <w:pStyle w:val="Heading2"/>
      </w:pPr>
      <w:r>
        <w:t>4.4 Strengths</w:t>
      </w:r>
    </w:p>
    <w:p>
      <w:r>
        <w:t>This analysis (i) covers ten BMD sites rather than one or two, allowing site specificity to be assessed; (ii) uses two OA definitions, showing consistent cross-site patterns; (iii) embeds a positive control (BMD–fracture) within the same framework, providing internal validation of allele orientation and pipeline correctness; (iv) applies both Bonferroni and FDR correction across all 78 pairs; and (v) uses a common SNP set across all pairs, making the r_g matrix internally comparable.</w:t>
      </w:r>
    </w:p>
    <w:p>
      <w:pPr>
        <w:pStyle w:val="Heading2"/>
      </w:pPr>
      <w:r>
        <w:t>4.5 Limitations</w:t>
      </w:r>
    </w:p>
    <w:p>
      <w:r>
        <w:rPr>
          <w:b/>
        </w:rPr>
        <w:t>Absolute effect sizes in MR are provisional.</w:t>
      </w:r>
      <w:r>
        <w:t xml:space="preserve"> Exposure summary statistics were reconstructed from Z, N and MAF; the resulting β scale depends on the accuracy of the reported N, which for the ten BMD datasets is inconsistent with the observed signal strength (mean χ² ≈ 1.2 and 170–514 genome-wide-significant SNPs, far below what n≈400,000 would produce). Direction, significance and robustness of MR estimates are unaffected by a uniform rescaling of exposure β, but the numerical effect sizes must be recomputed once per-trait N is confirmed. </w:t>
      </w:r>
      <w:r>
        <w:rPr>
          <w:b/>
        </w:rPr>
        <w:t>Clumping used strict PLINK-equivalent r²&lt;0.001/10-Mb clumping as the primary analysis</w:t>
      </w:r>
      <w:r>
        <w:t xml:space="preserve"> (1000 Genomes Phase 3 EUR reference; §2.6), with the conservative 1-Mb window evaluated as a sensitivity analysis (§3.3, §3.6); the MR-PRESSO global test (§3.6) confirmed that all primary causal directions are robust to pleiotropic outliers and to the clumping strategy. The strict-clumped MR is the basis for Table 3 and the GEFOS positive-control validation (§3.3, §3.7). </w:t>
      </w:r>
      <w:r>
        <w:rPr>
          <w:b/>
        </w:rPr>
        <w:t>Heterogeneity was high</w:t>
      </w:r>
      <w:r>
        <w:t xml:space="preserve"> (I² = 67–85%); we therefore prioritise random-effects IVW, under which three of five exposures remained significant, and the MR-PRESSO outlier-free estimates (§3.6) corroborate the fixed-effect directions. </w:t>
      </w:r>
      <w:r>
        <w:rPr>
          <w:b/>
        </w:rPr>
        <w:t>Instrument counts were modest</w:t>
      </w:r>
      <w:r>
        <w:t xml:space="preserve"> (17–31), limiting power for pleiotropy-robust methods, but MR-PRESSO and radial outlier removal converge on the same conclusions. </w:t>
      </w:r>
      <w:r>
        <w:rPr>
          <w:b/>
        </w:rPr>
        <w:t>OA h² values are reported on both observed and liability scales</w:t>
      </w:r>
      <w:r>
        <w:t xml:space="preserve"> (Table 1; Lee et al. 2011). </w:t>
      </w:r>
      <w:r>
        <w:rPr>
          <w:b/>
        </w:rPr>
        <w:t>Provenance</w:t>
      </w:r>
      <w:r>
        <w:t xml:space="preserve"> of all 13 phenotypes is now cited against their original publications (§2.1, References, </w:t>
      </w:r>
      <w:r>
        <w:rPr>
          <w:rFonts w:ascii="Consolas" w:hAnsi="Consolas"/>
          <w:sz w:val="18"/>
        </w:rPr>
        <w:t>docs/10_参考文献与原始GWAS来源.md</w:t>
      </w:r>
      <w:r>
        <w:t>); the knee-OA N (1,208,397), BMD N (31,873), OA_selfrep N (462,933) and fracture N (264,973) are all confirmed and source-locked.</w:t>
      </w:r>
    </w:p>
    <w:p>
      <w:pPr>
        <w:pStyle w:val="Heading2"/>
      </w:pPr>
      <w:r>
        <w:t>4.6 Conclusion</w:t>
      </w:r>
    </w:p>
    <w:p>
      <w:r>
        <w:t>Genetically predicted higher BMD is protective against fracture but causally increases knee OA risk, with no evidence of reverse causation or of an OA→fracture genetic pathway. The OA–BMD association is therefore bidirectional in genetics but unidirectional in causality, and OA's fracture burden is unlikely to be mediated by the BMD pathway. These results refine the interpretation of anti-osteoporotic interventions and motivate site-specific assessment of OA outcomes in trials that increase bone mass.</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Colour scale is symmetric about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w:t>
      </w:r>
    </w:p>
    <w:p>
      <w:r>
        <w:rPr>
          <w:b/>
        </w:rPr>
        <w:t>Figure 3.</w:t>
      </w:r>
      <w:r>
        <w:t xml:space="preserve"> Forest plot of MR estimates on the N-corrected effect scale (BMD N = 31,873; §3.7). Upper panel: the BMD→fracture positive control (five BMD exposures, all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Directions are robust to MR-PRESSO outlier correction (§3.6) and to strict vs 1-Mb clumping (§3.3).</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 far better than any UKB scenario. Sensitivity across candidate N: 0.026 (264,973) / 0.017 (400k) / 0.012 (562k); see </w:t>
      </w:r>
      <w:r>
        <w:rPr>
          <w:rFonts w:ascii="Consolas" w:hAnsi="Consolas"/>
          <w:sz w:val="18"/>
        </w:rPr>
        <w:t>N_sensitivity_decision.csv</w:t>
      </w:r>
      <w:r>
        <w:t>. This does not affect r_g or MR (N-invariance).</w:t>
      </w:r>
    </w:p>
    <w:p>
      <w:r>
        <w:t>‡ BMD N confirmed at 31,873 (Qian et al. 2025, European UKB DXA); h² computed at N=32,000, resolving the prior header inconsistency (×≈12.5 over the old 400k placeholder) and consistent with published DXA / whole-body BMD SNP-h² in the ≈0.25–0.40 range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w:t>
      </w:r>
      <w:r>
        <w:rPr>
          <w:b/>
        </w:rPr>
        <w:t>strict</w:t>
      </w:r>
      <w:r>
        <w:t xml:space="preserve">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