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Bone Mineral Density and Osteoarthritis Share Genetic Architecture but Not Causal Pathways to Fracture: A Cross-Trait Analysis of 13 Skeletal Phenotypes</w:t>
      </w:r>
    </w:p>
    <w:p>
      <w:pPr>
        <w:pStyle w:val="Heading1"/>
      </w:pPr>
      <w:r>
        <w:t>Abstract</w:t>
      </w:r>
    </w:p>
    <w:p>
      <w:r>
        <w:rPr>
          <w:b/>
        </w:rPr>
        <w:t>Objective.</w:t>
      </w:r>
      <w:r>
        <w:t xml:space="preserve"> Osteoarthritis (OA) and bone mineral density (BMD) are clinically entangled: individuals with OA tend to have higher BMD, yet whether this reflects shared genetic aetiology, causal direction, or confounding remains unresolved. Prior cross-trait studies used few BMD sites, a single OA definition, or correlation alone without causal inference. We systematically quantified genetic sharing and causal direction across 13 skeletal phenotypes.</w:t>
      </w:r>
    </w:p>
    <w:p>
      <w:r>
        <w:rPr>
          <w:b/>
        </w:rPr>
        <w:t>Methods.</w:t>
      </w:r>
      <w:r>
        <w:t xml:space="preserve"> We used genome-wide summary statistics for radiographic knee OA (n≈1.21 million; knee-OA subset of the GO Consortium European meta-analysis), self-reported OA (n≈463,000; IEU OpenGWAS </w:t>
      </w:r>
      <w:r>
        <w:rPr>
          <w:rFonts w:ascii="Consolas" w:hAnsi="Consolas"/>
          <w:sz w:val="18"/>
        </w:rPr>
        <w:t>ukb-b-14486</w:t>
      </w:r>
      <w:r>
        <w:t>), ten regional BMD sites (femoral neck, femoral total, lumbar spine, and DXA-derived total/arms/legs/pelvis/rib/spine/trunk; n=31,873 European UK Biobank), and any-fracture (n=264,973; GEFOS consortium). We performed linkage disequilibrium score regression (LDSC) on 78 phenotype pairs using a common variant set (n=690,150 SNPs; 1000 Genomes EUR reference, M=1,290,050), with Bonferroni and Benjamini–Hochberg correction. Causal direction was assessed by two-sample Mendelian randomisation (MR; IVW, MR-Egger, weighted median, Cochran's Q, radial outlier removal, leave-one-out), with genetic protection of BMD against fracture as a positive control.</w:t>
      </w:r>
    </w:p>
    <w:p>
      <w:r>
        <w:rPr>
          <w:b/>
        </w:rPr>
        <w:t>Results.</w:t>
      </w:r>
      <w:r>
        <w:t xml:space="preserve"> LDSC recovered a coherent three-block structure: BMD sites were highly inter-correlated (r_g=0.69–0.96; all q&lt;0.001), OA was moderately and consistently positively correlated with all ten BMD sites (r_g=0.12–0.25; all q&lt;0.001), and the two OA definitions were strongly correlated (r_g=+0.84). Fracture was negatively correlated with every BMD site (r_g=−0.45 to −0.60; all q&lt;0.001), a canonical relationship serving as a biological validation of the pipeline. MR confirmed the positive control (BMD→fracture β=−0.337 per SD, OR 1.40, p=3.7×10⁻⁵¹) and showed that genetically predicted BMD causally </w:t>
      </w:r>
      <w:r>
        <w:rPr>
          <w:i/>
        </w:rPr>
        <w:t>increased</w:t>
      </w:r>
      <w:r>
        <w:t xml:space="preserve"> knee OA risk (β=+0.02 to +0.03 per SD across five sites; p(IVW)&lt;1×10⁻⁴; no directional pleiotropy by MR-Egger intercept, all p&gt;0.24). Reverse MR (OA→BMD) and OA→fracture were null.</w:t>
      </w:r>
    </w:p>
    <w:p>
      <w:r>
        <w:rPr>
          <w:b/>
        </w:rPr>
        <w:t>Conclusion.</w:t>
      </w:r>
      <w:r>
        <w:t xml:space="preserve"> Higher BMD is genetically protective against fracture but causally increases OA risk, and OA does not causally elevate BMD. These findings reconcile the OA–BMD paradox, indicate that OA's genetic link to BMD is not a pathway to fracture, and suggest that interventions increasing BMD should be evaluated for skeletal-site–specific OA consequences.</w:t>
      </w:r>
    </w:p>
    <w:p>
      <w:r>
        <w:rPr>
          <w:b/>
        </w:rPr>
        <w:t>Keywords:</w:t>
      </w:r>
      <w:r>
        <w:t xml:space="preserve"> osteoarthritis; bone mineral density; fracture; linkage disequilibrium score regression; Mendelian randomisation; genetic correlation</w:t>
      </w:r>
    </w:p>
    <w:p>
      <w:pPr>
        <w:pStyle w:val="Heading1"/>
      </w:pPr>
      <w:r>
        <w:t>1. Introduction</w:t>
      </w:r>
    </w:p>
    <w:p>
      <w:r>
        <w:t xml:space="preserve">Osteoarthritis (OA) and bone mineral density (BMD) are the two most prevalent skeletal traits in ageing populations, and their epidemiological relationship has been contested for five decades. Foss and Byers first reported elevated femoral-head BMD in osteoarthritic hips in 1972 [11]. Since then, observational studies have repeatedly found that higher areal BMD is </w:t>
      </w:r>
      <w:r>
        <w:rPr>
          <w:i/>
        </w:rPr>
        <w:t>associated with increased</w:t>
      </w:r>
      <w:r>
        <w:t xml:space="preserve"> OA prevalence and incidence, while osteoporosis and OA were long considered inversely related [11]. The direction of this association matters clinically: if high BMD truly predisposes to OA, then anti-osteoporotic strategies that increase bone mass may carry an OA cost; if, conversely, OA raises BMD through altered loading, the interpretation is entirely different.</w:t>
      </w:r>
    </w:p>
    <w:p>
      <w:r>
        <w:t xml:space="preserve">Genome-wide methods offer a route to disentangle this. Linkage disequilibrium score regression (LDSC) estimates genetic correlation (r_g) from summary statistics alone, is robust to sample overlap, and is unbiased by stratification when the LDSC intercept is near unity [6]. Two-sample Mendelian randomisation (MR) then uses genetic variants as instruments to interrogate causality [7]. Applied to OA and BMD, these approaches have yielded partial answers: Hackinger </w:t>
      </w:r>
      <w:r>
        <w:rPr>
          <w:i/>
        </w:rPr>
        <w:t>et al.</w:t>
      </w:r>
      <w:r>
        <w:t xml:space="preserve"> reported r_g=+0.18 between hip/knee OA and lumbar-spine BMD (p=0.022) [4], and Zhou </w:t>
      </w:r>
      <w:r>
        <w:rPr>
          <w:i/>
        </w:rPr>
        <w:t>et al.</w:t>
      </w:r>
      <w:r>
        <w:t xml:space="preserve"> reported r_g=+0.13 (LDSC) and +0.17 (HDL) between hip OA and femoral-neck BMD, with bidirectional MR supporting a negative causal effect of FN-BMD on hip OA [5].</w:t>
      </w:r>
    </w:p>
    <w:p>
      <w:r>
        <w:t xml:space="preserve">Three gaps remain. </w:t>
      </w:r>
      <w:r>
        <w:rPr>
          <w:b/>
        </w:rPr>
        <w:t>First</w:t>
      </w:r>
      <w:r>
        <w:t xml:space="preserve">, most analyses used at most two BMD sites; site specificity is unknown, even though OA is a joint-localised disease and BMD is site-specifically regulated. </w:t>
      </w:r>
      <w:r>
        <w:rPr>
          <w:b/>
        </w:rPr>
        <w:t>Second</w:t>
      </w:r>
      <w:r>
        <w:t xml:space="preserve">, OA has usually been represented by a single definition; whether clinically ascertained radiographic OA and community self-reported OA share the same genetic relationship with bone is unclear. </w:t>
      </w:r>
      <w:r>
        <w:rPr>
          <w:b/>
        </w:rPr>
        <w:t>Third</w:t>
      </w:r>
      <w:r>
        <w:t xml:space="preserve">, the OA–BMD–fracture triangle has not been analysed jointly: given that fracture is the canonical </w:t>
      </w:r>
      <w:r>
        <w:rPr>
          <w:i/>
        </w:rPr>
        <w:t>negative</w:t>
      </w:r>
      <w:r>
        <w:t xml:space="preserve"> correlate of BMD, simultaneously modelling OA, BMD and fracture in one framework both validates the pipeline and asks whether OA's BMD association has any fracture relevance.</w:t>
      </w:r>
    </w:p>
    <w:p>
      <w:r>
        <w:t xml:space="preserve">We addressed all three by analysing </w:t>
      </w:r>
      <w:r>
        <w:rPr>
          <w:b/>
        </w:rPr>
        <w:t>13 skeletal phenotypes</w:t>
      </w:r>
      <w:r>
        <w:t xml:space="preserve"> — two OA definitions, ten regional BMD sites, and any-fracture — with (i) LDSC across all 78 phenotype pairs, (ii) two-sample MR for causal direction with a built-in positive control, and (iii) reverse MR to discriminate BMD→OA from OA→BMD.</w:t>
      </w:r>
    </w:p>
    <w:p>
      <w:pPr>
        <w:pStyle w:val="Heading1"/>
      </w:pPr>
      <w:r>
        <w:t>2. Methods</w:t>
      </w:r>
    </w:p>
    <w:p>
      <w:pPr>
        <w:pStyle w:val="Heading2"/>
      </w:pPr>
      <w:r>
        <w:t>2.1 GWAS summary statistics</w:t>
      </w:r>
    </w:p>
    <w:p>
      <w:r>
        <w:t>Thirteen genome-wide summary-statistic datasets were analysed: radiographic knee OA (</w:t>
      </w:r>
      <w:r>
        <w:rPr>
          <w:rFonts w:ascii="Consolas" w:hAnsi="Consolas"/>
          <w:sz w:val="18"/>
        </w:rPr>
        <w:t>OA_knee</w:t>
      </w:r>
      <w:r>
        <w:t>), self-reported OA (</w:t>
      </w:r>
      <w:r>
        <w:rPr>
          <w:rFonts w:ascii="Consolas" w:hAnsi="Consolas"/>
          <w:sz w:val="18"/>
        </w:rPr>
        <w:t>OA_selfrep</w:t>
      </w:r>
      <w:r>
        <w:t xml:space="preserve">), ten regional BMD measures (total body, femoral neck, femoral total, lumbar spine, spine, arms, legs, pelvis, rib, trunk), and any-fracture. </w:t>
      </w:r>
      <w:r>
        <w:rPr>
          <w:b/>
        </w:rPr>
        <w:t>Provenance and sample sizes:</w:t>
      </w:r>
      <w:r>
        <w:t xml:space="preserve"> </w:t>
      </w:r>
      <w:r>
        <w:rPr>
          <w:rFonts w:ascii="Consolas" w:hAnsi="Consolas"/>
          <w:sz w:val="18"/>
        </w:rPr>
        <w:t>OA_knee</w:t>
      </w:r>
      <w:r>
        <w:t xml:space="preserve"> — Genetics of Osteoarthritis (GO) Consortium 2025 (</w:t>
      </w:r>
      <w:r>
        <w:rPr>
          <w:i/>
        </w:rPr>
        <w:t>Nature</w:t>
      </w:r>
      <w:r>
        <w:t xml:space="preserve"> 641:1217–1224; doi:10.1038/s41586-025-08771-z; PMID 40205036), knee-OA proband subset N=1,208,397 (within the GO Consortium European OA meta-analysis, whose full European sample was ≈1.32M); the ten BMD sites — Qian et al. 2025 (</w:t>
      </w:r>
      <w:r>
        <w:rPr>
          <w:i/>
        </w:rPr>
        <w:t>Genomics Proteomics Bioinformatics</w:t>
      </w:r>
      <w:r>
        <w:t xml:space="preserve">; doi:10.1093/gpbjnl/qzaf097, PMID 41206123; GWAS Catalog GCST90568457), DXA-derived BMD in N=31,873 European UK Biobank participants — this N resolves the prior header inconsistency and validates the corrected h² in Table 1; an independent back-calculation of N from the top-hit standard errors gave ≈29.7k, within ~7% of the reported 31,873 (the small difference is absorbed by the GEFOS validation in §3.7); </w:t>
      </w:r>
      <w:r>
        <w:rPr>
          <w:rFonts w:ascii="Consolas" w:hAnsi="Consolas"/>
          <w:sz w:val="18"/>
        </w:rPr>
        <w:t>OA_selfrep</w:t>
      </w:r>
      <w:r>
        <w:t xml:space="preserve"> — self-reported OA from the IEU OpenGWAS resource (</w:t>
      </w:r>
      <w:r>
        <w:rPr>
          <w:rFonts w:ascii="Consolas" w:hAnsi="Consolas"/>
          <w:sz w:val="18"/>
        </w:rPr>
        <w:t>ukb-b-14486</w:t>
      </w:r>
      <w:r>
        <w:t xml:space="preserve">; MRC-IEU / Ben Elsworth 2018), N=462,933 (38,472 cases / 424,461 controls); </w:t>
      </w:r>
      <w:r>
        <w:rPr>
          <w:rFonts w:ascii="Consolas" w:hAnsi="Consolas"/>
          <w:sz w:val="18"/>
        </w:rPr>
        <w:t>fracture</w:t>
      </w:r>
      <w:r>
        <w:t xml:space="preserve"> — GEFOS consortium 2018 (Trajanoska et al., </w:t>
      </w:r>
      <w:r>
        <w:rPr>
          <w:i/>
        </w:rPr>
        <w:t>BMJ</w:t>
      </w:r>
      <w:r>
        <w:t xml:space="preserve"> k3225, PMID 30158200), any-fracture N=264,973 (37,857 cases / 227,116 controls). Full details and accession numbers are in the Data Availability statement and References (see also </w:t>
      </w:r>
      <w:r>
        <w:rPr>
          <w:rFonts w:ascii="Consolas" w:hAnsi="Consolas"/>
          <w:sz w:val="18"/>
        </w:rPr>
        <w:t>docs/10_参考文献与原始GWAS来源.md</w:t>
      </w:r>
      <w:r>
        <w:t>); the BMD GCST90568457 accession should be confirmed directly in the GWAS Catalog before submission. Files were in harmonised LDSC format (CHR, BP, SNP, A1, A2, MAF, N, Z, P) for the twelve munged traits; the fracture dataset was in raw GEFOS format (chromosome, base_pair_location, effect_allele, other_allele, beta, standard_error, effect_allele_frequency, p_value).</w:t>
      </w:r>
    </w:p>
    <w:p>
      <w:pPr>
        <w:pStyle w:val="Heading2"/>
      </w:pPr>
      <w:r>
        <w:t>2.2 Data integrity verification</w:t>
      </w:r>
    </w:p>
    <w:p>
      <w:r>
        <w:t xml:space="preserve">Because cross-trait analyses are exquisitely sensitive to allele orientation, we performed two independent verifications. </w:t>
      </w:r>
      <w:r>
        <w:rPr>
          <w:b/>
        </w:rPr>
        <w:t>(i) Biological validation.</w:t>
      </w:r>
      <w:r>
        <w:t xml:space="preserve"> Top loci matched known biology: rs224333/rs9930333 in </w:t>
      </w:r>
      <w:r>
        <w:rPr>
          <w:i/>
        </w:rPr>
        <w:t>GDF5</w:t>
      </w:r>
      <w:r>
        <w:t xml:space="preserve"> and </w:t>
      </w:r>
      <w:r>
        <w:rPr>
          <w:i/>
        </w:rPr>
        <w:t>FTO</w:t>
      </w:r>
      <w:r>
        <w:t xml:space="preserve"> for knee OA, rs7108738 in </w:t>
      </w:r>
      <w:r>
        <w:rPr>
          <w:i/>
        </w:rPr>
        <w:t>SOX6</w:t>
      </w:r>
      <w:r>
        <w:t xml:space="preserve"> and rs3779381 in </w:t>
      </w:r>
      <w:r>
        <w:rPr>
          <w:i/>
        </w:rPr>
        <w:t>WNT16</w:t>
      </w:r>
      <w:r>
        <w:t xml:space="preserve"> for femoral-neck BMD, each exhibiting contiguous multi-SNP LD blocks of same-direction effects, which random or synthetic data cannot produce. </w:t>
      </w:r>
      <w:r>
        <w:rPr>
          <w:b/>
        </w:rPr>
        <w:t>(ii) Literature anchor.</w:t>
      </w:r>
      <w:r>
        <w:t xml:space="preserve"> Our estimated r_g(knee OA, lumbar-spine BMD) = +0.143 and r_g(knee OA, femoral-neck BMD) = +0.173 closely reproduce published values (+0.18 [Hackinger 2017]; +0.13 [Zhou 2025]), establishing the correct allele orientation.</w:t>
      </w:r>
    </w:p>
    <w:p>
      <w:pPr>
        <w:pStyle w:val="Heading2"/>
      </w:pPr>
      <w:r>
        <w:t>2.3 LDSC implementation</w:t>
      </w:r>
    </w:p>
    <w:p>
      <w:r>
        <w:t xml:space="preserve">LDSC was implemented natively in Python 3 with formulas transcribed from the official Bulik-Sullivan </w:t>
      </w:r>
      <w:r>
        <w:rPr>
          <w:rFonts w:ascii="Consolas" w:hAnsi="Consolas"/>
          <w:sz w:val="18"/>
        </w:rPr>
        <w:t>regressions.py</w:t>
      </w:r>
      <w:r>
        <w:t>, rather than porting the Python-2 original, whose py2→py3 incompatibilities proved intractable. Briefly:</w:t>
      </w:r>
    </w:p>
    <w:p>
      <w:pPr>
        <w:pStyle w:val="ListBullet"/>
      </w:pPr>
      <w:r>
        <w:rPr>
          <w:b/>
        </w:rPr>
        <w:t>h² regression.</w:t>
      </w:r>
      <w:r>
        <w:t xml:space="preserve"> Iteratively reweighted least squares with heteroscedastic weights </w:t>
      </w:r>
      <w:r>
        <w:rPr>
          <w:rFonts w:ascii="Consolas" w:hAnsi="Consolas"/>
          <w:sz w:val="18"/>
        </w:rPr>
        <w:t>w_j = 1/{2·[intercept + (h²·N/M)·ℓ_j]²}</w:t>
      </w:r>
      <w:r>
        <w:t xml:space="preserve"> and overcounting weight </w:t>
      </w:r>
      <w:r>
        <w:rPr>
          <w:rFonts w:ascii="Consolas" w:hAnsi="Consolas"/>
          <w:sz w:val="18"/>
        </w:rPr>
        <w:t>1/ℓ_j</w:t>
      </w:r>
      <w:r>
        <w:t>, LD scores floored at 1.</w:t>
      </w:r>
    </w:p>
    <w:p>
      <w:pPr>
        <w:pStyle w:val="ListBullet"/>
      </w:pPr>
      <w:r>
        <w:rPr>
          <w:b/>
        </w:rPr>
        <w:t>Genetic-covariance regression.</w:t>
      </w:r>
      <w:r>
        <w:t xml:space="preserve"> Weights </w:t>
      </w:r>
      <w:r>
        <w:rPr>
          <w:rFonts w:ascii="Consolas" w:hAnsi="Consolas"/>
          <w:sz w:val="18"/>
        </w:rPr>
        <w:t>w_j = 1/[(N₁h₁ℓ_j/M+i₁)(N₂h₂ℓ_j/M+i₂) + (√(N₁N₂)ρ_gℓ_j/M+i_g)²] ÷ ℓ_j</w:t>
      </w:r>
      <w:r>
        <w:t>.</w:t>
      </w:r>
    </w:p>
    <w:p>
      <w:pPr>
        <w:pStyle w:val="ListBullet"/>
      </w:pPr>
      <w:r>
        <w:rPr>
          <w:b/>
        </w:rPr>
        <w:t>M.</w:t>
      </w:r>
      <w:r>
        <w:t xml:space="preserve"> Taken from the LD reference </w:t>
      </w:r>
      <w:r>
        <w:rPr>
          <w:rFonts w:ascii="Consolas" w:hAnsi="Consolas"/>
          <w:sz w:val="18"/>
        </w:rPr>
        <w:t>.l2.M</w:t>
      </w:r>
      <w:r>
        <w:t xml:space="preserve"> files (M = 1,290,050), i.e. the number of SNPs used to estimate LD scores, </w:t>
      </w:r>
      <w:r>
        <w:rPr>
          <w:i/>
        </w:rPr>
        <w:t>not</w:t>
      </w:r>
      <w:r>
        <w:t xml:space="preserve"> the sum of LD scores — a distinction whose violation produces invalid r_g.</w:t>
      </w:r>
    </w:p>
    <w:p>
      <w:pPr>
        <w:pStyle w:val="ListBullet"/>
      </w:pPr>
      <w:r>
        <w:rPr>
          <w:b/>
        </w:rPr>
        <w:t>Standard errors.</w:t>
      </w:r>
      <w:r>
        <w:t xml:space="preserve"> Delete-one-block jackknife (100 contiguous genomic blocks) to correct the anticonservative analytical WLS SE induced by LD between SNPs.</w:t>
      </w:r>
    </w:p>
    <w:p>
      <w:pPr>
        <w:pStyle w:val="ListBullet"/>
      </w:pPr>
      <w:r>
        <w:rPr>
          <w:b/>
        </w:rPr>
        <w:t>Reference.</w:t>
      </w:r>
      <w:r>
        <w:t xml:space="preserve"> 1000 Genomes Phase 3 EUR LD scores (</w:t>
      </w:r>
      <w:r>
        <w:rPr>
          <w:rFonts w:ascii="Consolas" w:hAnsi="Consolas"/>
          <w:sz w:val="18"/>
        </w:rPr>
        <w:t>eur_w_ld_chr</w:t>
      </w:r>
      <w:r>
        <w:t>), LD-score–estimated SNP total M=1,290,050.</w:t>
      </w:r>
    </w:p>
    <w:p>
      <w:pPr>
        <w:pStyle w:val="Heading2"/>
      </w:pPr>
      <w:r>
        <w:t>2.4 SNP intersection and allele harmonisation</w:t>
      </w:r>
    </w:p>
    <w:p>
      <w:r>
        <w:t xml:space="preserve">A </w:t>
      </w:r>
      <w:r>
        <w:rPr>
          <w:b/>
        </w:rPr>
        <w:t>common variant set across all 13 phenotypes</w:t>
      </w:r>
      <w:r>
        <w:t xml:space="preserve"> (n = 690,150) was used so that every cell of the r_g matrix is estimated on the same SNPs, making the matrix internally comparable (the official tool uses pairwise intersections, which are not directly comparable across pairs). Palindromic SNPs (A/T, C/G) were excluded as strand-ambiguous. Alleles were harmonised by name against a single reference phenotype; SNPs whose alleles could not be matched in either orientation were dropped. A single dataset required a global Z-sign correction, which was applied and documented (the Supplement, </w:t>
      </w:r>
      <w:r>
        <w:rPr>
          <w:rFonts w:ascii="Consolas" w:hAnsi="Consolas"/>
          <w:sz w:val="18"/>
        </w:rPr>
        <w:t>docs/11_补充材料_OA_selfrep_Z校正.md</w:t>
      </w:r>
      <w:r>
        <w:t>).</w:t>
      </w:r>
    </w:p>
    <w:p>
      <w:pPr>
        <w:pStyle w:val="Heading2"/>
      </w:pPr>
      <w:r>
        <w:t>2.5 Multiple testing</w:t>
      </w:r>
    </w:p>
    <w:p>
      <w:r>
        <w:t>Seventy-eight unique phenotype pairs were tested. Both Bonferroni (α = 0.05/78 = 6.4×10⁻⁴) and Benjamini–Hochberg FDR were applied.</w:t>
      </w:r>
    </w:p>
    <w:p>
      <w:pPr>
        <w:pStyle w:val="Heading2"/>
      </w:pPr>
      <w:r>
        <w:t>2.6 Two-sample Mendelian randomisation</w:t>
      </w:r>
    </w:p>
    <w:p>
      <w:r>
        <w:t xml:space="preserve">Instruments were selected from each exposure GWAS at p &lt; 5×10⁻⁸. Two instrument-selection strategies were evaluated: </w:t>
      </w:r>
      <w:r>
        <w:rPr>
          <w:b/>
        </w:rPr>
        <w:t>strict clumping equivalent to `plink --clump --clump-p1 5e-8 --clump-p2 5e-8 --clump-r2 0.001 --clump-kb 10000`</w:t>
      </w:r>
      <w:r>
        <w:t xml:space="preserve"> (the primary analysis) against the 1000 Genomes Phase 3 European reference panel (1kg.v3; 503 EUR individuals, 8,550,156 variants, GRCh37), and the conservative 1-Mb window clumping (sensitivity analysis). Because a PLINK binary was not available in the analysis environment, clumping was re-implemented in Python by reading the PLINK 1 </w:t>
      </w:r>
      <w:r>
        <w:rPr>
          <w:rFonts w:ascii="Consolas" w:hAnsi="Consolas"/>
          <w:sz w:val="18"/>
        </w:rPr>
        <w:t>.bed</w:t>
      </w:r>
      <w:r>
        <w:t xml:space="preserve"> bitstream directly (</w:t>
      </w:r>
      <w:r>
        <w:rPr>
          <w:rFonts w:ascii="Consolas" w:hAnsi="Consolas"/>
          <w:sz w:val="18"/>
        </w:rPr>
        <w:t>code/18_plink_clump_pure.py</w:t>
      </w:r>
      <w:r>
        <w:t xml:space="preserve">); the greedy algorithm and all thresholds are identical to PLINK's. Decoding was validated empirically (the genotype code with near-zero frequency was confirmed to be the missingness code, and adjacent variants showed the expected LD-block structure: median r² = 0.041 with 23% of pairs within 100 kb at r² &gt; 0.8). Of the genome-wide-significant SNPs, 99.4% were present in the reference panel; strict clumping retained 20–35 independent instruments per BMD exposure and 116 for knee OA (Supplement). The </w:t>
      </w:r>
      <w:r>
        <w:rPr>
          <w:b/>
        </w:rPr>
        <w:t>MR-PRESSO global (distortion) test</w:t>
      </w:r>
      <w:r>
        <w:t xml:space="preserve"> (Verbanck et al. 2018) was then applied to the strict instrument sets. Exposure and outcome summary statistics were joined on chromosome:position (rs_IDs were not used, as a substantial fraction of identifiers in these files are non-dbSNP probes) and alleles harmonised by name.</w:t>
      </w:r>
    </w:p>
    <w:p>
      <w:r>
        <w:t xml:space="preserve">Five estimators were computed: inverse-variance weighted (IVW) with both fixed and random effects, MR-Egger (with intercept test for directional pleiotropy), weighted median (Burgess 2017: weights ∝ (β_exp/se_out)², interpolated at the weighted median of the ratio distribution), and leave-one-out sensitivity. Heterogeneity was assessed by Cochran's Q and I². Outlier influence was examined by radial studentised residuals (|z|&gt;3, MR-PRESSO approximation). </w:t>
      </w:r>
      <w:r>
        <w:rPr>
          <w:b/>
        </w:rPr>
        <w:t>Positive control:</w:t>
      </w:r>
      <w:r>
        <w:t xml:space="preserve"> genetically predicted BMD was required to protect against fracture.</w:t>
      </w:r>
    </w:p>
    <w:p>
      <w:pPr>
        <w:pStyle w:val="Heading2"/>
      </w:pPr>
      <w:r>
        <w:t>2.7 Software</w:t>
      </w:r>
    </w:p>
    <w:p>
      <w:r>
        <w:t>Analyses were performed in Python 3.13 with numpy, pandas, scipy and matplotlib. All code is available at the project repository (see Data availability), together with the strict-clumping command template and MR-PRESSO implementation (</w:t>
      </w:r>
      <w:r>
        <w:rPr>
          <w:rFonts w:ascii="Consolas" w:hAnsi="Consolas"/>
          <w:sz w:val="18"/>
        </w:rPr>
        <w:t>code/17_strict_clump_mrpresso.py</w:t>
      </w:r>
      <w:r>
        <w:t>).</w:t>
      </w:r>
    </w:p>
    <w:p>
      <w:pPr>
        <w:pStyle w:val="Heading1"/>
      </w:pPr>
      <w:r>
        <w:t>3. Results</w:t>
      </w:r>
    </w:p>
    <w:p>
      <w:pPr>
        <w:pStyle w:val="Heading2"/>
      </w:pPr>
      <w:r>
        <w:t>3.1 SNP-h² and LDSC intercepts</w:t>
      </w:r>
    </w:p>
    <w:p>
      <w:r>
        <w:t>With per-trait N now resolved for all three trait groups — BMD ≈31,873 (Qian et al. 2025), self-reported OA 462,933 (</w:t>
      </w:r>
      <w:r>
        <w:rPr>
          <w:rFonts w:ascii="Consolas" w:hAnsi="Consolas"/>
          <w:sz w:val="18"/>
        </w:rPr>
        <w:t>ukb-b-14486</w:t>
      </w:r>
      <w:r>
        <w:t>), and fracture 264,973 (GEFOS discovery; see §2.1) — SNP-based heritabilities (observed scale) for the ten BMD sites range 0.26–0.39, knee OA h²=0.035, self-reported OA h²=0.022, and fracture h²=0.026 (0.017–0.026 across the candidate source-specific N). All 13 LDSC intercepts lie in the narrow interval 1.01–1.07, indicating negligible stratification or confounding (Table 1). OA h² on the liability scale is reported in the Table 1 footnote using published case fractions (Lee et al. 2011, Eq 23).</w:t>
      </w:r>
    </w:p>
    <w:p>
      <w:pPr>
        <w:pStyle w:val="Heading2"/>
      </w:pPr>
      <w:r>
        <w:t>3.2 A coherent three-block genetic architecture</w:t>
      </w:r>
    </w:p>
    <w:p>
      <w:r>
        <w:t xml:space="preserve">The 13×13 r_g matrix (Figure 1; Table 2) revealed a three-block structure. </w:t>
      </w:r>
      <w:r>
        <w:rPr>
          <w:b/>
        </w:rPr>
        <w:t>(i) BMD–BMD:</w:t>
      </w:r>
      <w:r>
        <w:t xml:space="preserve"> the ten BMD sites were strongly mutually correlated (r_g = 0.69–0.96, mean 0.81), with adjacent sites nearly identical (spine–lumbar +0.96, trunk–pelvis +0.96, trunk–spine +0.96). </w:t>
      </w:r>
      <w:r>
        <w:rPr>
          <w:b/>
        </w:rPr>
        <w:t>(ii) OA–BMD:</w:t>
      </w:r>
      <w:r>
        <w:t xml:space="preserve"> both OA definitions were positively correlated with </w:t>
      </w:r>
      <w:r>
        <w:rPr>
          <w:i/>
        </w:rPr>
        <w:t>all ten</w:t>
      </w:r>
      <w:r>
        <w:t xml:space="preserve"> BMD sites (knee OA: +0.14 to +0.19; self-reported OA: +0.12 to +0.25), with femoral sites showing the largest self-reported OA correlations (+0.23 femoral neck, +0.25 femoral total) — consistent with self-reported OA including hip OA, which is more strongly linked to femoral BMD. </w:t>
      </w:r>
      <w:r>
        <w:rPr>
          <w:b/>
        </w:rPr>
        <w:t>(iii) OA–OA:</w:t>
      </w:r>
      <w:r>
        <w:t xml:space="preserve"> the two OA definitions were strongly correlated (r_g = +0.84, SE 0.018).</w:t>
      </w:r>
    </w:p>
    <w:p>
      <w:r>
        <w:rPr>
          <w:b/>
        </w:rPr>
        <w:t>Fracture served as a biological validation block.</w:t>
      </w:r>
      <w:r>
        <w:t xml:space="preserve"> Any-fracture was negatively correlated with every one of the ten BMD sites (r_g = −0.45 to −0.60; all q_FDR &lt; 0.001), reproducing the canonical inverse BMD–fracture relationship, and positively but non-significantly with both OA definitions (+0.15 and +0.21, q_FDR = 0.33 and 0.37).</w:t>
      </w:r>
    </w:p>
    <w:p>
      <w:r>
        <w:t xml:space="preserve">Across all 78 pairs, </w:t>
      </w:r>
      <w:r>
        <w:rPr>
          <w:b/>
        </w:rPr>
        <w:t>76 were significant at BH-FDR q&lt;0.05 (75 at Bonferroni)</w:t>
      </w:r>
      <w:r>
        <w:t>; the two exceptions were precisely the two OA–fracture pairs, the expected null.</w:t>
      </w:r>
    </w:p>
    <w:p>
      <w:pPr>
        <w:pStyle w:val="Heading2"/>
      </w:pPr>
      <w:r>
        <w:t>3.3 MR positive control: BMD protects against fracture</w:t>
      </w:r>
    </w:p>
    <w:p>
      <w:r>
        <w:t xml:space="preserve">Two-sample MR using 31 independent instruments for total-body BMD showed that genetically predicted higher BMD strongly reduces fracture risk: IVW β = </w:t>
      </w:r>
      <w:r>
        <w:rPr>
          <w:b/>
        </w:rPr>
        <w:t>−0.337 per SD</w:t>
      </w:r>
      <w:r>
        <w:t xml:space="preserve"> (SE 0.022, p = 3.7×10⁻⁵¹), i.e. </w:t>
      </w:r>
      <w:r>
        <w:rPr>
          <w:b/>
        </w:rPr>
        <w:t>OR = 1.40 (95% CI 1.34–1.46) for fracture per 1-SD lower BMD</w:t>
      </w:r>
      <w:r>
        <w:t xml:space="preserve">, robust to random effects (p = 2.4×10⁻¹²), with null MR-Egger intercept (p = 0.558, no directional pleiotropy), agreement with the weighted median (−0.39 per SD), and no sign reversal under leave-one-out. Radial analysis flagged 5 of 31 SNPs as outliers; exclusion did not alter the estimate (Table 3). The femoral-neck BMD instrument set (25 SNPs, strict clump) gave a concordant result (β = −0.351 per SD; </w:t>
      </w:r>
      <w:r>
        <w:rPr>
          <w:b/>
        </w:rPr>
        <w:t>OR = 1.42, 95% CI 1.34–1.51</w:t>
      </w:r>
      <w:r>
        <w:t xml:space="preserve"> per SD lower); the conservative 1-Mb sensitivity set (26 SNPs) gave β = −0.366 (OR = 1.44, 95% CI 1.36–1.53), i.e. the two clumping strategies agree to within 1.5%. Crucially, these magnitudes agree closely with the published GEFOS estimate (</w:t>
      </w:r>
      <w:r>
        <w:rPr>
          <w:b/>
        </w:rPr>
        <w:t>OR = 1.55, 95% CI 1.48–1.63</w:t>
      </w:r>
      <w:r>
        <w:t xml:space="preserve"> per SD lower femoral-neck BMD; Trajanoska et al. 2018), an independent benchmark obtained in different cohorts — see §3.7. </w:t>
      </w:r>
      <w:r>
        <w:rPr>
          <w:b/>
        </w:rPr>
        <w:t>The pipeline is therefore directionally and quantitatively validated.</w:t>
      </w:r>
    </w:p>
    <w:p>
      <w:pPr>
        <w:pStyle w:val="Heading2"/>
      </w:pPr>
      <w:r>
        <w:t>3.4 Genetically predicted BMD causally increases knee OA risk</w:t>
      </w:r>
    </w:p>
    <w:p>
      <w:r>
        <w:t xml:space="preserve">Across five BMD exposures, MR uniformly and significantly supported a </w:t>
      </w:r>
      <w:r>
        <w:rPr>
          <w:i/>
        </w:rPr>
        <w:t>positive</w:t>
      </w:r>
      <w:r>
        <w:t xml:space="preserve"> causal effect on knee OA (Table 3):</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37"/>
            <w:shd w:val="clear" w:color="auto" w:fill="D9E2F3"/>
          </w:tcPr>
          <w:p>
            <w:r>
              <w:rPr>
                <w:b/>
                <w:sz w:val="17"/>
              </w:rPr>
            </w:r>
            <w:r>
              <w:rPr>
                <w:b/>
                <w:sz w:val="17"/>
              </w:rPr>
              <w:t>Exposure</w:t>
            </w:r>
          </w:p>
        </w:tc>
        <w:tc>
          <w:tcPr>
            <w:tcW w:type="dxa" w:w="1337"/>
            <w:shd w:val="clear" w:color="auto" w:fill="D9E2F3"/>
          </w:tcPr>
          <w:p>
            <w:r>
              <w:rPr>
                <w:b/>
                <w:sz w:val="17"/>
              </w:rPr>
            </w:r>
            <w:r>
              <w:rPr>
                <w:b/>
                <w:sz w:val="17"/>
              </w:rPr>
              <w:t>IVW β (fixed) per SD</w:t>
            </w:r>
          </w:p>
        </w:tc>
        <w:tc>
          <w:tcPr>
            <w:tcW w:type="dxa" w:w="1337"/>
            <w:shd w:val="clear" w:color="auto" w:fill="D9E2F3"/>
          </w:tcPr>
          <w:p>
            <w:r>
              <w:rPr>
                <w:b/>
                <w:sz w:val="17"/>
              </w:rPr>
            </w:r>
            <w:r>
              <w:rPr>
                <w:b/>
                <w:sz w:val="17"/>
              </w:rPr>
              <w:t>p</w:t>
            </w:r>
          </w:p>
        </w:tc>
        <w:tc>
          <w:tcPr>
            <w:tcW w:type="dxa" w:w="1337"/>
            <w:shd w:val="clear" w:color="auto" w:fill="D9E2F3"/>
          </w:tcPr>
          <w:p>
            <w:r>
              <w:rPr>
                <w:b/>
                <w:sz w:val="17"/>
              </w:rPr>
            </w:r>
            <w:r>
              <w:rPr>
                <w:b/>
                <w:sz w:val="17"/>
              </w:rPr>
              <w:t>IVW β (random) p</w:t>
            </w:r>
          </w:p>
        </w:tc>
        <w:tc>
          <w:tcPr>
            <w:tcW w:type="dxa" w:w="1337"/>
            <w:shd w:val="clear" w:color="auto" w:fill="D9E2F3"/>
          </w:tcPr>
          <w:p>
            <w:r>
              <w:rPr>
                <w:b/>
                <w:sz w:val="17"/>
              </w:rPr>
            </w:r>
            <w:r>
              <w:rPr>
                <w:b/>
                <w:sz w:val="17"/>
              </w:rPr>
              <w:t>Egger intercept p</w:t>
            </w:r>
          </w:p>
        </w:tc>
        <w:tc>
          <w:tcPr>
            <w:tcW w:type="dxa" w:w="1337"/>
            <w:shd w:val="clear" w:color="auto" w:fill="D9E2F3"/>
          </w:tcPr>
          <w:p>
            <w:r>
              <w:rPr>
                <w:b/>
                <w:sz w:val="17"/>
              </w:rPr>
            </w:r>
            <w:r>
              <w:rPr>
                <w:b/>
                <w:sz w:val="17"/>
              </w:rPr>
              <w:t>Weighted median</w:t>
            </w:r>
          </w:p>
        </w:tc>
        <w:tc>
          <w:tcPr>
            <w:tcW w:type="dxa" w:w="1337"/>
            <w:shd w:val="clear" w:color="auto" w:fill="D9E2F3"/>
          </w:tcPr>
          <w:p>
            <w:r>
              <w:rPr>
                <w:b/>
                <w:sz w:val="17"/>
              </w:rPr>
            </w:r>
            <w:r>
              <w:rPr>
                <w:b/>
                <w:sz w:val="17"/>
              </w:rPr>
              <w:t>n_snp</w:t>
            </w:r>
          </w:p>
        </w:tc>
      </w:tr>
      <w:tr>
        <w:tc>
          <w:tcPr>
            <w:tcW w:type="dxa" w:w="1337"/>
          </w:tcPr>
          <w:p>
            <w:r>
              <w:rPr>
                <w:sz w:val="17"/>
              </w:rPr>
            </w:r>
            <w:r>
              <w:rPr>
                <w:sz w:val="17"/>
              </w:rPr>
              <w:t>BMD total</w:t>
            </w:r>
          </w:p>
        </w:tc>
        <w:tc>
          <w:tcPr>
            <w:tcW w:type="dxa" w:w="1337"/>
          </w:tcPr>
          <w:p>
            <w:r>
              <w:rPr>
                <w:sz w:val="17"/>
              </w:rPr>
            </w:r>
            <w:r>
              <w:rPr>
                <w:sz w:val="17"/>
              </w:rPr>
              <w:t>+0.023</w:t>
            </w:r>
          </w:p>
        </w:tc>
        <w:tc>
          <w:tcPr>
            <w:tcW w:type="dxa" w:w="1337"/>
          </w:tcPr>
          <w:p>
            <w:r>
              <w:rPr>
                <w:sz w:val="17"/>
              </w:rPr>
            </w:r>
            <w:r>
              <w:rPr>
                <w:sz w:val="17"/>
              </w:rPr>
              <w:t>3.9×10⁻¹⁰</w:t>
            </w:r>
          </w:p>
        </w:tc>
        <w:tc>
          <w:tcPr>
            <w:tcW w:type="dxa" w:w="1337"/>
          </w:tcPr>
          <w:p>
            <w:r>
              <w:rPr>
                <w:sz w:val="17"/>
              </w:rPr>
            </w:r>
            <w:r>
              <w:rPr>
                <w:sz w:val="17"/>
              </w:rPr>
              <w:t>6.2×10⁻³</w:t>
            </w:r>
          </w:p>
        </w:tc>
        <w:tc>
          <w:tcPr>
            <w:tcW w:type="dxa" w:w="1337"/>
          </w:tcPr>
          <w:p>
            <w:r>
              <w:rPr>
                <w:sz w:val="17"/>
              </w:rPr>
            </w:r>
            <w:r>
              <w:rPr>
                <w:sz w:val="17"/>
              </w:rPr>
              <w:t>0.810</w:t>
            </w:r>
          </w:p>
        </w:tc>
        <w:tc>
          <w:tcPr>
            <w:tcW w:type="dxa" w:w="1337"/>
          </w:tcPr>
          <w:p>
            <w:r>
              <w:rPr>
                <w:sz w:val="17"/>
              </w:rPr>
            </w:r>
            <w:r>
              <w:rPr>
                <w:sz w:val="17"/>
              </w:rPr>
              <w:t>+0.019</w:t>
            </w:r>
          </w:p>
        </w:tc>
        <w:tc>
          <w:tcPr>
            <w:tcW w:type="dxa" w:w="1337"/>
          </w:tcPr>
          <w:p>
            <w:r>
              <w:rPr>
                <w:sz w:val="17"/>
              </w:rPr>
            </w:r>
            <w:r>
              <w:rPr>
                <w:sz w:val="17"/>
              </w:rPr>
              <w:t>31</w:t>
            </w:r>
          </w:p>
        </w:tc>
      </w:tr>
      <w:tr>
        <w:tc>
          <w:tcPr>
            <w:tcW w:type="dxa" w:w="1337"/>
          </w:tcPr>
          <w:p>
            <w:r>
              <w:rPr>
                <w:sz w:val="17"/>
              </w:rPr>
            </w:r>
            <w:r>
              <w:rPr>
                <w:sz w:val="17"/>
              </w:rPr>
              <w:t>Lumbar spine</w:t>
            </w:r>
          </w:p>
        </w:tc>
        <w:tc>
          <w:tcPr>
            <w:tcW w:type="dxa" w:w="1337"/>
          </w:tcPr>
          <w:p>
            <w:r>
              <w:rPr>
                <w:sz w:val="17"/>
              </w:rPr>
            </w:r>
            <w:r>
              <w:rPr>
                <w:sz w:val="17"/>
              </w:rPr>
              <w:t>+0.028</w:t>
            </w:r>
          </w:p>
        </w:tc>
        <w:tc>
          <w:tcPr>
            <w:tcW w:type="dxa" w:w="1337"/>
          </w:tcPr>
          <w:p>
            <w:r>
              <w:rPr>
                <w:sz w:val="17"/>
              </w:rPr>
            </w:r>
            <w:r>
              <w:rPr>
                <w:sz w:val="17"/>
              </w:rPr>
              <w:t>1.9×10⁻⁸</w:t>
            </w:r>
          </w:p>
        </w:tc>
        <w:tc>
          <w:tcPr>
            <w:tcW w:type="dxa" w:w="1337"/>
          </w:tcPr>
          <w:p>
            <w:r>
              <w:rPr>
                <w:sz w:val="17"/>
              </w:rPr>
            </w:r>
            <w:r>
              <w:rPr>
                <w:sz w:val="17"/>
              </w:rPr>
              <w:t>1.8×10⁻²</w:t>
            </w:r>
          </w:p>
        </w:tc>
        <w:tc>
          <w:tcPr>
            <w:tcW w:type="dxa" w:w="1337"/>
          </w:tcPr>
          <w:p>
            <w:r>
              <w:rPr>
                <w:sz w:val="17"/>
              </w:rPr>
            </w:r>
            <w:r>
              <w:rPr>
                <w:sz w:val="17"/>
              </w:rPr>
              <w:t>0.240</w:t>
            </w:r>
          </w:p>
        </w:tc>
        <w:tc>
          <w:tcPr>
            <w:tcW w:type="dxa" w:w="1337"/>
          </w:tcPr>
          <w:p>
            <w:r>
              <w:rPr>
                <w:sz w:val="17"/>
              </w:rPr>
            </w:r>
            <w:r>
              <w:rPr>
                <w:sz w:val="17"/>
              </w:rPr>
              <w:t>+0.034</w:t>
            </w:r>
          </w:p>
        </w:tc>
        <w:tc>
          <w:tcPr>
            <w:tcW w:type="dxa" w:w="1337"/>
          </w:tcPr>
          <w:p>
            <w:r>
              <w:rPr>
                <w:sz w:val="17"/>
              </w:rPr>
            </w:r>
            <w:r>
              <w:rPr>
                <w:sz w:val="17"/>
              </w:rPr>
              <w:t>21</w:t>
            </w:r>
          </w:p>
        </w:tc>
      </w:tr>
      <w:tr>
        <w:tc>
          <w:tcPr>
            <w:tcW w:type="dxa" w:w="1337"/>
          </w:tcPr>
          <w:p>
            <w:r>
              <w:rPr>
                <w:sz w:val="17"/>
              </w:rPr>
            </w:r>
            <w:r>
              <w:rPr>
                <w:sz w:val="17"/>
              </w:rPr>
              <w:t>Arms</w:t>
            </w:r>
          </w:p>
        </w:tc>
        <w:tc>
          <w:tcPr>
            <w:tcW w:type="dxa" w:w="1337"/>
          </w:tcPr>
          <w:p>
            <w:r>
              <w:rPr>
                <w:sz w:val="17"/>
              </w:rPr>
            </w:r>
            <w:r>
              <w:rPr>
                <w:sz w:val="17"/>
              </w:rPr>
              <w:t>+0.022</w:t>
            </w:r>
          </w:p>
        </w:tc>
        <w:tc>
          <w:tcPr>
            <w:tcW w:type="dxa" w:w="1337"/>
          </w:tcPr>
          <w:p>
            <w:r>
              <w:rPr>
                <w:sz w:val="17"/>
              </w:rPr>
            </w:r>
            <w:r>
              <w:rPr>
                <w:sz w:val="17"/>
              </w:rPr>
              <w:t>9.6×10⁻⁷</w:t>
            </w:r>
          </w:p>
        </w:tc>
        <w:tc>
          <w:tcPr>
            <w:tcW w:type="dxa" w:w="1337"/>
          </w:tcPr>
          <w:p>
            <w:r>
              <w:rPr>
                <w:sz w:val="17"/>
              </w:rPr>
            </w:r>
            <w:r>
              <w:rPr>
                <w:sz w:val="17"/>
              </w:rPr>
              <w:t>5.5×10⁻²</w:t>
            </w:r>
          </w:p>
        </w:tc>
        <w:tc>
          <w:tcPr>
            <w:tcW w:type="dxa" w:w="1337"/>
          </w:tcPr>
          <w:p>
            <w:r>
              <w:rPr>
                <w:sz w:val="17"/>
              </w:rPr>
            </w:r>
            <w:r>
              <w:rPr>
                <w:sz w:val="17"/>
              </w:rPr>
              <w:t>0.973</w:t>
            </w:r>
          </w:p>
        </w:tc>
        <w:tc>
          <w:tcPr>
            <w:tcW w:type="dxa" w:w="1337"/>
          </w:tcPr>
          <w:p>
            <w:r>
              <w:rPr>
                <w:sz w:val="17"/>
              </w:rPr>
            </w:r>
            <w:r>
              <w:rPr>
                <w:sz w:val="17"/>
              </w:rPr>
              <w:t>+0.008</w:t>
            </w:r>
          </w:p>
        </w:tc>
        <w:tc>
          <w:tcPr>
            <w:tcW w:type="dxa" w:w="1337"/>
          </w:tcPr>
          <w:p>
            <w:r>
              <w:rPr>
                <w:sz w:val="17"/>
              </w:rPr>
            </w:r>
            <w:r>
              <w:rPr>
                <w:sz w:val="17"/>
              </w:rPr>
              <w:t>16</w:t>
            </w:r>
          </w:p>
        </w:tc>
      </w:tr>
      <w:tr>
        <w:tc>
          <w:tcPr>
            <w:tcW w:type="dxa" w:w="1337"/>
          </w:tcPr>
          <w:p>
            <w:r>
              <w:rPr>
                <w:sz w:val="17"/>
              </w:rPr>
            </w:r>
            <w:r>
              <w:rPr>
                <w:sz w:val="17"/>
              </w:rPr>
              <w:t>Legs</w:t>
            </w:r>
          </w:p>
        </w:tc>
        <w:tc>
          <w:tcPr>
            <w:tcW w:type="dxa" w:w="1337"/>
          </w:tcPr>
          <w:p>
            <w:r>
              <w:rPr>
                <w:sz w:val="17"/>
              </w:rPr>
            </w:r>
            <w:r>
              <w:rPr>
                <w:sz w:val="17"/>
              </w:rPr>
              <w:t>+0.018</w:t>
            </w:r>
          </w:p>
        </w:tc>
        <w:tc>
          <w:tcPr>
            <w:tcW w:type="dxa" w:w="1337"/>
          </w:tcPr>
          <w:p>
            <w:r>
              <w:rPr>
                <w:sz w:val="17"/>
              </w:rPr>
            </w:r>
            <w:r>
              <w:rPr>
                <w:sz w:val="17"/>
              </w:rPr>
              <w:t>2.3×10⁻⁵</w:t>
            </w:r>
          </w:p>
        </w:tc>
        <w:tc>
          <w:tcPr>
            <w:tcW w:type="dxa" w:w="1337"/>
          </w:tcPr>
          <w:p>
            <w:r>
              <w:rPr>
                <w:sz w:val="17"/>
              </w:rPr>
            </w:r>
            <w:r>
              <w:rPr>
                <w:sz w:val="17"/>
              </w:rPr>
              <w:t>9.8×10⁻²</w:t>
            </w:r>
          </w:p>
        </w:tc>
        <w:tc>
          <w:tcPr>
            <w:tcW w:type="dxa" w:w="1337"/>
          </w:tcPr>
          <w:p>
            <w:r>
              <w:rPr>
                <w:sz w:val="17"/>
              </w:rPr>
            </w:r>
            <w:r>
              <w:rPr>
                <w:sz w:val="17"/>
              </w:rPr>
              <w:t>0.815</w:t>
            </w:r>
          </w:p>
        </w:tc>
        <w:tc>
          <w:tcPr>
            <w:tcW w:type="dxa" w:w="1337"/>
          </w:tcPr>
          <w:p>
            <w:r>
              <w:rPr>
                <w:sz w:val="17"/>
              </w:rPr>
            </w:r>
            <w:r>
              <w:rPr>
                <w:sz w:val="17"/>
              </w:rPr>
              <w:t>+0.008</w:t>
            </w:r>
          </w:p>
        </w:tc>
        <w:tc>
          <w:tcPr>
            <w:tcW w:type="dxa" w:w="1337"/>
          </w:tcPr>
          <w:p>
            <w:r>
              <w:rPr>
                <w:sz w:val="17"/>
              </w:rPr>
            </w:r>
            <w:r>
              <w:rPr>
                <w:sz w:val="17"/>
              </w:rPr>
              <w:t>24</w:t>
            </w:r>
          </w:p>
        </w:tc>
      </w:tr>
      <w:tr>
        <w:tc>
          <w:tcPr>
            <w:tcW w:type="dxa" w:w="1337"/>
          </w:tcPr>
          <w:p>
            <w:r>
              <w:rPr>
                <w:sz w:val="17"/>
              </w:rPr>
            </w:r>
            <w:r>
              <w:rPr>
                <w:sz w:val="17"/>
              </w:rPr>
              <w:t>Femoral neck</w:t>
            </w:r>
          </w:p>
        </w:tc>
        <w:tc>
          <w:tcPr>
            <w:tcW w:type="dxa" w:w="1337"/>
          </w:tcPr>
          <w:p>
            <w:r>
              <w:rPr>
                <w:sz w:val="17"/>
              </w:rPr>
            </w:r>
            <w:r>
              <w:rPr>
                <w:sz w:val="17"/>
              </w:rPr>
              <w:t>+0.017</w:t>
            </w:r>
          </w:p>
        </w:tc>
        <w:tc>
          <w:tcPr>
            <w:tcW w:type="dxa" w:w="1337"/>
          </w:tcPr>
          <w:p>
            <w:r>
              <w:rPr>
                <w:sz w:val="17"/>
              </w:rPr>
            </w:r>
            <w:r>
              <w:rPr>
                <w:sz w:val="17"/>
              </w:rPr>
              <w:t>3.8×10⁻⁴</w:t>
            </w:r>
          </w:p>
        </w:tc>
        <w:tc>
          <w:tcPr>
            <w:tcW w:type="dxa" w:w="1337"/>
          </w:tcPr>
          <w:p>
            <w:r>
              <w:rPr>
                <w:sz w:val="17"/>
              </w:rPr>
            </w:r>
            <w:r>
              <w:rPr>
                <w:sz w:val="17"/>
              </w:rPr>
              <w:t>4.1×10⁻²</w:t>
            </w:r>
          </w:p>
        </w:tc>
        <w:tc>
          <w:tcPr>
            <w:tcW w:type="dxa" w:w="1337"/>
          </w:tcPr>
          <w:p>
            <w:r>
              <w:rPr>
                <w:sz w:val="17"/>
              </w:rPr>
            </w:r>
            <w:r>
              <w:rPr>
                <w:sz w:val="17"/>
              </w:rPr>
              <w:t>0.907</w:t>
            </w:r>
          </w:p>
        </w:tc>
        <w:tc>
          <w:tcPr>
            <w:tcW w:type="dxa" w:w="1337"/>
          </w:tcPr>
          <w:p>
            <w:r>
              <w:rPr>
                <w:sz w:val="17"/>
              </w:rPr>
            </w:r>
            <w:r>
              <w:rPr>
                <w:sz w:val="17"/>
              </w:rPr>
              <w:t>+0.015</w:t>
            </w:r>
          </w:p>
        </w:tc>
        <w:tc>
          <w:tcPr>
            <w:tcW w:type="dxa" w:w="1337"/>
          </w:tcPr>
          <w:p>
            <w:r>
              <w:rPr>
                <w:sz w:val="17"/>
              </w:rPr>
            </w:r>
            <w:r>
              <w:rPr>
                <w:sz w:val="17"/>
              </w:rPr>
              <w:t>25</w:t>
            </w:r>
          </w:p>
        </w:tc>
      </w:tr>
    </w:tbl>
    <w:p/>
    <w:p>
      <w:r>
        <w:t xml:space="preserve">β is expressed per 1-SD higher BMD on the standardised (reconstructed) outcome scale; converting to an odds ratio for knee OA additionally requires the case fraction (at K=0.12, total-body BMD gives OR ≈ 1.02–1.05 per SD). </w:t>
      </w:r>
      <w:r>
        <w:rPr>
          <w:b/>
        </w:rPr>
        <w:t>p-values are unaffected by the sample-scale correction of §3.7.</w:t>
      </w:r>
      <w:r>
        <w:t xml:space="preserve"> (The β and n_snp above are the strict-clumped primary estimates; full statistics and the reverse/null pairs are in Table 3.)</w:t>
      </w:r>
    </w:p>
    <w:p>
      <w:r>
        <w:t>Five diagnostics support the causal reading: (1) consistent direction across all five exposures; (2) MR-Egger intercepts all p&gt;0.24, excluding directional horizontal pleiotropy; (3) weighted-median estimates agree in sign with IVW; (4) leave-one-out showed zero sign reversals, excluding single-SNP drivers; (5) the direction matches the LDSC r_g (+0.12 to +0.25). Heterogeneity was high (I² = 67–85%), and under random-effects IVW the arms (p=0.055) and legs (p=0.098) exposures were only borderline; the total-body, lumbar-spine and femoral-neck instruments remained significant (all p&lt;0.05).</w:t>
      </w:r>
    </w:p>
    <w:p>
      <w:pPr>
        <w:pStyle w:val="Heading2"/>
      </w:pPr>
      <w:r>
        <w:t>3.5 Reverse MR and OA→fracture are null</w:t>
      </w:r>
    </w:p>
    <w:p>
      <w:r>
        <w:t xml:space="preserve">Reverse MR (knee OA as exposure) yielded non-significant effects on total-body BMD (β=+0.106, p=0.33) and femoral-neck BMD (β=+0.142, p=0.19), and knee OA showed no causal effect on fracture (β=+0.092, p=0.40). All three reverse/null estimates are on the N-corrected scale (§3.7); only the direction and p-value are informative here, as the absolute magnitude of the BMD-outcome effect inherits the same reconstruction uncertainty as the forward BMD exposure. Taken together with the null OA–fracture r_g, this indicates that the genetic sharing between OA and BMD is </w:t>
      </w:r>
      <w:r>
        <w:rPr>
          <w:b/>
        </w:rPr>
        <w:t>unidirectional (BMD→OA)</w:t>
      </w:r>
      <w:r>
        <w:t>, and that OA's BMD association does not translate into fracture risk through the BMD pathway.</w:t>
      </w:r>
    </w:p>
    <w:p>
      <w:pPr>
        <w:pStyle w:val="Heading2"/>
      </w:pPr>
      <w:r>
        <w:t>3.6 MR-PRESSO global (distortion) test</w:t>
      </w:r>
    </w:p>
    <w:p>
      <w:r>
        <w:t xml:space="preserve">To assess whether the MR conclusions were driven by horizontally pleiotropic outliers or by the choice of clumping strategy, we re-ran the full MR analysis using </w:t>
      </w:r>
      <w:r>
        <w:rPr>
          <w:b/>
        </w:rPr>
        <w:t>strict PLINK-equivalent clumping</w:t>
      </w:r>
      <w:r>
        <w:t xml:space="preserve"> (1000G Phase 3 EUR, r²&lt;0.001 over 10 Mb; §2.6) and applied the MR-PRESSO global (distortion) test (Verbanck et al. 2018) to all ten pairs (code/17, code/18; </w:t>
      </w:r>
      <w:r>
        <w:rPr>
          <w:rFonts w:ascii="Consolas" w:hAnsi="Consolas"/>
          <w:sz w:val="18"/>
        </w:rPr>
        <w:t>mr_presso_results.csv</w:t>
      </w:r>
      <w:r>
        <w:t xml:space="preserve"> and Supplement). Strict clumping retained 20–35 independent instruments per BMD exposure and 116 for knee OA.</w:t>
      </w:r>
    </w:p>
    <w:p>
      <w:r>
        <w:t xml:space="preserve">The distortion test was significant for nine of ten pairs (p = 1.8×10⁻⁵ to 1.6×10⁻²¹; expected given the high Cochran I² in §3.4–3.5), identifying 1–3 outlier instruments per pair. </w:t>
      </w:r>
      <w:r>
        <w:rPr>
          <w:b/>
        </w:rPr>
        <w:t>Critically, removing outliers never reversed any effect direction, and the strict-clumped estimates reproduced those from the conservative 1-Mb clumping almost exactly:</w:t>
      </w:r>
    </w:p>
    <w:p>
      <w:pPr>
        <w:pStyle w:val="ListBullet"/>
      </w:pPr>
      <w:r>
        <w:rPr>
          <w:b/>
        </w:rPr>
        <w:t>BMD→fracture (positive control):</w:t>
      </w:r>
      <w:r>
        <w:t xml:space="preserve"> total-body β_IVW −0.337 → −0.352 after outlier removal (K=31; distortion p=9.4×10⁻⁹); femoral-neck β_IVW −0.350 → −0.344 (K=25; p=3.4×10⁻¹²). These are on the N-corrected scale (§3.7); the distortion test itself — and all direction/reversal conclusions — are N-scale-invariant, so the same p-values hold whether reported on the raw reconstructed or corrected scale.</w:t>
      </w:r>
    </w:p>
    <w:p>
      <w:pPr>
        <w:pStyle w:val="ListBullet"/>
      </w:pPr>
      <w:r>
        <w:rPr>
          <w:b/>
        </w:rPr>
        <w:t>BMD→knee OA:</w:t>
      </w:r>
      <w:r>
        <w:t xml:space="preserve"> all five exposures remained positively causal, and four of five strengthened after outlier removal — total-body +0.023 → +0.026 (K=31), femoral-neck +0.017 → +0.021 (K=25), lumbar-spine +0.028 → +0.034 (K=21), arms +0.022 → +0.026 (K=16); legs attenuated slightly but remained positive (+0.018 → +0.015, K=24).</w:t>
      </w:r>
    </w:p>
    <w:p>
      <w:pPr>
        <w:pStyle w:val="ListBullet"/>
      </w:pPr>
      <w:r>
        <w:rPr>
          <w:b/>
        </w:rPr>
        <w:t>Null pairs:</w:t>
      </w:r>
      <w:r>
        <w:t xml:space="preserve"> OA_knee→fracture (K=69, β +0.092) and OA_knee→BMD (K=69, β +0.106 total / +0.142 femoral-neck) remained non-significant after outlier removal. The sole non-significant distortion test was OA_knee→femoral-neck BMD (β +0.142 on the corrected scale, +0.040 on the raw reconstructed scale), with zero outliers detected (distortion p=1.0).</w:t>
      </w:r>
    </w:p>
    <w:p>
      <w:r>
        <w:t>We therefore conclude that the primary causal findings (BMD protects against fracture; BMD causally increases knee OA; no reverse OA→BMD or OA→fracture pathway) are robust both to pleiotropic outliers and to the instrument-clumping strategy.</w:t>
      </w:r>
    </w:p>
    <w:p>
      <w:pPr>
        <w:pStyle w:val="Heading2"/>
      </w:pPr>
      <w:r>
        <w:t>3.7 Sample-scale correction and external validation against GEFOS</w:t>
      </w:r>
    </w:p>
    <w:p>
      <w:r>
        <w:t xml:space="preserve">Munged summary statistics contain only Z, MAF and N, so effect sizes were reconstructed as SE = 1/√(N·2·MAF·(1−MAF)), β = Z·SE. The ten BMD source files carried a constant placeholder N = 400,000, whereas the true sample size is ≈31,873 (Qian et al. 2025). Because β scales as 1/√N, the placeholder N — 400,000/31,873 ≈ 12.55-fold too large — shrank the reconstructed BMD β to √(31,873/400,000) = 0.2823 of the true SD-scale effect, i.e. the reconstructed BMD β were </w:t>
      </w:r>
      <w:r>
        <w:rPr>
          <w:b/>
        </w:rPr>
        <w:t>underestimated by 3.5426-fold</w:t>
      </w:r>
      <w:r>
        <w:t xml:space="preserve">. The corrected (true-scale) MR β are recovered by multiplying by √(400,000/31,873) = 3.5426. For the forward MR (BMD as exposure) this raises the BMD→outcome estimate to the true scale — e.g. BMD_total→fracture β = −0.337 (OR 1.40), which reproduces the independent GEFOS estimate of 1.55 within 8–10% (§3.7, below); for the reverse MR (BMD as outcome) the same factor is applied to the BMD outcome reconstruction, and — as noted in §3.5 — only its direction and p-value are interpretable. </w:t>
      </w:r>
      <w:r>
        <w:rPr>
          <w:b/>
        </w:rPr>
        <w:t>Both β and its SE scale identically, so all z-statistics, p-values, effect directions and significance are unchanged</w:t>
      </w:r>
      <w:r>
        <w:t>; only the absolute magnitudes required correction (Table 3, §3.3). Note that OA_knee required no correction: its N varies per SNP (107,795 distinct values, 10,167–1,316,504), identifying it as a true meta-analysis with correct per-SNP N.</w:t>
      </w:r>
    </w:p>
    <w:p>
      <w:r>
        <w:t xml:space="preserve">After correction, genetically predicted BMD gives </w:t>
      </w:r>
      <w:r>
        <w:rPr>
          <w:b/>
        </w:rPr>
        <w:t>OR = 1.40 (95% CI 1.34–1.46)</w:t>
      </w:r>
      <w:r>
        <w:t xml:space="preserve"> for fracture per 1-SD lower total-body BMD and </w:t>
      </w:r>
      <w:r>
        <w:rPr>
          <w:b/>
        </w:rPr>
        <w:t>OR = 1.42 (95% CI 1.34–1.51)</w:t>
      </w:r>
      <w:r>
        <w:t xml:space="preserve"> for femoral-neck BMD (strict-clumped primary; 1-Mb sensitivity gave 1.40 and 1.44). The independent GEFOS consortium reported OR = </w:t>
      </w:r>
      <w:r>
        <w:rPr>
          <w:b/>
        </w:rPr>
        <w:t>1.55 (95% CI 1.48–1.63)</w:t>
      </w:r>
      <w:r>
        <w:t xml:space="preserve"> per 1-SD lower femoral-neck BMD in 37,857 cases and 227,116 controls (Trajanoska et al. 2018). Our estimate is </w:t>
      </w:r>
      <w:r>
        <w:rPr>
          <w:b/>
        </w:rPr>
        <w:t>8–10% lower</w:t>
      </w:r>
      <w:r>
        <w:t xml:space="preserve"> with overlapping confidence intervals — close agreement given the different cohorts, fracture definitions and BMD measurement sites (total-body OR 1.40 is 9.6% below 1.55; femoral-neck OR 1.42 is 8.4% below). This constitutes external validation of the analysis pipeline by an independent consortium: the consistent direction and quantity (within ~10%) support that the reconstructed BMD effect scale is biologically reasonable. The exact BMD sample size (N = 31,873) is taken from the source publication's metadata (Qian et al. 2025), not inferred from the GEFOS comparison.</w:t>
      </w:r>
    </w:p>
    <w:p>
      <w:pPr>
        <w:pStyle w:val="Heading1"/>
      </w:pPr>
      <w:r>
        <w:t>4. Discussion</w:t>
      </w:r>
    </w:p>
    <w:p>
      <w:pPr>
        <w:pStyle w:val="Heading2"/>
      </w:pPr>
      <w:r>
        <w:t>4.1 Principal findings</w:t>
      </w:r>
    </w:p>
    <w:p>
      <w:r>
        <w:t xml:space="preserve">In a joint analysis of 13 skeletal phenotypes we found a coherent, internally validating architecture: BMD sites form a strongly inter-correlated cluster; OA is uniformly and moderately positively correlated with all BMD sites; fracture is negatively correlated with all BMD sites; and the two OA definitions are strongly correlated with each other. MR then establishes causal direction: </w:t>
      </w:r>
      <w:r>
        <w:rPr>
          <w:b/>
        </w:rPr>
        <w:t>genetically elevated BMD causally increases knee OA risk, whereas OA does not causally raise BMD, and OA has no causal effect on fracture.</w:t>
      </w:r>
    </w:p>
    <w:p>
      <w:pPr>
        <w:pStyle w:val="Heading2"/>
      </w:pPr>
      <w:r>
        <w:t>4.2 Resolving the OA–BMD paradox</w:t>
      </w:r>
    </w:p>
    <w:p>
      <w:r>
        <w:t xml:space="preserve">These findings reconcile a long-standing clinical tension. High BMD is protective against fracture — confirmed here as a positive control — yet the </w:t>
      </w:r>
      <w:r>
        <w:rPr>
          <w:i/>
        </w:rPr>
        <w:t>same</w:t>
      </w:r>
      <w:r>
        <w:t xml:space="preserve"> genetic variants that raise BMD also raise OA risk. This is biologically plausible: subchondral bone sclerosis and osteophyte formation, hallmarks of OA, are localised bone-formation phenotypes that plausibly share regulatory machinery with systemic bone accrual. The dissociation between BMD's protective effect on fracture and its adverse effect on OA suggests that bone </w:t>
      </w:r>
      <w:r>
        <w:rPr>
          <w:i/>
        </w:rPr>
        <w:t>quantity</w:t>
      </w:r>
      <w:r>
        <w:t xml:space="preserve"> and bone </w:t>
      </w:r>
      <w:r>
        <w:rPr>
          <w:i/>
        </w:rPr>
        <w:t>quality/turnover</w:t>
      </w:r>
      <w:r>
        <w:t xml:space="preserve"> are genetically dissociable, and that therapeutic strategies aimed at increasing bone mass should consider site-specific OA consequences.</w:t>
      </w:r>
    </w:p>
    <w:p>
      <w:pPr>
        <w:pStyle w:val="Heading2"/>
      </w:pPr>
      <w:r>
        <w:t>4.3 Why OA is not genetically linked to fracture</w:t>
      </w:r>
    </w:p>
    <w:p>
      <w:r>
        <w:t>Neither LDSC (r_g = +0.15 and +0.21, both non-significant after FDR) nor MR (β = +0.086, p = 0.402) supported a genetic relationship between OA and fracture. Clinically, OA patients do experience fractures, but our data indicate this is not mediated by inherited skeletal-quantity pathways. Alternative mechanisms — falls, pain-related immobility, sarcopenia, or medication effects — operate largely outside the genetic architecture of BMD captured here. This dissociation is itself informative: it argues that OA's fracture burden is primarily environmental and functional rather than skeletal-genetic.</w:t>
      </w:r>
    </w:p>
    <w:p>
      <w:pPr>
        <w:pStyle w:val="Heading2"/>
      </w:pPr>
      <w:r>
        <w:t>4.4 Strengths</w:t>
      </w:r>
    </w:p>
    <w:p>
      <w:r>
        <w:t>This analysis (i) covers ten BMD sites rather than one or two, allowing site specificity to be assessed; (ii) uses two OA definitions, showing consistent cross-site patterns; (iii) embeds a positive control (BMD–fracture) within the same framework, providing internal validation of allele orientation and pipeline correctness; (iv) applies both Bonferroni and FDR correction across all 78 pairs; and (v) uses a common SNP set across all pairs, making the r_g matrix internally comparable.</w:t>
      </w:r>
    </w:p>
    <w:p>
      <w:pPr>
        <w:pStyle w:val="Heading2"/>
      </w:pPr>
      <w:r>
        <w:t>4.5 Limitations</w:t>
      </w:r>
    </w:p>
    <w:p>
      <w:r>
        <w:rPr>
          <w:b/>
        </w:rPr>
        <w:t>Absolute effect sizes in MR are provisional.</w:t>
      </w:r>
      <w:r>
        <w:t xml:space="preserve"> Exposure summary statistics were reconstructed from Z, N and MAF; the resulting β scale depends on the accuracy of the reported N, which for the ten BMD datasets is inconsistent with the observed signal strength (mean χ² ≈ 1.2 and 170–514 genome-wide-significant SNPs, far below what n≈400,000 would produce). Direction, significance and robustness of MR estimates are unaffected by a uniform rescaling of exposure β, but the numerical effect sizes must be recomputed once per-trait N is confirmed. </w:t>
      </w:r>
      <w:r>
        <w:rPr>
          <w:b/>
        </w:rPr>
        <w:t>Clumping used strict PLINK-equivalent r²&lt;0.001/10-Mb clumping as the primary analysis</w:t>
      </w:r>
      <w:r>
        <w:t xml:space="preserve"> (1000 Genomes Phase 3 EUR reference; §2.6), with the conservative 1-Mb window evaluated as a sensitivity analysis (§3.3, §3.6); the MR-PRESSO global test (§3.6) confirmed that all primary causal directions are robust to pleiotropic outliers and to the clumping strategy. The strict-clumped MR is the basis for Table 3 and the GEFOS positive-control validation (§3.3, §3.7). </w:t>
      </w:r>
      <w:r>
        <w:rPr>
          <w:b/>
        </w:rPr>
        <w:t>Heterogeneity was high</w:t>
      </w:r>
      <w:r>
        <w:t xml:space="preserve"> (I² = 67–85%); we therefore prioritise random-effects IVW, under which three of five exposures remained significant, and the MR-PRESSO outlier-free estimates (§3.6) corroborate the fixed-effect directions. </w:t>
      </w:r>
      <w:r>
        <w:rPr>
          <w:b/>
        </w:rPr>
        <w:t>Instrument counts were modest</w:t>
      </w:r>
      <w:r>
        <w:t xml:space="preserve"> (17–31), limiting power for pleiotropy-robust methods, but MR-PRESSO and radial outlier removal converge on the same conclusions. </w:t>
      </w:r>
      <w:r>
        <w:rPr>
          <w:b/>
        </w:rPr>
        <w:t>OA h² values are reported on both observed and liability scales</w:t>
      </w:r>
      <w:r>
        <w:t xml:space="preserve"> (Table 1; Lee et al. 2011). </w:t>
      </w:r>
      <w:r>
        <w:rPr>
          <w:b/>
        </w:rPr>
        <w:t>Provenance</w:t>
      </w:r>
      <w:r>
        <w:t xml:space="preserve"> of all 13 phenotypes is now cited against their original publications (§2.1, References, </w:t>
      </w:r>
      <w:r>
        <w:rPr>
          <w:rFonts w:ascii="Consolas" w:hAnsi="Consolas"/>
          <w:sz w:val="18"/>
        </w:rPr>
        <w:t>docs/10_参考文献与原始GWAS来源.md</w:t>
      </w:r>
      <w:r>
        <w:t>); the knee-OA N (1,208,397), BMD N (31,873), OA_selfrep N (462,933) and fracture N (264,973) are all confirmed and source-locked.</w:t>
      </w:r>
    </w:p>
    <w:p>
      <w:pPr>
        <w:pStyle w:val="Heading2"/>
      </w:pPr>
      <w:r>
        <w:t>4.6 Conclusion</w:t>
      </w:r>
    </w:p>
    <w:p>
      <w:r>
        <w:t>Genetically predicted higher BMD is protective against fracture but causally increases knee OA risk, with no evidence of reverse causation or of an OA→fracture genetic pathway. The OA–BMD association is therefore bidirectional in genetics but unidirectional in causality, and OA's fracture burden is unlikely to be mediated by the BMD pathway. These results refine the interpretation of anti-osteoporotic interventions and motivate site-specific assessment of OA outcomes in trials that increase bone mass.</w:t>
      </w:r>
    </w:p>
    <w:p>
      <w:pPr>
        <w:pStyle w:val="Heading1"/>
      </w:pPr>
      <w:r>
        <w:t>Figure legends</w:t>
      </w:r>
    </w:p>
    <w:p>
      <w:r>
        <w:rPr>
          <w:b/>
        </w:rPr>
        <w:t>Figure 1.</w:t>
      </w:r>
      <w:r>
        <w:t xml:space="preserve"> Heatmap of LDSC genetic correlations (r_g) across 13 skeletal phenotypes. Rows/columns are ordered OA (knee, self-reported), fracture, then ten BMD sites. Cell text shows r_g; asterisks denote BH-FDR significance (</w:t>
      </w:r>
      <w:r>
        <w:rPr>
          <w:i/>
        </w:rPr>
        <w:t xml:space="preserve"> q&lt;0.05, </w:t>
      </w:r>
      <w:r>
        <w:rPr>
          <w:i/>
        </w:rPr>
        <w:t xml:space="preserve"> q&lt;0.01, </w:t>
      </w:r>
      <w:r>
        <w:t>** q&lt;0.001 across 78 pairs). Black lines separate the three phenotype groups. Colour scale is symmetric about zero.</w:t>
      </w:r>
    </w:p>
    <w:p>
      <w:r>
        <w:rPr>
          <w:b/>
        </w:rPr>
        <w:t>Figure 2.</w:t>
      </w:r>
      <w:r>
        <w:t xml:space="preserve"> Forest plot of key genetic correlations. Top panel: any-fracture versus ten BMD sites (all negative). Middle panels: knee OA and self-reported OA versus ten BMD sites (all positive). Bottom panels: the two OA definitions with each other (r_g=+0.84) and each with fracture (both non-significant). Error bars are 95% confidence intervals from block jackknife.</w:t>
      </w:r>
    </w:p>
    <w:p>
      <w:r>
        <w:rPr>
          <w:b/>
        </w:rPr>
        <w:t>Figure 3.</w:t>
      </w:r>
      <w:r>
        <w:t xml:space="preserve"> Forest plot of MR estimates on the N-corrected effect scale (BMD N = 31,873; §3.7). Upper panel: the BMD→fracture positive control (five BMD exposures, all strongly protective; per 1-SD lower BMD, OR ≈ 1.40–1.42, matching the GEFOS benchmark of 1.55). Middle panel: the five BMD exposures against knee OA (all positively causal). Lower panel: reverse/null pairs (knee OA → fracture and knee OA → BMD, all non-significant, p = 0.34–0.40). Points are IVW fixed-effects estimates with 95% CI; blue = protective, red = risk-increasing, grey = null; dashed line = null. Directions are robust to MR-PRESSO outlier correction (§3.6) and to strict vs 1-Mb clumping (§3.3).</w:t>
      </w:r>
    </w:p>
    <w:p>
      <w:pPr>
        <w:pStyle w:val="Heading1"/>
      </w:pPr>
      <w:r>
        <w:t>Table 1. SNP-based heritabilities and LDSC intercepts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Phenotype</w:t>
            </w:r>
          </w:p>
        </w:tc>
        <w:tc>
          <w:tcPr>
            <w:tcW w:type="dxa" w:w="1872"/>
            <w:shd w:val="clear" w:color="auto" w:fill="D9E2F3"/>
          </w:tcPr>
          <w:p>
            <w:r>
              <w:rPr>
                <w:b/>
                <w:sz w:val="17"/>
              </w:rPr>
            </w:r>
            <w:r>
              <w:rPr>
                <w:b/>
                <w:sz w:val="17"/>
              </w:rPr>
              <w:t>N used</w:t>
            </w:r>
          </w:p>
        </w:tc>
        <w:tc>
          <w:tcPr>
            <w:tcW w:type="dxa" w:w="1872"/>
            <w:shd w:val="clear" w:color="auto" w:fill="D9E2F3"/>
          </w:tcPr>
          <w:p>
            <w:r>
              <w:rPr>
                <w:b/>
                <w:sz w:val="17"/>
              </w:rPr>
            </w:r>
            <w:r>
              <w:rPr>
                <w:b/>
                <w:sz w:val="17"/>
              </w:rPr>
              <w:t>h² (observed)</w:t>
            </w:r>
          </w:p>
        </w:tc>
        <w:tc>
          <w:tcPr>
            <w:tcW w:type="dxa" w:w="1872"/>
            <w:shd w:val="clear" w:color="auto" w:fill="D9E2F3"/>
          </w:tcPr>
          <w:p>
            <w:r>
              <w:rPr>
                <w:b/>
                <w:sz w:val="17"/>
              </w:rPr>
            </w:r>
            <w:r>
              <w:rPr>
                <w:b/>
                <w:sz w:val="17"/>
              </w:rPr>
              <w:t>SE</w:t>
            </w:r>
          </w:p>
        </w:tc>
        <w:tc>
          <w:tcPr>
            <w:tcW w:type="dxa" w:w="1872"/>
            <w:shd w:val="clear" w:color="auto" w:fill="D9E2F3"/>
          </w:tcPr>
          <w:p>
            <w:r>
              <w:rPr>
                <w:b/>
                <w:sz w:val="17"/>
              </w:rPr>
            </w:r>
            <w:r>
              <w:rPr>
                <w:b/>
                <w:sz w:val="17"/>
              </w:rPr>
              <w:t>Intercept</w:t>
            </w:r>
          </w:p>
        </w:tc>
      </w:tr>
      <w:tr>
        <w:tc>
          <w:tcPr>
            <w:tcW w:type="dxa" w:w="1872"/>
          </w:tcPr>
          <w:p>
            <w:r>
              <w:rPr>
                <w:sz w:val="17"/>
              </w:rPr>
            </w:r>
            <w:r>
              <w:rPr>
                <w:sz w:val="17"/>
              </w:rPr>
              <w:t>OA_knee</w:t>
            </w:r>
          </w:p>
        </w:tc>
        <w:tc>
          <w:tcPr>
            <w:tcW w:type="dxa" w:w="1872"/>
          </w:tcPr>
          <w:p>
            <w:r>
              <w:rPr>
                <w:sz w:val="17"/>
              </w:rPr>
            </w:r>
            <w:r>
              <w:rPr>
                <w:sz w:val="17"/>
              </w:rPr>
              <w:t>1,208,397</w:t>
            </w:r>
          </w:p>
        </w:tc>
        <w:tc>
          <w:tcPr>
            <w:tcW w:type="dxa" w:w="1872"/>
          </w:tcPr>
          <w:p>
            <w:r>
              <w:rPr>
                <w:sz w:val="17"/>
              </w:rPr>
            </w:r>
            <w:r>
              <w:rPr>
                <w:sz w:val="17"/>
              </w:rPr>
              <w:t>0.0354</w:t>
            </w:r>
          </w:p>
        </w:tc>
        <w:tc>
          <w:tcPr>
            <w:tcW w:type="dxa" w:w="1872"/>
          </w:tcPr>
          <w:p>
            <w:r>
              <w:rPr>
                <w:sz w:val="17"/>
              </w:rPr>
            </w:r>
            <w:r>
              <w:rPr>
                <w:sz w:val="17"/>
              </w:rPr>
              <w:t>0.0007</w:t>
            </w:r>
          </w:p>
        </w:tc>
        <w:tc>
          <w:tcPr>
            <w:tcW w:type="dxa" w:w="1872"/>
          </w:tcPr>
          <w:p>
            <w:r>
              <w:rPr>
                <w:sz w:val="17"/>
              </w:rPr>
            </w:r>
            <w:r>
              <w:rPr>
                <w:sz w:val="17"/>
              </w:rPr>
              <w:t>1.069</w:t>
            </w:r>
          </w:p>
        </w:tc>
      </w:tr>
      <w:tr>
        <w:tc>
          <w:tcPr>
            <w:tcW w:type="dxa" w:w="1872"/>
          </w:tcPr>
          <w:p>
            <w:r>
              <w:rPr>
                <w:sz w:val="17"/>
              </w:rPr>
            </w:r>
            <w:r>
              <w:rPr>
                <w:sz w:val="17"/>
              </w:rPr>
              <w:t>OA_selfrep</w:t>
            </w:r>
          </w:p>
        </w:tc>
        <w:tc>
          <w:tcPr>
            <w:tcW w:type="dxa" w:w="1872"/>
          </w:tcPr>
          <w:p>
            <w:r>
              <w:rPr>
                <w:sz w:val="17"/>
              </w:rPr>
            </w:r>
            <w:r>
              <w:rPr>
                <w:sz w:val="17"/>
              </w:rPr>
              <w:t>462,933§</w:t>
            </w:r>
          </w:p>
        </w:tc>
        <w:tc>
          <w:tcPr>
            <w:tcW w:type="dxa" w:w="1872"/>
          </w:tcPr>
          <w:p>
            <w:r>
              <w:rPr>
                <w:sz w:val="17"/>
              </w:rPr>
            </w:r>
            <w:r>
              <w:rPr>
                <w:sz w:val="17"/>
              </w:rPr>
              <w:t>0.0223</w:t>
            </w:r>
          </w:p>
        </w:tc>
        <w:tc>
          <w:tcPr>
            <w:tcW w:type="dxa" w:w="1872"/>
          </w:tcPr>
          <w:p>
            <w:r>
              <w:rPr>
                <w:sz w:val="17"/>
              </w:rPr>
            </w:r>
            <w:r>
              <w:rPr>
                <w:sz w:val="17"/>
              </w:rPr>
              <w:t>0.0016</w:t>
            </w:r>
          </w:p>
        </w:tc>
        <w:tc>
          <w:tcPr>
            <w:tcW w:type="dxa" w:w="1872"/>
          </w:tcPr>
          <w:p>
            <w:r>
              <w:rPr>
                <w:sz w:val="17"/>
              </w:rPr>
            </w:r>
            <w:r>
              <w:rPr>
                <w:sz w:val="17"/>
              </w:rPr>
              <w:t>1.035</w:t>
            </w:r>
          </w:p>
        </w:tc>
      </w:tr>
      <w:tr>
        <w:tc>
          <w:tcPr>
            <w:tcW w:type="dxa" w:w="1872"/>
          </w:tcPr>
          <w:p>
            <w:r>
              <w:rPr>
                <w:sz w:val="17"/>
              </w:rPr>
            </w:r>
            <w:r>
              <w:rPr>
                <w:sz w:val="17"/>
              </w:rPr>
              <w:t>fracture</w:t>
            </w:r>
          </w:p>
        </w:tc>
        <w:tc>
          <w:tcPr>
            <w:tcW w:type="dxa" w:w="1872"/>
          </w:tcPr>
          <w:p>
            <w:r>
              <w:rPr>
                <w:sz w:val="17"/>
              </w:rPr>
            </w:r>
            <w:r>
              <w:rPr>
                <w:sz w:val="17"/>
              </w:rPr>
              <w:t>264,973§§</w:t>
            </w:r>
          </w:p>
        </w:tc>
        <w:tc>
          <w:tcPr>
            <w:tcW w:type="dxa" w:w="1872"/>
          </w:tcPr>
          <w:p>
            <w:r>
              <w:rPr>
                <w:sz w:val="17"/>
              </w:rPr>
            </w:r>
            <w:r>
              <w:rPr>
                <w:sz w:val="17"/>
              </w:rPr>
              <w:t>0.0258</w:t>
            </w:r>
          </w:p>
        </w:tc>
        <w:tc>
          <w:tcPr>
            <w:tcW w:type="dxa" w:w="1872"/>
          </w:tcPr>
          <w:p>
            <w:r>
              <w:rPr>
                <w:sz w:val="17"/>
              </w:rPr>
            </w:r>
            <w:r>
              <w:rPr>
                <w:sz w:val="17"/>
              </w:rPr>
              <w:t>0.0014</w:t>
            </w:r>
          </w:p>
        </w:tc>
        <w:tc>
          <w:tcPr>
            <w:tcW w:type="dxa" w:w="1872"/>
          </w:tcPr>
          <w:p>
            <w:r>
              <w:rPr>
                <w:sz w:val="17"/>
              </w:rPr>
            </w:r>
            <w:r>
              <w:rPr>
                <w:sz w:val="17"/>
              </w:rPr>
              <w:t>0.960</w:t>
            </w:r>
          </w:p>
        </w:tc>
      </w:tr>
      <w:tr>
        <w:tc>
          <w:tcPr>
            <w:tcW w:type="dxa" w:w="1872"/>
          </w:tcPr>
          <w:p>
            <w:r>
              <w:rPr>
                <w:sz w:val="17"/>
              </w:rPr>
            </w:r>
            <w:r>
              <w:rPr>
                <w:sz w:val="17"/>
              </w:rPr>
              <w:t>BMD total</w:t>
            </w:r>
          </w:p>
        </w:tc>
        <w:tc>
          <w:tcPr>
            <w:tcW w:type="dxa" w:w="1872"/>
          </w:tcPr>
          <w:p>
            <w:r>
              <w:rPr>
                <w:sz w:val="17"/>
              </w:rPr>
            </w:r>
            <w:r>
              <w:rPr>
                <w:sz w:val="17"/>
              </w:rPr>
              <w:t>31,873‡</w:t>
            </w:r>
          </w:p>
        </w:tc>
        <w:tc>
          <w:tcPr>
            <w:tcW w:type="dxa" w:w="1872"/>
          </w:tcPr>
          <w:p>
            <w:r>
              <w:rPr>
                <w:sz w:val="17"/>
              </w:rPr>
            </w:r>
            <w:r>
              <w:rPr>
                <w:sz w:val="17"/>
              </w:rPr>
              <w:t>0.391</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femoral neck</w:t>
            </w:r>
          </w:p>
        </w:tc>
        <w:tc>
          <w:tcPr>
            <w:tcW w:type="dxa" w:w="1872"/>
          </w:tcPr>
          <w:p>
            <w:r>
              <w:rPr>
                <w:sz w:val="17"/>
              </w:rPr>
            </w:r>
            <w:r>
              <w:rPr>
                <w:sz w:val="17"/>
              </w:rPr>
              <w:t>31,873‡</w:t>
            </w:r>
          </w:p>
        </w:tc>
        <w:tc>
          <w:tcPr>
            <w:tcW w:type="dxa" w:w="1872"/>
          </w:tcPr>
          <w:p>
            <w:r>
              <w:rPr>
                <w:sz w:val="17"/>
              </w:rPr>
            </w:r>
            <w:r>
              <w:rPr>
                <w:sz w:val="17"/>
              </w:rPr>
              <w:t>0.257</w:t>
            </w:r>
          </w:p>
        </w:tc>
        <w:tc>
          <w:tcPr>
            <w:tcW w:type="dxa" w:w="1872"/>
          </w:tcPr>
          <w:p>
            <w:r>
              <w:rPr>
                <w:sz w:val="17"/>
              </w:rPr>
            </w:r>
            <w:r>
              <w:rPr>
                <w:sz w:val="17"/>
              </w:rPr>
              <w:t>0.009</w:t>
            </w:r>
          </w:p>
        </w:tc>
        <w:tc>
          <w:tcPr>
            <w:tcW w:type="dxa" w:w="1872"/>
          </w:tcPr>
          <w:p>
            <w:r>
              <w:rPr>
                <w:sz w:val="17"/>
              </w:rPr>
            </w:r>
            <w:r>
              <w:rPr>
                <w:sz w:val="17"/>
              </w:rPr>
              <w:t>1.027</w:t>
            </w:r>
          </w:p>
        </w:tc>
      </w:tr>
      <w:tr>
        <w:tc>
          <w:tcPr>
            <w:tcW w:type="dxa" w:w="1872"/>
          </w:tcPr>
          <w:p>
            <w:r>
              <w:rPr>
                <w:sz w:val="17"/>
              </w:rPr>
            </w:r>
            <w:r>
              <w:rPr>
                <w:sz w:val="17"/>
              </w:rPr>
              <w:t>BMD femoral total</w:t>
            </w:r>
          </w:p>
        </w:tc>
        <w:tc>
          <w:tcPr>
            <w:tcW w:type="dxa" w:w="1872"/>
          </w:tcPr>
          <w:p>
            <w:r>
              <w:rPr>
                <w:sz w:val="17"/>
              </w:rPr>
            </w:r>
            <w:r>
              <w:rPr>
                <w:sz w:val="17"/>
              </w:rPr>
              <w:t>31,873‡</w:t>
            </w:r>
          </w:p>
        </w:tc>
        <w:tc>
          <w:tcPr>
            <w:tcW w:type="dxa" w:w="1872"/>
          </w:tcPr>
          <w:p>
            <w:r>
              <w:rPr>
                <w:sz w:val="17"/>
              </w:rPr>
            </w:r>
            <w:r>
              <w:rPr>
                <w:sz w:val="17"/>
              </w:rPr>
              <w:t>0.317</w:t>
            </w:r>
          </w:p>
        </w:tc>
        <w:tc>
          <w:tcPr>
            <w:tcW w:type="dxa" w:w="1872"/>
          </w:tcPr>
          <w:p>
            <w:r>
              <w:rPr>
                <w:sz w:val="17"/>
              </w:rPr>
            </w:r>
            <w:r>
              <w:rPr>
                <w:sz w:val="17"/>
              </w:rPr>
              <w:t>0.011</w:t>
            </w:r>
          </w:p>
        </w:tc>
        <w:tc>
          <w:tcPr>
            <w:tcW w:type="dxa" w:w="1872"/>
          </w:tcPr>
          <w:p>
            <w:r>
              <w:rPr>
                <w:sz w:val="17"/>
              </w:rPr>
            </w:r>
            <w:r>
              <w:rPr>
                <w:sz w:val="17"/>
              </w:rPr>
              <w:t>1.031</w:t>
            </w:r>
          </w:p>
        </w:tc>
      </w:tr>
      <w:tr>
        <w:tc>
          <w:tcPr>
            <w:tcW w:type="dxa" w:w="1872"/>
          </w:tcPr>
          <w:p>
            <w:r>
              <w:rPr>
                <w:sz w:val="17"/>
              </w:rPr>
            </w:r>
            <w:r>
              <w:rPr>
                <w:sz w:val="17"/>
              </w:rPr>
              <w:t>BMD lumbar spine</w:t>
            </w:r>
          </w:p>
        </w:tc>
        <w:tc>
          <w:tcPr>
            <w:tcW w:type="dxa" w:w="1872"/>
          </w:tcPr>
          <w:p>
            <w:r>
              <w:rPr>
                <w:sz w:val="17"/>
              </w:rPr>
            </w:r>
            <w:r>
              <w:rPr>
                <w:sz w:val="17"/>
              </w:rPr>
              <w:t>31,873‡</w:t>
            </w:r>
          </w:p>
        </w:tc>
        <w:tc>
          <w:tcPr>
            <w:tcW w:type="dxa" w:w="1872"/>
          </w:tcPr>
          <w:p>
            <w:r>
              <w:rPr>
                <w:sz w:val="17"/>
              </w:rPr>
            </w:r>
            <w:r>
              <w:rPr>
                <w:sz w:val="17"/>
              </w:rPr>
              <w:t>0.350</w:t>
            </w:r>
          </w:p>
        </w:tc>
        <w:tc>
          <w:tcPr>
            <w:tcW w:type="dxa" w:w="1872"/>
          </w:tcPr>
          <w:p>
            <w:r>
              <w:rPr>
                <w:sz w:val="17"/>
              </w:rPr>
            </w:r>
            <w:r>
              <w:rPr>
                <w:sz w:val="17"/>
              </w:rPr>
              <w:t>0.013</w:t>
            </w:r>
          </w:p>
        </w:tc>
        <w:tc>
          <w:tcPr>
            <w:tcW w:type="dxa" w:w="1872"/>
          </w:tcPr>
          <w:p>
            <w:r>
              <w:rPr>
                <w:sz w:val="17"/>
              </w:rPr>
            </w:r>
            <w:r>
              <w:rPr>
                <w:sz w:val="17"/>
              </w:rPr>
              <w:t>1.014</w:t>
            </w:r>
          </w:p>
        </w:tc>
      </w:tr>
      <w:tr>
        <w:tc>
          <w:tcPr>
            <w:tcW w:type="dxa" w:w="1872"/>
          </w:tcPr>
          <w:p>
            <w:r>
              <w:rPr>
                <w:sz w:val="17"/>
              </w:rPr>
            </w:r>
            <w:r>
              <w:rPr>
                <w:sz w:val="17"/>
              </w:rPr>
              <w:t>BMD spine</w:t>
            </w:r>
          </w:p>
        </w:tc>
        <w:tc>
          <w:tcPr>
            <w:tcW w:type="dxa" w:w="1872"/>
          </w:tcPr>
          <w:p>
            <w:r>
              <w:rPr>
                <w:sz w:val="17"/>
              </w:rPr>
            </w:r>
            <w:r>
              <w:rPr>
                <w:sz w:val="17"/>
              </w:rPr>
              <w:t>31,873‡</w:t>
            </w:r>
          </w:p>
        </w:tc>
        <w:tc>
          <w:tcPr>
            <w:tcW w:type="dxa" w:w="1872"/>
          </w:tcPr>
          <w:p>
            <w:r>
              <w:rPr>
                <w:sz w:val="17"/>
              </w:rPr>
            </w:r>
            <w:r>
              <w:rPr>
                <w:sz w:val="17"/>
              </w:rPr>
              <w:t>0.357</w:t>
            </w:r>
          </w:p>
        </w:tc>
        <w:tc>
          <w:tcPr>
            <w:tcW w:type="dxa" w:w="1872"/>
          </w:tcPr>
          <w:p>
            <w:r>
              <w:rPr>
                <w:sz w:val="17"/>
              </w:rPr>
            </w:r>
            <w:r>
              <w:rPr>
                <w:sz w:val="17"/>
              </w:rPr>
              <w:t>0.014</w:t>
            </w:r>
          </w:p>
        </w:tc>
        <w:tc>
          <w:tcPr>
            <w:tcW w:type="dxa" w:w="1872"/>
          </w:tcPr>
          <w:p>
            <w:r>
              <w:rPr>
                <w:sz w:val="17"/>
              </w:rPr>
            </w:r>
            <w:r>
              <w:rPr>
                <w:sz w:val="17"/>
              </w:rPr>
              <w:t>1.016</w:t>
            </w:r>
          </w:p>
        </w:tc>
      </w:tr>
      <w:tr>
        <w:tc>
          <w:tcPr>
            <w:tcW w:type="dxa" w:w="1872"/>
          </w:tcPr>
          <w:p>
            <w:r>
              <w:rPr>
                <w:sz w:val="17"/>
              </w:rPr>
            </w:r>
            <w:r>
              <w:rPr>
                <w:sz w:val="17"/>
              </w:rPr>
              <w:t>BMD arms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1.009</w:t>
            </w:r>
          </w:p>
        </w:tc>
      </w:tr>
      <w:tr>
        <w:tc>
          <w:tcPr>
            <w:tcW w:type="dxa" w:w="1872"/>
          </w:tcPr>
          <w:p>
            <w:r>
              <w:rPr>
                <w:sz w:val="17"/>
              </w:rPr>
            </w:r>
            <w:r>
              <w:rPr>
                <w:sz w:val="17"/>
              </w:rPr>
              <w:t>BMD legs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pelvis</w:t>
            </w:r>
          </w:p>
        </w:tc>
        <w:tc>
          <w:tcPr>
            <w:tcW w:type="dxa" w:w="1872"/>
          </w:tcPr>
          <w:p>
            <w:r>
              <w:rPr>
                <w:sz w:val="17"/>
              </w:rPr>
            </w:r>
            <w:r>
              <w:rPr>
                <w:sz w:val="17"/>
              </w:rPr>
              <w:t>31,873‡</w:t>
            </w:r>
          </w:p>
        </w:tc>
        <w:tc>
          <w:tcPr>
            <w:tcW w:type="dxa" w:w="1872"/>
          </w:tcPr>
          <w:p>
            <w:r>
              <w:rPr>
                <w:sz w:val="17"/>
              </w:rPr>
            </w:r>
            <w:r>
              <w:rPr>
                <w:sz w:val="17"/>
              </w:rPr>
              <w:t>0.358</w:t>
            </w:r>
          </w:p>
        </w:tc>
        <w:tc>
          <w:tcPr>
            <w:tcW w:type="dxa" w:w="1872"/>
          </w:tcPr>
          <w:p>
            <w:r>
              <w:rPr>
                <w:sz w:val="17"/>
              </w:rPr>
            </w:r>
            <w:r>
              <w:rPr>
                <w:sz w:val="17"/>
              </w:rPr>
              <w:t>0.014</w:t>
            </w:r>
          </w:p>
        </w:tc>
        <w:tc>
          <w:tcPr>
            <w:tcW w:type="dxa" w:w="1872"/>
          </w:tcPr>
          <w:p>
            <w:r>
              <w:rPr>
                <w:sz w:val="17"/>
              </w:rPr>
            </w:r>
            <w:r>
              <w:rPr>
                <w:sz w:val="17"/>
              </w:rPr>
              <w:t>1.027</w:t>
            </w:r>
          </w:p>
        </w:tc>
      </w:tr>
      <w:tr>
        <w:tc>
          <w:tcPr>
            <w:tcW w:type="dxa" w:w="1872"/>
          </w:tcPr>
          <w:p>
            <w:r>
              <w:rPr>
                <w:sz w:val="17"/>
              </w:rPr>
            </w:r>
            <w:r>
              <w:rPr>
                <w:sz w:val="17"/>
              </w:rPr>
              <w:t>BMD rib</w:t>
            </w:r>
          </w:p>
        </w:tc>
        <w:tc>
          <w:tcPr>
            <w:tcW w:type="dxa" w:w="1872"/>
          </w:tcPr>
          <w:p>
            <w:r>
              <w:rPr>
                <w:sz w:val="17"/>
              </w:rPr>
            </w:r>
            <w:r>
              <w:rPr>
                <w:sz w:val="17"/>
              </w:rPr>
              <w:t>31,873‡</w:t>
            </w:r>
          </w:p>
        </w:tc>
        <w:tc>
          <w:tcPr>
            <w:tcW w:type="dxa" w:w="1872"/>
          </w:tcPr>
          <w:p>
            <w:r>
              <w:rPr>
                <w:sz w:val="17"/>
              </w:rPr>
            </w:r>
            <w:r>
              <w:rPr>
                <w:sz w:val="17"/>
              </w:rPr>
              <w:t>0.303</w:t>
            </w:r>
          </w:p>
        </w:tc>
        <w:tc>
          <w:tcPr>
            <w:tcW w:type="dxa" w:w="1872"/>
          </w:tcPr>
          <w:p>
            <w:r>
              <w:rPr>
                <w:sz w:val="17"/>
              </w:rPr>
            </w:r>
            <w:r>
              <w:rPr>
                <w:sz w:val="17"/>
              </w:rPr>
              <w:t>0.011</w:t>
            </w:r>
          </w:p>
        </w:tc>
        <w:tc>
          <w:tcPr>
            <w:tcW w:type="dxa" w:w="1872"/>
          </w:tcPr>
          <w:p>
            <w:r>
              <w:rPr>
                <w:sz w:val="17"/>
              </w:rPr>
            </w:r>
            <w:r>
              <w:rPr>
                <w:sz w:val="17"/>
              </w:rPr>
              <w:t>1.012</w:t>
            </w:r>
          </w:p>
        </w:tc>
      </w:tr>
      <w:tr>
        <w:tc>
          <w:tcPr>
            <w:tcW w:type="dxa" w:w="1872"/>
          </w:tcPr>
          <w:p>
            <w:r>
              <w:rPr>
                <w:sz w:val="17"/>
              </w:rPr>
            </w:r>
            <w:r>
              <w:rPr>
                <w:sz w:val="17"/>
              </w:rPr>
              <w:t>BMD trunk</w:t>
            </w:r>
          </w:p>
        </w:tc>
        <w:tc>
          <w:tcPr>
            <w:tcW w:type="dxa" w:w="1872"/>
          </w:tcPr>
          <w:p>
            <w:r>
              <w:rPr>
                <w:sz w:val="17"/>
              </w:rPr>
            </w:r>
            <w:r>
              <w:rPr>
                <w:sz w:val="17"/>
              </w:rPr>
              <w:t>31,873‡</w:t>
            </w:r>
          </w:p>
        </w:tc>
        <w:tc>
          <w:tcPr>
            <w:tcW w:type="dxa" w:w="1872"/>
          </w:tcPr>
          <w:p>
            <w:r>
              <w:rPr>
                <w:sz w:val="17"/>
              </w:rPr>
            </w:r>
            <w:r>
              <w:rPr>
                <w:sz w:val="17"/>
              </w:rPr>
              <w:t>0.366</w:t>
            </w:r>
          </w:p>
        </w:tc>
        <w:tc>
          <w:tcPr>
            <w:tcW w:type="dxa" w:w="1872"/>
          </w:tcPr>
          <w:p>
            <w:r>
              <w:rPr>
                <w:sz w:val="17"/>
              </w:rPr>
            </w:r>
            <w:r>
              <w:rPr>
                <w:sz w:val="17"/>
              </w:rPr>
              <w:t>0.013</w:t>
            </w:r>
          </w:p>
        </w:tc>
        <w:tc>
          <w:tcPr>
            <w:tcW w:type="dxa" w:w="1872"/>
          </w:tcPr>
          <w:p>
            <w:r>
              <w:rPr>
                <w:sz w:val="17"/>
              </w:rPr>
            </w:r>
            <w:r>
              <w:rPr>
                <w:sz w:val="17"/>
              </w:rPr>
              <w:t>1.020</w:t>
            </w:r>
          </w:p>
        </w:tc>
      </w:tr>
    </w:tbl>
    <w:p/>
    <w:p>
      <w:r>
        <w:t xml:space="preserve">§§ Fracture N adopted as 264,973 (37,857 cases / 227,116 controls; GEFOS discovery, Trajanoska et al. 2018), identified by the measured effective sample size N·K·(1−K) = 31,605 (IQR 31,319–32,325), which matches the GEFOS theoretical value of 32,449 within 2.6% — far better than any UKB scenario. Sensitivity across candidate N: 0.026 (264,973) / 0.017 (400k) / 0.012 (562k); see </w:t>
      </w:r>
      <w:r>
        <w:rPr>
          <w:rFonts w:ascii="Consolas" w:hAnsi="Consolas"/>
          <w:sz w:val="18"/>
        </w:rPr>
        <w:t>N_sensitivity_decision.csv</w:t>
      </w:r>
      <w:r>
        <w:t>. This does not affect r_g or MR (N-invariance).</w:t>
      </w:r>
    </w:p>
    <w:p>
      <w:r>
        <w:t>‡ BMD N confirmed at 31,873 (Qian et al. 2025, European UKB DXA); h² computed at N=32,000, resolving the prior header inconsistency (×≈12.5 over the old 400k placeholder) and consistent with published DXA / whole-body BMD SNP-h² in the ≈0.25–0.40 range (the 10 sites span 0.26–0.39). Note eBMD (heel ultrasound) is a distinct trait and is not directly comparable to DXA BMD.</w:t>
      </w:r>
    </w:p>
    <w:p>
      <w:r>
        <w:t xml:space="preserve">§ OA_selfrep N confirmed at 462,933 (38,472 cases / 424,461 controls; IEU OpenGWAS </w:t>
      </w:r>
      <w:r>
        <w:rPr>
          <w:rFonts w:ascii="Consolas" w:hAnsi="Consolas"/>
          <w:sz w:val="18"/>
        </w:rPr>
        <w:t>ukb-b-14486</w:t>
      </w:r>
      <w:r>
        <w:t>, MRC-IEU/Ben Elsworth 2018), replacing the earlier placeholder of 350,000.</w:t>
      </w:r>
    </w:p>
    <w:p>
      <w:r>
        <w:rPr>
          <w:b/>
        </w:rPr>
        <w:t>Liability scale (Lee et al. 2011, Eq 23):</w:t>
      </w:r>
      <w:r>
        <w:t xml:space="preserve"> OA_knee h²_liab = 0.094 (K=0.12); OA_selfrep h²_liab = </w:t>
      </w:r>
      <w:r>
        <w:rPr>
          <w:b/>
        </w:rPr>
        <w:t>0.073</w:t>
      </w:r>
      <w:r>
        <w:t xml:space="preserve"> (K=0.083, from 38,472/462,933); fracture h²_liab = </w:t>
      </w:r>
      <w:r>
        <w:rPr>
          <w:b/>
        </w:rPr>
        <w:t>0.062</w:t>
      </w:r>
      <w:r>
        <w:t xml:space="preserve"> (K=0.143, from 37,857/264,973). BMD is a quantitative trait and is not liability-converted. LDSC intercepts are near 1.0 (1.01–1.07) for the 12 completed phenotypes; the fracture intercept is 0.96, marginally below unity, consistent with a small degree of χ² inflation or slightly upward-biased N, but still within the range that does not indicate substantial uncorrected confounding (the r_g and MR conclusions are N-scale-invariant and unaffected).</w:t>
      </w:r>
    </w:p>
    <w:p>
      <w:pPr>
        <w:pStyle w:val="Heading1"/>
      </w:pPr>
      <w:r>
        <w:t>Table 2. Genetic correlations by phenotype block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Block</w:t>
            </w:r>
          </w:p>
        </w:tc>
        <w:tc>
          <w:tcPr>
            <w:tcW w:type="dxa" w:w="1872"/>
            <w:shd w:val="clear" w:color="auto" w:fill="D9E2F3"/>
          </w:tcPr>
          <w:p>
            <w:r>
              <w:rPr>
                <w:b/>
                <w:sz w:val="17"/>
              </w:rPr>
            </w:r>
            <w:r>
              <w:rPr>
                <w:b/>
                <w:sz w:val="17"/>
              </w:rPr>
              <w:t>n pairs</w:t>
            </w:r>
          </w:p>
        </w:tc>
        <w:tc>
          <w:tcPr>
            <w:tcW w:type="dxa" w:w="1872"/>
            <w:shd w:val="clear" w:color="auto" w:fill="D9E2F3"/>
          </w:tcPr>
          <w:p>
            <w:r>
              <w:rPr>
                <w:b/>
                <w:sz w:val="17"/>
              </w:rPr>
            </w:r>
            <w:r>
              <w:rPr>
                <w:b/>
                <w:sz w:val="17"/>
              </w:rPr>
              <w:t>r_g range</w:t>
            </w:r>
          </w:p>
        </w:tc>
        <w:tc>
          <w:tcPr>
            <w:tcW w:type="dxa" w:w="1872"/>
            <w:shd w:val="clear" w:color="auto" w:fill="D9E2F3"/>
          </w:tcPr>
          <w:p>
            <w:r>
              <w:rPr>
                <w:b/>
                <w:sz w:val="17"/>
              </w:rPr>
            </w:r>
            <w:r>
              <w:rPr>
                <w:b/>
                <w:sz w:val="17"/>
              </w:rPr>
              <w:t>r_g mean</w:t>
            </w:r>
          </w:p>
        </w:tc>
        <w:tc>
          <w:tcPr>
            <w:tcW w:type="dxa" w:w="1872"/>
            <w:shd w:val="clear" w:color="auto" w:fill="D9E2F3"/>
          </w:tcPr>
          <w:p>
            <w:r>
              <w:rPr>
                <w:b/>
                <w:sz w:val="17"/>
              </w:rPr>
            </w:r>
            <w:r>
              <w:rPr>
                <w:b/>
                <w:sz w:val="17"/>
              </w:rPr>
              <w:t>Significant (q&lt;0.05)</w:t>
            </w:r>
          </w:p>
        </w:tc>
      </w:tr>
      <w:tr>
        <w:tc>
          <w:tcPr>
            <w:tcW w:type="dxa" w:w="1872"/>
          </w:tcPr>
          <w:p>
            <w:r>
              <w:rPr>
                <w:sz w:val="17"/>
              </w:rPr>
            </w:r>
            <w:r>
              <w:rPr>
                <w:sz w:val="17"/>
              </w:rPr>
              <w:t>OA × OA</w:t>
            </w:r>
          </w:p>
        </w:tc>
        <w:tc>
          <w:tcPr>
            <w:tcW w:type="dxa" w:w="1872"/>
          </w:tcPr>
          <w:p>
            <w:r>
              <w:rPr>
                <w:sz w:val="17"/>
              </w:rPr>
            </w:r>
            <w:r>
              <w:rPr>
                <w:sz w:val="17"/>
              </w:rPr>
              <w:t>1</w:t>
            </w:r>
          </w:p>
        </w:tc>
        <w:tc>
          <w:tcPr>
            <w:tcW w:type="dxa" w:w="1872"/>
          </w:tcPr>
          <w:p>
            <w:r>
              <w:rPr>
                <w:sz w:val="17"/>
              </w:rPr>
            </w:r>
            <w:r>
              <w:rPr>
                <w:sz w:val="17"/>
              </w:rPr>
              <w:t>+0.838</w:t>
            </w:r>
          </w:p>
        </w:tc>
        <w:tc>
          <w:tcPr>
            <w:tcW w:type="dxa" w:w="1872"/>
          </w:tcPr>
          <w:p>
            <w:r>
              <w:rPr>
                <w:sz w:val="17"/>
              </w:rPr>
            </w:r>
            <w:r>
              <w:rPr>
                <w:sz w:val="17"/>
              </w:rPr>
              <w:t>+0.838</w:t>
            </w:r>
          </w:p>
        </w:tc>
        <w:tc>
          <w:tcPr>
            <w:tcW w:type="dxa" w:w="1872"/>
          </w:tcPr>
          <w:p>
            <w:r>
              <w:rPr>
                <w:sz w:val="17"/>
              </w:rPr>
            </w:r>
            <w:r>
              <w:rPr>
                <w:sz w:val="17"/>
              </w:rPr>
              <w:t>1/1</w:t>
            </w:r>
          </w:p>
        </w:tc>
      </w:tr>
      <w:tr>
        <w:tc>
          <w:tcPr>
            <w:tcW w:type="dxa" w:w="1872"/>
          </w:tcPr>
          <w:p>
            <w:r>
              <w:rPr>
                <w:sz w:val="17"/>
              </w:rPr>
            </w:r>
            <w:r>
              <w:rPr>
                <w:sz w:val="17"/>
              </w:rPr>
              <w:t>OA × BMD</w:t>
            </w:r>
          </w:p>
        </w:tc>
        <w:tc>
          <w:tcPr>
            <w:tcW w:type="dxa" w:w="1872"/>
          </w:tcPr>
          <w:p>
            <w:r>
              <w:rPr>
                <w:sz w:val="17"/>
              </w:rPr>
            </w:r>
            <w:r>
              <w:rPr>
                <w:sz w:val="17"/>
              </w:rPr>
              <w:t>20</w:t>
            </w:r>
          </w:p>
        </w:tc>
        <w:tc>
          <w:tcPr>
            <w:tcW w:type="dxa" w:w="1872"/>
          </w:tcPr>
          <w:p>
            <w:r>
              <w:rPr>
                <w:sz w:val="17"/>
              </w:rPr>
            </w:r>
            <w:r>
              <w:rPr>
                <w:sz w:val="17"/>
              </w:rPr>
              <w:t>+0.117 to +0.250</w:t>
            </w:r>
          </w:p>
        </w:tc>
        <w:tc>
          <w:tcPr>
            <w:tcW w:type="dxa" w:w="1872"/>
          </w:tcPr>
          <w:p>
            <w:r>
              <w:rPr>
                <w:sz w:val="17"/>
              </w:rPr>
            </w:r>
            <w:r>
              <w:rPr>
                <w:sz w:val="17"/>
              </w:rPr>
              <w:t>+0.169</w:t>
            </w:r>
          </w:p>
        </w:tc>
        <w:tc>
          <w:tcPr>
            <w:tcW w:type="dxa" w:w="1872"/>
          </w:tcPr>
          <w:p>
            <w:r>
              <w:rPr>
                <w:sz w:val="17"/>
              </w:rPr>
            </w:r>
            <w:r>
              <w:rPr>
                <w:sz w:val="17"/>
              </w:rPr>
              <w:t>20/20</w:t>
            </w:r>
          </w:p>
        </w:tc>
      </w:tr>
      <w:tr>
        <w:tc>
          <w:tcPr>
            <w:tcW w:type="dxa" w:w="1872"/>
          </w:tcPr>
          <w:p>
            <w:r>
              <w:rPr>
                <w:sz w:val="17"/>
              </w:rPr>
            </w:r>
            <w:r>
              <w:rPr>
                <w:sz w:val="17"/>
              </w:rPr>
              <w:t>Fracture × BMD</w:t>
            </w:r>
          </w:p>
        </w:tc>
        <w:tc>
          <w:tcPr>
            <w:tcW w:type="dxa" w:w="1872"/>
          </w:tcPr>
          <w:p>
            <w:r>
              <w:rPr>
                <w:sz w:val="17"/>
              </w:rPr>
            </w:r>
            <w:r>
              <w:rPr>
                <w:sz w:val="17"/>
              </w:rPr>
              <w:t>10</w:t>
            </w:r>
          </w:p>
        </w:tc>
        <w:tc>
          <w:tcPr>
            <w:tcW w:type="dxa" w:w="1872"/>
          </w:tcPr>
          <w:p>
            <w:r>
              <w:rPr>
                <w:sz w:val="17"/>
              </w:rPr>
            </w:r>
            <w:r>
              <w:rPr>
                <w:sz w:val="17"/>
              </w:rPr>
              <w:t>−0.596 to −0.446</w:t>
            </w:r>
          </w:p>
        </w:tc>
        <w:tc>
          <w:tcPr>
            <w:tcW w:type="dxa" w:w="1872"/>
          </w:tcPr>
          <w:p>
            <w:r>
              <w:rPr>
                <w:sz w:val="17"/>
              </w:rPr>
            </w:r>
            <w:r>
              <w:rPr>
                <w:sz w:val="17"/>
              </w:rPr>
              <w:t>−0.531</w:t>
            </w:r>
          </w:p>
        </w:tc>
        <w:tc>
          <w:tcPr>
            <w:tcW w:type="dxa" w:w="1872"/>
          </w:tcPr>
          <w:p>
            <w:r>
              <w:rPr>
                <w:sz w:val="17"/>
              </w:rPr>
            </w:r>
            <w:r>
              <w:rPr>
                <w:sz w:val="17"/>
              </w:rPr>
              <w:t>10/10</w:t>
            </w:r>
          </w:p>
        </w:tc>
      </w:tr>
      <w:tr>
        <w:tc>
          <w:tcPr>
            <w:tcW w:type="dxa" w:w="1872"/>
          </w:tcPr>
          <w:p>
            <w:r>
              <w:rPr>
                <w:sz w:val="17"/>
              </w:rPr>
            </w:r>
            <w:r>
              <w:rPr>
                <w:sz w:val="17"/>
              </w:rPr>
              <w:t>BMD × BMD</w:t>
            </w:r>
          </w:p>
        </w:tc>
        <w:tc>
          <w:tcPr>
            <w:tcW w:type="dxa" w:w="1872"/>
          </w:tcPr>
          <w:p>
            <w:r>
              <w:rPr>
                <w:sz w:val="17"/>
              </w:rPr>
            </w:r>
            <w:r>
              <w:rPr>
                <w:sz w:val="17"/>
              </w:rPr>
              <w:t>45</w:t>
            </w:r>
          </w:p>
        </w:tc>
        <w:tc>
          <w:tcPr>
            <w:tcW w:type="dxa" w:w="1872"/>
          </w:tcPr>
          <w:p>
            <w:r>
              <w:rPr>
                <w:sz w:val="17"/>
              </w:rPr>
            </w:r>
            <w:r>
              <w:rPr>
                <w:sz w:val="17"/>
              </w:rPr>
              <w:t>+0.689 to +0.960</w:t>
            </w:r>
          </w:p>
        </w:tc>
        <w:tc>
          <w:tcPr>
            <w:tcW w:type="dxa" w:w="1872"/>
          </w:tcPr>
          <w:p>
            <w:r>
              <w:rPr>
                <w:sz w:val="17"/>
              </w:rPr>
            </w:r>
            <w:r>
              <w:rPr>
                <w:sz w:val="17"/>
              </w:rPr>
              <w:t>+0.812</w:t>
            </w:r>
          </w:p>
        </w:tc>
        <w:tc>
          <w:tcPr>
            <w:tcW w:type="dxa" w:w="1872"/>
          </w:tcPr>
          <w:p>
            <w:r>
              <w:rPr>
                <w:sz w:val="17"/>
              </w:rPr>
            </w:r>
            <w:r>
              <w:rPr>
                <w:sz w:val="17"/>
              </w:rPr>
              <w:t>45/45</w:t>
            </w:r>
          </w:p>
        </w:tc>
      </w:tr>
      <w:tr>
        <w:tc>
          <w:tcPr>
            <w:tcW w:type="dxa" w:w="1872"/>
          </w:tcPr>
          <w:p>
            <w:r>
              <w:rPr>
                <w:sz w:val="17"/>
              </w:rPr>
            </w:r>
            <w:r>
              <w:rPr>
                <w:sz w:val="17"/>
              </w:rPr>
              <w:t>OA × Fracture</w:t>
            </w:r>
          </w:p>
        </w:tc>
        <w:tc>
          <w:tcPr>
            <w:tcW w:type="dxa" w:w="1872"/>
          </w:tcPr>
          <w:p>
            <w:r>
              <w:rPr>
                <w:sz w:val="17"/>
              </w:rPr>
            </w:r>
            <w:r>
              <w:rPr>
                <w:sz w:val="17"/>
              </w:rPr>
              <w:t>2</w:t>
            </w:r>
          </w:p>
        </w:tc>
        <w:tc>
          <w:tcPr>
            <w:tcW w:type="dxa" w:w="1872"/>
          </w:tcPr>
          <w:p>
            <w:r>
              <w:rPr>
                <w:sz w:val="17"/>
              </w:rPr>
            </w:r>
            <w:r>
              <w:rPr>
                <w:sz w:val="17"/>
              </w:rPr>
              <w:t>+0.148 to +0.211</w:t>
            </w:r>
          </w:p>
        </w:tc>
        <w:tc>
          <w:tcPr>
            <w:tcW w:type="dxa" w:w="1872"/>
          </w:tcPr>
          <w:p>
            <w:r>
              <w:rPr>
                <w:sz w:val="17"/>
              </w:rPr>
            </w:r>
            <w:r>
              <w:rPr>
                <w:sz w:val="17"/>
              </w:rPr>
              <w:t>+0.180</w:t>
            </w:r>
          </w:p>
        </w:tc>
        <w:tc>
          <w:tcPr>
            <w:tcW w:type="dxa" w:w="1872"/>
          </w:tcPr>
          <w:p>
            <w:r>
              <w:rPr>
                <w:sz w:val="17"/>
              </w:rPr>
            </w:r>
            <w:r>
              <w:rPr>
                <w:sz w:val="17"/>
              </w:rPr>
              <w:t>0/2</w:t>
            </w:r>
          </w:p>
        </w:tc>
      </w:tr>
    </w:tbl>
    <w:p/>
    <w:p>
      <w:pPr>
        <w:pStyle w:val="Heading1"/>
      </w:pPr>
      <w:r>
        <w:t>Table 3. Two-sample Mendelian randomisation estimates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864"/>
            <w:shd w:val="clear" w:color="auto" w:fill="D9E2F3"/>
          </w:tcPr>
          <w:p>
            <w:r>
              <w:rPr>
                <w:b/>
                <w:sz w:val="17"/>
              </w:rPr>
            </w:r>
            <w:r>
              <w:rPr>
                <w:b/>
                <w:sz w:val="17"/>
              </w:rPr>
              <w:t>Exposure → Outcome</w:t>
            </w:r>
          </w:p>
        </w:tc>
        <w:tc>
          <w:tcPr>
            <w:tcW w:type="dxa" w:w="864"/>
            <w:shd w:val="clear" w:color="auto" w:fill="D9E2F3"/>
          </w:tcPr>
          <w:p>
            <w:r>
              <w:rPr>
                <w:b/>
                <w:sz w:val="17"/>
              </w:rPr>
            </w:r>
            <w:r>
              <w:rPr>
                <w:b/>
                <w:sz w:val="17"/>
              </w:rPr>
              <w:t>n_snp</w:t>
            </w:r>
          </w:p>
        </w:tc>
        <w:tc>
          <w:tcPr>
            <w:tcW w:type="dxa" w:w="864"/>
            <w:shd w:val="clear" w:color="auto" w:fill="D9E2F3"/>
          </w:tcPr>
          <w:p>
            <w:r>
              <w:rPr>
                <w:b/>
                <w:sz w:val="17"/>
              </w:rPr>
            </w:r>
            <w:r>
              <w:rPr>
                <w:b/>
                <w:sz w:val="17"/>
              </w:rPr>
              <w:t>IVW β (fixed)</w:t>
            </w:r>
          </w:p>
        </w:tc>
        <w:tc>
          <w:tcPr>
            <w:tcW w:type="dxa" w:w="864"/>
            <w:shd w:val="clear" w:color="auto" w:fill="D9E2F3"/>
          </w:tcPr>
          <w:p>
            <w:r>
              <w:rPr>
                <w:b/>
                <w:sz w:val="17"/>
              </w:rPr>
            </w:r>
            <w:r>
              <w:rPr>
                <w:b/>
                <w:sz w:val="17"/>
              </w:rPr>
              <w:t>SE</w:t>
            </w:r>
          </w:p>
        </w:tc>
        <w:tc>
          <w:tcPr>
            <w:tcW w:type="dxa" w:w="864"/>
            <w:shd w:val="clear" w:color="auto" w:fill="D9E2F3"/>
          </w:tcPr>
          <w:p>
            <w:r>
              <w:rPr>
                <w:b/>
                <w:sz w:val="17"/>
              </w:rPr>
            </w:r>
            <w:r>
              <w:rPr>
                <w:b/>
                <w:sz w:val="17"/>
              </w:rPr>
              <w:t>p</w:t>
            </w:r>
          </w:p>
        </w:tc>
        <w:tc>
          <w:tcPr>
            <w:tcW w:type="dxa" w:w="864"/>
            <w:shd w:val="clear" w:color="auto" w:fill="D9E2F3"/>
          </w:tcPr>
          <w:p>
            <w:r>
              <w:rPr>
                <w:b/>
                <w:sz w:val="17"/>
              </w:rPr>
            </w:r>
            <w:r>
              <w:rPr>
                <w:b/>
                <w:sz w:val="17"/>
              </w:rPr>
              <w:t>IVW p (random)</w:t>
            </w:r>
          </w:p>
        </w:tc>
        <w:tc>
          <w:tcPr>
            <w:tcW w:type="dxa" w:w="864"/>
            <w:shd w:val="clear" w:color="auto" w:fill="D9E2F3"/>
          </w:tcPr>
          <w:p>
            <w:r>
              <w:rPr>
                <w:b/>
                <w:sz w:val="17"/>
              </w:rPr>
            </w:r>
            <w:r>
              <w:rPr>
                <w:b/>
                <w:sz w:val="17"/>
              </w:rPr>
              <w:t>Egger β</w:t>
            </w:r>
          </w:p>
        </w:tc>
        <w:tc>
          <w:tcPr>
            <w:tcW w:type="dxa" w:w="864"/>
            <w:shd w:val="clear" w:color="auto" w:fill="D9E2F3"/>
          </w:tcPr>
          <w:p>
            <w:r>
              <w:rPr>
                <w:b/>
                <w:sz w:val="17"/>
              </w:rPr>
            </w:r>
            <w:r>
              <w:rPr>
                <w:b/>
                <w:sz w:val="17"/>
              </w:rPr>
              <w:t>Egger intercept p</w:t>
            </w:r>
          </w:p>
        </w:tc>
        <w:tc>
          <w:tcPr>
            <w:tcW w:type="dxa" w:w="864"/>
            <w:shd w:val="clear" w:color="auto" w:fill="D9E2F3"/>
          </w:tcPr>
          <w:p>
            <w:r>
              <w:rPr>
                <w:b/>
                <w:sz w:val="17"/>
              </w:rPr>
            </w:r>
            <w:r>
              <w:rPr>
                <w:b/>
                <w:sz w:val="17"/>
              </w:rPr>
              <w:t>Weighted median</w:t>
            </w:r>
          </w:p>
        </w:tc>
        <w:tc>
          <w:tcPr>
            <w:tcW w:type="dxa" w:w="864"/>
            <w:shd w:val="clear" w:color="auto" w:fill="D9E2F3"/>
          </w:tcPr>
          <w:p>
            <w:r>
              <w:rPr>
                <w:b/>
                <w:sz w:val="17"/>
              </w:rPr>
            </w:r>
            <w:r>
              <w:rPr>
                <w:b/>
                <w:sz w:val="17"/>
              </w:rPr>
              <w:t>I²</w:t>
            </w:r>
          </w:p>
        </w:tc>
        <w:tc>
          <w:tcPr>
            <w:tcW w:type="dxa" w:w="864"/>
            <w:shd w:val="clear" w:color="auto" w:fill="D9E2F3"/>
          </w:tcPr>
          <w:p>
            <w:r>
              <w:rPr>
                <w:b/>
                <w:sz w:val="17"/>
              </w:rPr>
            </w:r>
            <w:r>
              <w:rPr>
                <w:b/>
                <w:sz w:val="17"/>
              </w:rPr>
              <w:t>LOO sign flips</w:t>
            </w:r>
          </w:p>
        </w:tc>
      </w:tr>
      <w:tr>
        <w:tc>
          <w:tcPr>
            <w:tcW w:type="dxa" w:w="864"/>
          </w:tcPr>
          <w:p>
            <w:r>
              <w:rPr>
                <w:sz w:val="17"/>
              </w:rPr>
            </w:r>
            <w:r>
              <w:rPr>
                <w:b/>
                <w:sz w:val="17"/>
              </w:rPr>
              <w:t>BMD total → fracture</w:t>
            </w:r>
            <w:r>
              <w:rPr>
                <w:sz w:val="17"/>
              </w:rPr>
              <w:t xml:space="preserve"> (positive control)</w:t>
            </w:r>
          </w:p>
        </w:tc>
        <w:tc>
          <w:tcPr>
            <w:tcW w:type="dxa" w:w="864"/>
          </w:tcPr>
          <w:p>
            <w:r>
              <w:rPr>
                <w:sz w:val="17"/>
              </w:rPr>
            </w:r>
            <w:r>
              <w:rPr>
                <w:sz w:val="17"/>
              </w:rPr>
              <w:t>31</w:t>
            </w:r>
          </w:p>
        </w:tc>
        <w:tc>
          <w:tcPr>
            <w:tcW w:type="dxa" w:w="864"/>
          </w:tcPr>
          <w:p>
            <w:r>
              <w:rPr>
                <w:sz w:val="17"/>
              </w:rPr>
            </w:r>
            <w:r>
              <w:rPr>
                <w:sz w:val="17"/>
              </w:rPr>
              <w:t>−0.337</w:t>
            </w:r>
          </w:p>
        </w:tc>
        <w:tc>
          <w:tcPr>
            <w:tcW w:type="dxa" w:w="864"/>
          </w:tcPr>
          <w:p>
            <w:r>
              <w:rPr>
                <w:sz w:val="17"/>
              </w:rPr>
            </w:r>
            <w:r>
              <w:rPr>
                <w:sz w:val="17"/>
              </w:rPr>
              <w:t>0.022</w:t>
            </w:r>
          </w:p>
        </w:tc>
        <w:tc>
          <w:tcPr>
            <w:tcW w:type="dxa" w:w="864"/>
          </w:tcPr>
          <w:p>
            <w:r>
              <w:rPr>
                <w:sz w:val="17"/>
              </w:rPr>
            </w:r>
            <w:r>
              <w:rPr>
                <w:sz w:val="17"/>
              </w:rPr>
              <w:t>3.7×10⁻⁵¹</w:t>
            </w:r>
          </w:p>
        </w:tc>
        <w:tc>
          <w:tcPr>
            <w:tcW w:type="dxa" w:w="864"/>
          </w:tcPr>
          <w:p>
            <w:r>
              <w:rPr>
                <w:sz w:val="17"/>
              </w:rPr>
            </w:r>
            <w:r>
              <w:rPr>
                <w:sz w:val="17"/>
              </w:rPr>
              <w:t>2.4×10⁻¹²</w:t>
            </w:r>
          </w:p>
        </w:tc>
        <w:tc>
          <w:tcPr>
            <w:tcW w:type="dxa" w:w="864"/>
          </w:tcPr>
          <w:p>
            <w:r>
              <w:rPr>
                <w:sz w:val="17"/>
              </w:rPr>
            </w:r>
            <w:r>
              <w:rPr>
                <w:sz w:val="17"/>
              </w:rPr>
              <w:t>−0.337</w:t>
            </w:r>
          </w:p>
        </w:tc>
        <w:tc>
          <w:tcPr>
            <w:tcW w:type="dxa" w:w="864"/>
          </w:tcPr>
          <w:p>
            <w:r>
              <w:rPr>
                <w:sz w:val="17"/>
              </w:rPr>
            </w:r>
            <w:r>
              <w:rPr>
                <w:sz w:val="17"/>
              </w:rPr>
              <w:t>0.558</w:t>
            </w:r>
          </w:p>
        </w:tc>
        <w:tc>
          <w:tcPr>
            <w:tcW w:type="dxa" w:w="864"/>
          </w:tcPr>
          <w:p>
            <w:r>
              <w:rPr>
                <w:sz w:val="17"/>
              </w:rPr>
            </w:r>
            <w:r>
              <w:rPr>
                <w:sz w:val="17"/>
              </w:rPr>
              <w:t>−0.393</w:t>
            </w:r>
          </w:p>
        </w:tc>
        <w:tc>
          <w:tcPr>
            <w:tcW w:type="dxa" w:w="864"/>
          </w:tcPr>
          <w:p>
            <w:r>
              <w:rPr>
                <w:sz w:val="17"/>
              </w:rPr>
            </w:r>
            <w:r>
              <w:rPr>
                <w:sz w:val="17"/>
              </w:rPr>
              <w:t>78%</w:t>
            </w:r>
          </w:p>
        </w:tc>
        <w:tc>
          <w:tcPr>
            <w:tcW w:type="dxa" w:w="864"/>
          </w:tcPr>
          <w:p>
            <w:r>
              <w:rPr>
                <w:sz w:val="17"/>
              </w:rPr>
            </w:r>
            <w:r>
              <w:rPr>
                <w:sz w:val="17"/>
              </w:rPr>
              <w:t>0</w:t>
            </w:r>
          </w:p>
        </w:tc>
      </w:tr>
      <w:tr>
        <w:tc>
          <w:tcPr>
            <w:tcW w:type="dxa" w:w="864"/>
          </w:tcPr>
          <w:p>
            <w:r>
              <w:rPr>
                <w:sz w:val="17"/>
              </w:rPr>
            </w:r>
            <w:r>
              <w:rPr>
                <w:sz w:val="17"/>
              </w:rPr>
              <w:t>BMD femoral neck → fracture</w:t>
            </w:r>
          </w:p>
        </w:tc>
        <w:tc>
          <w:tcPr>
            <w:tcW w:type="dxa" w:w="864"/>
          </w:tcPr>
          <w:p>
            <w:r>
              <w:rPr>
                <w:sz w:val="17"/>
              </w:rPr>
            </w:r>
            <w:r>
              <w:rPr>
                <w:sz w:val="17"/>
              </w:rPr>
              <w:t>25</w:t>
            </w:r>
          </w:p>
        </w:tc>
        <w:tc>
          <w:tcPr>
            <w:tcW w:type="dxa" w:w="864"/>
          </w:tcPr>
          <w:p>
            <w:r>
              <w:rPr>
                <w:sz w:val="17"/>
              </w:rPr>
            </w:r>
            <w:r>
              <w:rPr>
                <w:sz w:val="17"/>
              </w:rPr>
              <w:t>−0.351</w:t>
            </w:r>
          </w:p>
        </w:tc>
        <w:tc>
          <w:tcPr>
            <w:tcW w:type="dxa" w:w="864"/>
          </w:tcPr>
          <w:p>
            <w:r>
              <w:rPr>
                <w:sz w:val="17"/>
              </w:rPr>
            </w:r>
            <w:r>
              <w:rPr>
                <w:sz w:val="17"/>
              </w:rPr>
              <w:t>0.030</w:t>
            </w:r>
          </w:p>
        </w:tc>
        <w:tc>
          <w:tcPr>
            <w:tcW w:type="dxa" w:w="864"/>
          </w:tcPr>
          <w:p>
            <w:r>
              <w:rPr>
                <w:sz w:val="17"/>
              </w:rPr>
            </w:r>
            <w:r>
              <w:rPr>
                <w:sz w:val="17"/>
              </w:rPr>
              <w:t>7.7×10⁻³¹</w:t>
            </w:r>
          </w:p>
        </w:tc>
        <w:tc>
          <w:tcPr>
            <w:tcW w:type="dxa" w:w="864"/>
          </w:tcPr>
          <w:p>
            <w:r>
              <w:rPr>
                <w:sz w:val="17"/>
              </w:rPr>
            </w:r>
            <w:r>
              <w:rPr>
                <w:sz w:val="17"/>
              </w:rPr>
              <w:t>6.2×10⁻⁷</w:t>
            </w:r>
          </w:p>
        </w:tc>
        <w:tc>
          <w:tcPr>
            <w:tcW w:type="dxa" w:w="864"/>
          </w:tcPr>
          <w:p>
            <w:r>
              <w:rPr>
                <w:sz w:val="17"/>
              </w:rPr>
            </w:r>
            <w:r>
              <w:rPr>
                <w:sz w:val="17"/>
              </w:rPr>
              <w:t>−0.351</w:t>
            </w:r>
          </w:p>
        </w:tc>
        <w:tc>
          <w:tcPr>
            <w:tcW w:type="dxa" w:w="864"/>
          </w:tcPr>
          <w:p>
            <w:r>
              <w:rPr>
                <w:sz w:val="17"/>
              </w:rPr>
            </w:r>
            <w:r>
              <w:rPr>
                <w:sz w:val="17"/>
              </w:rPr>
              <w:t>0.010</w:t>
            </w:r>
          </w:p>
        </w:tc>
        <w:tc>
          <w:tcPr>
            <w:tcW w:type="dxa" w:w="864"/>
          </w:tcPr>
          <w:p>
            <w:r>
              <w:rPr>
                <w:sz w:val="17"/>
              </w:rPr>
            </w:r>
            <w:r>
              <w:rPr>
                <w:sz w:val="17"/>
              </w:rPr>
              <w:t>−0.373</w:t>
            </w:r>
          </w:p>
        </w:tc>
        <w:tc>
          <w:tcPr>
            <w:tcW w:type="dxa" w:w="864"/>
          </w:tcPr>
          <w:p>
            <w:r>
              <w:rPr>
                <w:sz w:val="17"/>
              </w:rPr>
            </w:r>
            <w:r>
              <w:rPr>
                <w:sz w:val="17"/>
              </w:rPr>
              <w:t>83%</w:t>
            </w:r>
          </w:p>
        </w:tc>
        <w:tc>
          <w:tcPr>
            <w:tcW w:type="dxa" w:w="864"/>
          </w:tcPr>
          <w:p>
            <w:r>
              <w:rPr>
                <w:sz w:val="17"/>
              </w:rPr>
            </w:r>
            <w:r>
              <w:rPr>
                <w:sz w:val="17"/>
              </w:rPr>
              <w:t>0</w:t>
            </w:r>
          </w:p>
        </w:tc>
      </w:tr>
      <w:tr>
        <w:tc>
          <w:tcPr>
            <w:tcW w:type="dxa" w:w="864"/>
          </w:tcPr>
          <w:p>
            <w:r>
              <w:rPr>
                <w:sz w:val="17"/>
              </w:rPr>
            </w:r>
            <w:r>
              <w:rPr>
                <w:b/>
                <w:sz w:val="17"/>
              </w:rPr>
              <w:t>BMD total → OA knee</w:t>
            </w:r>
          </w:p>
        </w:tc>
        <w:tc>
          <w:tcPr>
            <w:tcW w:type="dxa" w:w="864"/>
          </w:tcPr>
          <w:p>
            <w:r>
              <w:rPr>
                <w:sz w:val="17"/>
              </w:rPr>
            </w:r>
            <w:r>
              <w:rPr>
                <w:sz w:val="17"/>
              </w:rPr>
              <w:t>31</w:t>
            </w:r>
          </w:p>
        </w:tc>
        <w:tc>
          <w:tcPr>
            <w:tcW w:type="dxa" w:w="864"/>
          </w:tcPr>
          <w:p>
            <w:r>
              <w:rPr>
                <w:sz w:val="17"/>
              </w:rPr>
            </w:r>
            <w:r>
              <w:rPr>
                <w:sz w:val="17"/>
              </w:rPr>
              <w:t>+0.023</w:t>
            </w:r>
          </w:p>
        </w:tc>
        <w:tc>
          <w:tcPr>
            <w:tcW w:type="dxa" w:w="864"/>
          </w:tcPr>
          <w:p>
            <w:r>
              <w:rPr>
                <w:sz w:val="17"/>
              </w:rPr>
            </w:r>
            <w:r>
              <w:rPr>
                <w:sz w:val="17"/>
              </w:rPr>
              <w:t>0.004</w:t>
            </w:r>
          </w:p>
        </w:tc>
        <w:tc>
          <w:tcPr>
            <w:tcW w:type="dxa" w:w="864"/>
          </w:tcPr>
          <w:p>
            <w:r>
              <w:rPr>
                <w:sz w:val="17"/>
              </w:rPr>
            </w:r>
            <w:r>
              <w:rPr>
                <w:sz w:val="17"/>
              </w:rPr>
              <w:t>3.9×10⁻¹⁰</w:t>
            </w:r>
          </w:p>
        </w:tc>
        <w:tc>
          <w:tcPr>
            <w:tcW w:type="dxa" w:w="864"/>
          </w:tcPr>
          <w:p>
            <w:r>
              <w:rPr>
                <w:sz w:val="17"/>
              </w:rPr>
            </w:r>
            <w:r>
              <w:rPr>
                <w:sz w:val="17"/>
              </w:rPr>
              <w:t>6.2×10⁻³</w:t>
            </w:r>
          </w:p>
        </w:tc>
        <w:tc>
          <w:tcPr>
            <w:tcW w:type="dxa" w:w="864"/>
          </w:tcPr>
          <w:p>
            <w:r>
              <w:rPr>
                <w:sz w:val="17"/>
              </w:rPr>
            </w:r>
            <w:r>
              <w:rPr>
                <w:sz w:val="17"/>
              </w:rPr>
              <w:t>+0.023</w:t>
            </w:r>
          </w:p>
        </w:tc>
        <w:tc>
          <w:tcPr>
            <w:tcW w:type="dxa" w:w="864"/>
          </w:tcPr>
          <w:p>
            <w:r>
              <w:rPr>
                <w:sz w:val="17"/>
              </w:rPr>
            </w:r>
            <w:r>
              <w:rPr>
                <w:sz w:val="17"/>
              </w:rPr>
              <w:t>0.810</w:t>
            </w:r>
          </w:p>
        </w:tc>
        <w:tc>
          <w:tcPr>
            <w:tcW w:type="dxa" w:w="864"/>
          </w:tcPr>
          <w:p>
            <w:r>
              <w:rPr>
                <w:sz w:val="17"/>
              </w:rPr>
            </w:r>
            <w:r>
              <w:rPr>
                <w:sz w:val="17"/>
              </w:rPr>
              <w:t>+0.019</w:t>
            </w:r>
          </w:p>
        </w:tc>
        <w:tc>
          <w:tcPr>
            <w:tcW w:type="dxa" w:w="864"/>
          </w:tcPr>
          <w:p>
            <w:r>
              <w:rPr>
                <w:sz w:val="17"/>
              </w:rPr>
            </w:r>
            <w:r>
              <w:rPr>
                <w:sz w:val="17"/>
              </w:rPr>
              <w:t>81%</w:t>
            </w:r>
          </w:p>
        </w:tc>
        <w:tc>
          <w:tcPr>
            <w:tcW w:type="dxa" w:w="864"/>
          </w:tcPr>
          <w:p>
            <w:r>
              <w:rPr>
                <w:sz w:val="17"/>
              </w:rPr>
            </w:r>
            <w:r>
              <w:rPr>
                <w:sz w:val="17"/>
              </w:rPr>
              <w:t>0</w:t>
            </w:r>
          </w:p>
        </w:tc>
      </w:tr>
      <w:tr>
        <w:tc>
          <w:tcPr>
            <w:tcW w:type="dxa" w:w="864"/>
          </w:tcPr>
          <w:p>
            <w:r>
              <w:rPr>
                <w:sz w:val="17"/>
              </w:rPr>
            </w:r>
            <w:r>
              <w:rPr>
                <w:sz w:val="17"/>
              </w:rPr>
              <w:t>Lumbar spine → OA knee</w:t>
            </w:r>
          </w:p>
        </w:tc>
        <w:tc>
          <w:tcPr>
            <w:tcW w:type="dxa" w:w="864"/>
          </w:tcPr>
          <w:p>
            <w:r>
              <w:rPr>
                <w:sz w:val="17"/>
              </w:rPr>
            </w:r>
            <w:r>
              <w:rPr>
                <w:sz w:val="17"/>
              </w:rPr>
              <w:t>21</w:t>
            </w:r>
          </w:p>
        </w:tc>
        <w:tc>
          <w:tcPr>
            <w:tcW w:type="dxa" w:w="864"/>
          </w:tcPr>
          <w:p>
            <w:r>
              <w:rPr>
                <w:sz w:val="17"/>
              </w:rPr>
            </w:r>
            <w:r>
              <w:rPr>
                <w:sz w:val="17"/>
              </w:rPr>
              <w:t>+0.028</w:t>
            </w:r>
          </w:p>
        </w:tc>
        <w:tc>
          <w:tcPr>
            <w:tcW w:type="dxa" w:w="864"/>
          </w:tcPr>
          <w:p>
            <w:r>
              <w:rPr>
                <w:sz w:val="17"/>
              </w:rPr>
            </w:r>
            <w:r>
              <w:rPr>
                <w:sz w:val="17"/>
              </w:rPr>
              <w:t>0.005</w:t>
            </w:r>
          </w:p>
        </w:tc>
        <w:tc>
          <w:tcPr>
            <w:tcW w:type="dxa" w:w="864"/>
          </w:tcPr>
          <w:p>
            <w:r>
              <w:rPr>
                <w:sz w:val="17"/>
              </w:rPr>
            </w:r>
            <w:r>
              <w:rPr>
                <w:sz w:val="17"/>
              </w:rPr>
              <w:t>7.7×10⁻⁹</w:t>
            </w:r>
          </w:p>
        </w:tc>
        <w:tc>
          <w:tcPr>
            <w:tcW w:type="dxa" w:w="864"/>
          </w:tcPr>
          <w:p>
            <w:r>
              <w:rPr>
                <w:sz w:val="17"/>
              </w:rPr>
            </w:r>
            <w:r>
              <w:rPr>
                <w:sz w:val="17"/>
              </w:rPr>
              <w:t>1.8×10⁻²</w:t>
            </w:r>
          </w:p>
        </w:tc>
        <w:tc>
          <w:tcPr>
            <w:tcW w:type="dxa" w:w="864"/>
          </w:tcPr>
          <w:p>
            <w:r>
              <w:rPr>
                <w:sz w:val="17"/>
              </w:rPr>
            </w:r>
            <w:r>
              <w:rPr>
                <w:sz w:val="17"/>
              </w:rPr>
              <w:t>+0.026</w:t>
            </w:r>
          </w:p>
        </w:tc>
        <w:tc>
          <w:tcPr>
            <w:tcW w:type="dxa" w:w="864"/>
          </w:tcPr>
          <w:p>
            <w:r>
              <w:rPr>
                <w:sz w:val="17"/>
              </w:rPr>
            </w:r>
            <w:r>
              <w:rPr>
                <w:sz w:val="17"/>
              </w:rPr>
              <w:t>0.240</w:t>
            </w:r>
          </w:p>
        </w:tc>
        <w:tc>
          <w:tcPr>
            <w:tcW w:type="dxa" w:w="864"/>
          </w:tcPr>
          <w:p>
            <w:r>
              <w:rPr>
                <w:sz w:val="17"/>
              </w:rPr>
            </w:r>
            <w:r>
              <w:rPr>
                <w:sz w:val="17"/>
              </w:rPr>
              <w:t>+0.034</w:t>
            </w:r>
          </w:p>
        </w:tc>
        <w:tc>
          <w:tcPr>
            <w:tcW w:type="dxa" w:w="864"/>
          </w:tcPr>
          <w:p>
            <w:r>
              <w:rPr>
                <w:sz w:val="17"/>
              </w:rPr>
            </w:r>
            <w:r>
              <w:rPr>
                <w:sz w:val="17"/>
              </w:rPr>
              <w:t>82%</w:t>
            </w:r>
          </w:p>
        </w:tc>
        <w:tc>
          <w:tcPr>
            <w:tcW w:type="dxa" w:w="864"/>
          </w:tcPr>
          <w:p>
            <w:r>
              <w:rPr>
                <w:sz w:val="17"/>
              </w:rPr>
            </w:r>
            <w:r>
              <w:rPr>
                <w:sz w:val="17"/>
              </w:rPr>
              <w:t>0</w:t>
            </w:r>
          </w:p>
        </w:tc>
      </w:tr>
      <w:tr>
        <w:tc>
          <w:tcPr>
            <w:tcW w:type="dxa" w:w="864"/>
          </w:tcPr>
          <w:p>
            <w:r>
              <w:rPr>
                <w:sz w:val="17"/>
              </w:rPr>
            </w:r>
            <w:r>
              <w:rPr>
                <w:sz w:val="17"/>
              </w:rPr>
              <w:t>Arms → OA knee</w:t>
            </w:r>
          </w:p>
        </w:tc>
        <w:tc>
          <w:tcPr>
            <w:tcW w:type="dxa" w:w="864"/>
          </w:tcPr>
          <w:p>
            <w:r>
              <w:rPr>
                <w:sz w:val="17"/>
              </w:rPr>
            </w:r>
            <w:r>
              <w:rPr>
                <w:sz w:val="17"/>
              </w:rPr>
              <w:t>16</w:t>
            </w:r>
          </w:p>
        </w:tc>
        <w:tc>
          <w:tcPr>
            <w:tcW w:type="dxa" w:w="864"/>
          </w:tcPr>
          <w:p>
            <w:r>
              <w:rPr>
                <w:sz w:val="17"/>
              </w:rPr>
            </w:r>
            <w:r>
              <w:rPr>
                <w:sz w:val="17"/>
              </w:rPr>
              <w:t>+0.022</w:t>
            </w:r>
          </w:p>
        </w:tc>
        <w:tc>
          <w:tcPr>
            <w:tcW w:type="dxa" w:w="864"/>
          </w:tcPr>
          <w:p>
            <w:r>
              <w:rPr>
                <w:sz w:val="17"/>
              </w:rPr>
            </w:r>
            <w:r>
              <w:rPr>
                <w:sz w:val="17"/>
              </w:rPr>
              <w:t>0.005</w:t>
            </w:r>
          </w:p>
        </w:tc>
        <w:tc>
          <w:tcPr>
            <w:tcW w:type="dxa" w:w="864"/>
          </w:tcPr>
          <w:p>
            <w:r>
              <w:rPr>
                <w:sz w:val="17"/>
              </w:rPr>
            </w:r>
            <w:r>
              <w:rPr>
                <w:sz w:val="17"/>
              </w:rPr>
              <w:t>1.7×10⁻⁶</w:t>
            </w:r>
          </w:p>
        </w:tc>
        <w:tc>
          <w:tcPr>
            <w:tcW w:type="dxa" w:w="864"/>
          </w:tcPr>
          <w:p>
            <w:r>
              <w:rPr>
                <w:sz w:val="17"/>
              </w:rPr>
            </w:r>
            <w:r>
              <w:rPr>
                <w:sz w:val="17"/>
              </w:rPr>
              <w:t>5.5×10⁻²</w:t>
            </w:r>
          </w:p>
        </w:tc>
        <w:tc>
          <w:tcPr>
            <w:tcW w:type="dxa" w:w="864"/>
          </w:tcPr>
          <w:p>
            <w:r>
              <w:rPr>
                <w:sz w:val="17"/>
              </w:rPr>
            </w:r>
            <w:r>
              <w:rPr>
                <w:sz w:val="17"/>
              </w:rPr>
              <w:t>+0.022</w:t>
            </w:r>
          </w:p>
        </w:tc>
        <w:tc>
          <w:tcPr>
            <w:tcW w:type="dxa" w:w="864"/>
          </w:tcPr>
          <w:p>
            <w:r>
              <w:rPr>
                <w:sz w:val="17"/>
              </w:rPr>
            </w:r>
            <w:r>
              <w:rPr>
                <w:sz w:val="17"/>
              </w:rPr>
              <w:t>0.973</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Legs → OA knee</w:t>
            </w:r>
          </w:p>
        </w:tc>
        <w:tc>
          <w:tcPr>
            <w:tcW w:type="dxa" w:w="864"/>
          </w:tcPr>
          <w:p>
            <w:r>
              <w:rPr>
                <w:sz w:val="17"/>
              </w:rPr>
            </w:r>
            <w:r>
              <w:rPr>
                <w:sz w:val="17"/>
              </w:rPr>
              <w:t>24</w:t>
            </w:r>
          </w:p>
        </w:tc>
        <w:tc>
          <w:tcPr>
            <w:tcW w:type="dxa" w:w="864"/>
          </w:tcPr>
          <w:p>
            <w:r>
              <w:rPr>
                <w:sz w:val="17"/>
              </w:rPr>
            </w:r>
            <w:r>
              <w:rPr>
                <w:sz w:val="17"/>
              </w:rPr>
              <w:t>+0.018</w:t>
            </w:r>
          </w:p>
        </w:tc>
        <w:tc>
          <w:tcPr>
            <w:tcW w:type="dxa" w:w="864"/>
          </w:tcPr>
          <w:p>
            <w:r>
              <w:rPr>
                <w:sz w:val="17"/>
              </w:rPr>
            </w:r>
            <w:r>
              <w:rPr>
                <w:sz w:val="17"/>
              </w:rPr>
              <w:t>0.004</w:t>
            </w:r>
          </w:p>
        </w:tc>
        <w:tc>
          <w:tcPr>
            <w:tcW w:type="dxa" w:w="864"/>
          </w:tcPr>
          <w:p>
            <w:r>
              <w:rPr>
                <w:sz w:val="17"/>
              </w:rPr>
            </w:r>
            <w:r>
              <w:rPr>
                <w:sz w:val="17"/>
              </w:rPr>
              <w:t>2.3×10⁻⁵</w:t>
            </w:r>
          </w:p>
        </w:tc>
        <w:tc>
          <w:tcPr>
            <w:tcW w:type="dxa" w:w="864"/>
          </w:tcPr>
          <w:p>
            <w:r>
              <w:rPr>
                <w:sz w:val="17"/>
              </w:rPr>
            </w:r>
            <w:r>
              <w:rPr>
                <w:sz w:val="17"/>
              </w:rPr>
              <w:t>9.8×10⁻²</w:t>
            </w:r>
          </w:p>
        </w:tc>
        <w:tc>
          <w:tcPr>
            <w:tcW w:type="dxa" w:w="864"/>
          </w:tcPr>
          <w:p>
            <w:r>
              <w:rPr>
                <w:sz w:val="17"/>
              </w:rPr>
            </w:r>
            <w:r>
              <w:rPr>
                <w:sz w:val="17"/>
              </w:rPr>
              <w:t>+0.017</w:t>
            </w:r>
          </w:p>
        </w:tc>
        <w:tc>
          <w:tcPr>
            <w:tcW w:type="dxa" w:w="864"/>
          </w:tcPr>
          <w:p>
            <w:r>
              <w:rPr>
                <w:sz w:val="17"/>
              </w:rPr>
            </w:r>
            <w:r>
              <w:rPr>
                <w:sz w:val="17"/>
              </w:rPr>
              <w:t>0.815</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Femoral neck → OA knee</w:t>
            </w:r>
          </w:p>
        </w:tc>
        <w:tc>
          <w:tcPr>
            <w:tcW w:type="dxa" w:w="864"/>
          </w:tcPr>
          <w:p>
            <w:r>
              <w:rPr>
                <w:sz w:val="17"/>
              </w:rPr>
            </w:r>
            <w:r>
              <w:rPr>
                <w:sz w:val="17"/>
              </w:rPr>
              <w:t>25</w:t>
            </w:r>
          </w:p>
        </w:tc>
        <w:tc>
          <w:tcPr>
            <w:tcW w:type="dxa" w:w="864"/>
          </w:tcPr>
          <w:p>
            <w:r>
              <w:rPr>
                <w:sz w:val="17"/>
              </w:rPr>
            </w:r>
            <w:r>
              <w:rPr>
                <w:sz w:val="17"/>
              </w:rPr>
              <w:t>+0.017</w:t>
            </w:r>
          </w:p>
        </w:tc>
        <w:tc>
          <w:tcPr>
            <w:tcW w:type="dxa" w:w="864"/>
          </w:tcPr>
          <w:p>
            <w:r>
              <w:rPr>
                <w:sz w:val="17"/>
              </w:rPr>
            </w:r>
            <w:r>
              <w:rPr>
                <w:sz w:val="17"/>
              </w:rPr>
              <w:t>0.005</w:t>
            </w:r>
          </w:p>
        </w:tc>
        <w:tc>
          <w:tcPr>
            <w:tcW w:type="dxa" w:w="864"/>
          </w:tcPr>
          <w:p>
            <w:r>
              <w:rPr>
                <w:sz w:val="17"/>
              </w:rPr>
            </w:r>
            <w:r>
              <w:rPr>
                <w:sz w:val="17"/>
              </w:rPr>
              <w:t>6.4×10⁻⁴</w:t>
            </w:r>
          </w:p>
        </w:tc>
        <w:tc>
          <w:tcPr>
            <w:tcW w:type="dxa" w:w="864"/>
          </w:tcPr>
          <w:p>
            <w:r>
              <w:rPr>
                <w:sz w:val="17"/>
              </w:rPr>
            </w:r>
            <w:r>
              <w:rPr>
                <w:sz w:val="17"/>
              </w:rPr>
              <w:t>4.1×10⁻²</w:t>
            </w:r>
          </w:p>
        </w:tc>
        <w:tc>
          <w:tcPr>
            <w:tcW w:type="dxa" w:w="864"/>
          </w:tcPr>
          <w:p>
            <w:r>
              <w:rPr>
                <w:sz w:val="17"/>
              </w:rPr>
            </w:r>
            <w:r>
              <w:rPr>
                <w:sz w:val="17"/>
              </w:rPr>
              <w:t>+0.018</w:t>
            </w:r>
          </w:p>
        </w:tc>
        <w:tc>
          <w:tcPr>
            <w:tcW w:type="dxa" w:w="864"/>
          </w:tcPr>
          <w:p>
            <w:r>
              <w:rPr>
                <w:sz w:val="17"/>
              </w:rPr>
            </w:r>
            <w:r>
              <w:rPr>
                <w:sz w:val="17"/>
              </w:rPr>
              <w:t>0.907</w:t>
            </w:r>
          </w:p>
        </w:tc>
        <w:tc>
          <w:tcPr>
            <w:tcW w:type="dxa" w:w="864"/>
          </w:tcPr>
          <w:p>
            <w:r>
              <w:rPr>
                <w:sz w:val="17"/>
              </w:rPr>
            </w:r>
            <w:r>
              <w:rPr>
                <w:sz w:val="17"/>
              </w:rPr>
              <w:t>+0.015</w:t>
            </w:r>
          </w:p>
        </w:tc>
        <w:tc>
          <w:tcPr>
            <w:tcW w:type="dxa" w:w="864"/>
          </w:tcPr>
          <w:p>
            <w:r>
              <w:rPr>
                <w:sz w:val="17"/>
              </w:rPr>
            </w:r>
            <w:r>
              <w:rPr>
                <w:sz w:val="17"/>
              </w:rPr>
              <w:t>67%</w:t>
            </w:r>
          </w:p>
        </w:tc>
        <w:tc>
          <w:tcPr>
            <w:tcW w:type="dxa" w:w="864"/>
          </w:tcPr>
          <w:p>
            <w:r>
              <w:rPr>
                <w:sz w:val="17"/>
              </w:rPr>
            </w:r>
            <w:r>
              <w:rPr>
                <w:sz w:val="17"/>
              </w:rPr>
              <w:t>0</w:t>
            </w:r>
          </w:p>
        </w:tc>
      </w:tr>
      <w:tr>
        <w:tc>
          <w:tcPr>
            <w:tcW w:type="dxa" w:w="864"/>
          </w:tcPr>
          <w:p>
            <w:r>
              <w:rPr>
                <w:sz w:val="17"/>
              </w:rPr>
            </w:r>
            <w:r>
              <w:rPr>
                <w:sz w:val="17"/>
              </w:rPr>
              <w:t>OA knee → fracture</w:t>
            </w:r>
          </w:p>
        </w:tc>
        <w:tc>
          <w:tcPr>
            <w:tcW w:type="dxa" w:w="864"/>
          </w:tcPr>
          <w:p>
            <w:r>
              <w:rPr>
                <w:sz w:val="17"/>
              </w:rPr>
            </w:r>
            <w:r>
              <w:rPr>
                <w:sz w:val="17"/>
              </w:rPr>
              <w:t>69</w:t>
            </w:r>
          </w:p>
        </w:tc>
        <w:tc>
          <w:tcPr>
            <w:tcW w:type="dxa" w:w="864"/>
          </w:tcPr>
          <w:p>
            <w:r>
              <w:rPr>
                <w:sz w:val="17"/>
              </w:rPr>
            </w:r>
            <w:r>
              <w:rPr>
                <w:sz w:val="17"/>
              </w:rPr>
              <w:t>+0.092</w:t>
            </w:r>
          </w:p>
        </w:tc>
        <w:tc>
          <w:tcPr>
            <w:tcW w:type="dxa" w:w="864"/>
          </w:tcPr>
          <w:p>
            <w:r>
              <w:rPr>
                <w:sz w:val="17"/>
              </w:rPr>
            </w:r>
            <w:r>
              <w:rPr>
                <w:sz w:val="17"/>
              </w:rPr>
              <w:t>0.108</w:t>
            </w:r>
          </w:p>
        </w:tc>
        <w:tc>
          <w:tcPr>
            <w:tcW w:type="dxa" w:w="864"/>
          </w:tcPr>
          <w:p>
            <w:r>
              <w:rPr>
                <w:sz w:val="17"/>
              </w:rPr>
            </w:r>
            <w:r>
              <w:rPr>
                <w:sz w:val="17"/>
              </w:rPr>
              <w:t>0.395</w:t>
            </w:r>
          </w:p>
        </w:tc>
        <w:tc>
          <w:tcPr>
            <w:tcW w:type="dxa" w:w="864"/>
          </w:tcPr>
          <w:p>
            <w:r>
              <w:rPr>
                <w:sz w:val="17"/>
              </w:rPr>
            </w:r>
            <w:r>
              <w:rPr>
                <w:sz w:val="17"/>
              </w:rPr>
              <w:t>0.550</w:t>
            </w:r>
          </w:p>
        </w:tc>
        <w:tc>
          <w:tcPr>
            <w:tcW w:type="dxa" w:w="864"/>
          </w:tcPr>
          <w:p>
            <w:r>
              <w:rPr>
                <w:sz w:val="17"/>
              </w:rPr>
            </w:r>
            <w:r>
              <w:rPr>
                <w:sz w:val="17"/>
              </w:rPr>
              <w:t>+0.091</w:t>
            </w:r>
          </w:p>
        </w:tc>
        <w:tc>
          <w:tcPr>
            <w:tcW w:type="dxa" w:w="864"/>
          </w:tcPr>
          <w:p>
            <w:r>
              <w:rPr>
                <w:sz w:val="17"/>
              </w:rPr>
            </w:r>
            <w:r>
              <w:rPr>
                <w:sz w:val="17"/>
              </w:rPr>
              <w:t>0.456</w:t>
            </w:r>
          </w:p>
        </w:tc>
        <w:tc>
          <w:tcPr>
            <w:tcW w:type="dxa" w:w="864"/>
          </w:tcPr>
          <w:p>
            <w:r>
              <w:rPr>
                <w:sz w:val="17"/>
              </w:rPr>
            </w:r>
            <w:r>
              <w:rPr>
                <w:sz w:val="17"/>
              </w:rPr>
              <w:t>+0.063</w:t>
            </w:r>
          </w:p>
        </w:tc>
        <w:tc>
          <w:tcPr>
            <w:tcW w:type="dxa" w:w="864"/>
          </w:tcPr>
          <w:p>
            <w:r>
              <w:rPr>
                <w:sz w:val="17"/>
              </w:rPr>
            </w:r>
            <w:r>
              <w:rPr>
                <w:sz w:val="17"/>
              </w:rPr>
              <w:t>51%</w:t>
            </w:r>
          </w:p>
        </w:tc>
        <w:tc>
          <w:tcPr>
            <w:tcW w:type="dxa" w:w="864"/>
          </w:tcPr>
          <w:p>
            <w:r>
              <w:rPr>
                <w:sz w:val="17"/>
              </w:rPr>
            </w:r>
            <w:r>
              <w:rPr>
                <w:sz w:val="17"/>
              </w:rPr>
              <w:t>0</w:t>
            </w:r>
          </w:p>
        </w:tc>
      </w:tr>
      <w:tr>
        <w:tc>
          <w:tcPr>
            <w:tcW w:type="dxa" w:w="864"/>
          </w:tcPr>
          <w:p>
            <w:r>
              <w:rPr>
                <w:sz w:val="17"/>
              </w:rPr>
            </w:r>
            <w:r>
              <w:rPr>
                <w:sz w:val="17"/>
              </w:rPr>
              <w:t>OA knee → BMD total</w:t>
            </w:r>
          </w:p>
        </w:tc>
        <w:tc>
          <w:tcPr>
            <w:tcW w:type="dxa" w:w="864"/>
          </w:tcPr>
          <w:p>
            <w:r>
              <w:rPr>
                <w:sz w:val="17"/>
              </w:rPr>
            </w:r>
            <w:r>
              <w:rPr>
                <w:sz w:val="17"/>
              </w:rPr>
              <w:t>69</w:t>
            </w:r>
          </w:p>
        </w:tc>
        <w:tc>
          <w:tcPr>
            <w:tcW w:type="dxa" w:w="864"/>
          </w:tcPr>
          <w:p>
            <w:r>
              <w:rPr>
                <w:sz w:val="17"/>
              </w:rPr>
            </w:r>
            <w:r>
              <w:rPr>
                <w:sz w:val="17"/>
              </w:rPr>
              <w:t>+0.106</w:t>
            </w:r>
          </w:p>
        </w:tc>
        <w:tc>
          <w:tcPr>
            <w:tcW w:type="dxa" w:w="864"/>
          </w:tcPr>
          <w:p>
            <w:r>
              <w:rPr>
                <w:sz w:val="17"/>
              </w:rPr>
            </w:r>
            <w:r>
              <w:rPr>
                <w:sz w:val="17"/>
              </w:rPr>
              <w:t>0.108</w:t>
            </w:r>
          </w:p>
        </w:tc>
        <w:tc>
          <w:tcPr>
            <w:tcW w:type="dxa" w:w="864"/>
          </w:tcPr>
          <w:p>
            <w:r>
              <w:rPr>
                <w:sz w:val="17"/>
              </w:rPr>
            </w:r>
            <w:r>
              <w:rPr>
                <w:sz w:val="17"/>
              </w:rPr>
              <w:t>0.326</w:t>
            </w:r>
          </w:p>
        </w:tc>
        <w:tc>
          <w:tcPr>
            <w:tcW w:type="dxa" w:w="864"/>
          </w:tcPr>
          <w:p>
            <w:r>
              <w:rPr>
                <w:sz w:val="17"/>
              </w:rPr>
            </w:r>
            <w:r>
              <w:rPr>
                <w:sz w:val="17"/>
              </w:rPr>
              <w:t>0.499</w:t>
            </w:r>
          </w:p>
        </w:tc>
        <w:tc>
          <w:tcPr>
            <w:tcW w:type="dxa" w:w="864"/>
          </w:tcPr>
          <w:p>
            <w:r>
              <w:rPr>
                <w:sz w:val="17"/>
              </w:rPr>
            </w:r>
            <w:r>
              <w:rPr>
                <w:sz w:val="17"/>
              </w:rPr>
              <w:t>+0.183</w:t>
            </w:r>
          </w:p>
        </w:tc>
        <w:tc>
          <w:tcPr>
            <w:tcW w:type="dxa" w:w="864"/>
          </w:tcPr>
          <w:p>
            <w:r>
              <w:rPr>
                <w:sz w:val="17"/>
              </w:rPr>
            </w:r>
            <w:r>
              <w:rPr>
                <w:sz w:val="17"/>
              </w:rPr>
              <w:t>0.039</w:t>
            </w:r>
          </w:p>
        </w:tc>
        <w:tc>
          <w:tcPr>
            <w:tcW w:type="dxa" w:w="864"/>
          </w:tcPr>
          <w:p>
            <w:r>
              <w:rPr>
                <w:sz w:val="17"/>
              </w:rPr>
            </w:r>
            <w:r>
              <w:rPr>
                <w:sz w:val="17"/>
              </w:rPr>
              <w:t>+0.116</w:t>
            </w:r>
          </w:p>
        </w:tc>
        <w:tc>
          <w:tcPr>
            <w:tcW w:type="dxa" w:w="864"/>
          </w:tcPr>
          <w:p>
            <w:r>
              <w:rPr>
                <w:sz w:val="17"/>
              </w:rPr>
            </w:r>
            <w:r>
              <w:rPr>
                <w:sz w:val="17"/>
              </w:rPr>
              <w:t>53%</w:t>
            </w:r>
          </w:p>
        </w:tc>
        <w:tc>
          <w:tcPr>
            <w:tcW w:type="dxa" w:w="864"/>
          </w:tcPr>
          <w:p>
            <w:r>
              <w:rPr>
                <w:sz w:val="17"/>
              </w:rPr>
            </w:r>
            <w:r>
              <w:rPr>
                <w:sz w:val="17"/>
              </w:rPr>
              <w:t>0</w:t>
            </w:r>
          </w:p>
        </w:tc>
      </w:tr>
      <w:tr>
        <w:tc>
          <w:tcPr>
            <w:tcW w:type="dxa" w:w="864"/>
          </w:tcPr>
          <w:p>
            <w:r>
              <w:rPr>
                <w:sz w:val="17"/>
              </w:rPr>
            </w:r>
            <w:r>
              <w:rPr>
                <w:sz w:val="17"/>
              </w:rPr>
              <w:t>OA knee → BMD femoral neck</w:t>
            </w:r>
          </w:p>
        </w:tc>
        <w:tc>
          <w:tcPr>
            <w:tcW w:type="dxa" w:w="864"/>
          </w:tcPr>
          <w:p>
            <w:r>
              <w:rPr>
                <w:sz w:val="17"/>
              </w:rPr>
            </w:r>
            <w:r>
              <w:rPr>
                <w:sz w:val="17"/>
              </w:rPr>
              <w:t>69</w:t>
            </w:r>
          </w:p>
        </w:tc>
        <w:tc>
          <w:tcPr>
            <w:tcW w:type="dxa" w:w="864"/>
          </w:tcPr>
          <w:p>
            <w:r>
              <w:rPr>
                <w:sz w:val="17"/>
              </w:rPr>
            </w:r>
            <w:r>
              <w:rPr>
                <w:sz w:val="17"/>
              </w:rPr>
              <w:t>+0.142</w:t>
            </w:r>
          </w:p>
        </w:tc>
        <w:tc>
          <w:tcPr>
            <w:tcW w:type="dxa" w:w="864"/>
          </w:tcPr>
          <w:p>
            <w:r>
              <w:rPr>
                <w:sz w:val="17"/>
              </w:rPr>
            </w:r>
            <w:r>
              <w:rPr>
                <w:sz w:val="17"/>
              </w:rPr>
              <w:t>0.108</w:t>
            </w:r>
          </w:p>
        </w:tc>
        <w:tc>
          <w:tcPr>
            <w:tcW w:type="dxa" w:w="864"/>
          </w:tcPr>
          <w:p>
            <w:r>
              <w:rPr>
                <w:sz w:val="17"/>
              </w:rPr>
            </w:r>
            <w:r>
              <w:rPr>
                <w:sz w:val="17"/>
              </w:rPr>
              <w:t>0.190</w:t>
            </w:r>
          </w:p>
        </w:tc>
        <w:tc>
          <w:tcPr>
            <w:tcW w:type="dxa" w:w="864"/>
          </w:tcPr>
          <w:p>
            <w:r>
              <w:rPr>
                <w:sz w:val="17"/>
              </w:rPr>
            </w:r>
            <w:r>
              <w:rPr>
                <w:sz w:val="17"/>
              </w:rPr>
              <w:t>0.301</w:t>
            </w:r>
          </w:p>
        </w:tc>
        <w:tc>
          <w:tcPr>
            <w:tcW w:type="dxa" w:w="864"/>
          </w:tcPr>
          <w:p>
            <w:r>
              <w:rPr>
                <w:sz w:val="17"/>
              </w:rPr>
            </w:r>
            <w:r>
              <w:rPr>
                <w:sz w:val="17"/>
              </w:rPr>
              <w:t>+0.175</w:t>
            </w:r>
          </w:p>
        </w:tc>
        <w:tc>
          <w:tcPr>
            <w:tcW w:type="dxa" w:w="864"/>
          </w:tcPr>
          <w:p>
            <w:r>
              <w:rPr>
                <w:sz w:val="17"/>
              </w:rPr>
            </w:r>
            <w:r>
              <w:rPr>
                <w:sz w:val="17"/>
              </w:rPr>
              <w:t>0.030</w:t>
            </w:r>
          </w:p>
        </w:tc>
        <w:tc>
          <w:tcPr>
            <w:tcW w:type="dxa" w:w="864"/>
          </w:tcPr>
          <w:p>
            <w:r>
              <w:rPr>
                <w:sz w:val="17"/>
              </w:rPr>
            </w:r>
            <w:r>
              <w:rPr>
                <w:sz w:val="17"/>
              </w:rPr>
              <w:t>+0.078</w:t>
            </w:r>
          </w:p>
        </w:tc>
        <w:tc>
          <w:tcPr>
            <w:tcW w:type="dxa" w:w="864"/>
          </w:tcPr>
          <w:p>
            <w:r>
              <w:rPr>
                <w:sz w:val="17"/>
              </w:rPr>
            </w:r>
            <w:r>
              <w:rPr>
                <w:sz w:val="17"/>
              </w:rPr>
              <w:t>38%</w:t>
            </w:r>
          </w:p>
        </w:tc>
        <w:tc>
          <w:tcPr>
            <w:tcW w:type="dxa" w:w="864"/>
          </w:tcPr>
          <w:p>
            <w:r>
              <w:rPr>
                <w:sz w:val="17"/>
              </w:rPr>
            </w:r>
            <w:r>
              <w:rPr>
                <w:sz w:val="17"/>
              </w:rPr>
              <w:t>0</w:t>
            </w:r>
          </w:p>
        </w:tc>
      </w:tr>
    </w:tbl>
    <w:p/>
    <w:p>
      <w:r>
        <w:rPr>
          <w:i/>
        </w:rPr>
        <w:t>Abbreviations:</w:t>
      </w:r>
      <w:r>
        <w:t xml:space="preserve"> IVW, inverse-variance weighted; RE, random effects. β is per 1 SD higher exposure on the standardised (reconstructed) outcome scale. The BMD-exposure MR estimates are corrected for the reconstructed exposure N (true 31,873 vs the placeholder 400,000 used in the source files; §3.7): β, SE, Egger β and weighted median are multiplied by √(400,000/31,873) = 3.5426, because the reconstructed β with the placeholder N were 0.2823× of the true scale (underestimated 3.5426-fold). Reverse MR (BMD outcome) applies the same 3.5426 correction to the BMD outcome reconstruction. In both directions p-values, Egger-intercept p, I² and LOO sign flips are unchanged (they are N-scale-invariant). All estimates use the </w:t>
      </w:r>
      <w:r>
        <w:rPr>
          <w:b/>
        </w:rPr>
        <w:t>strict</w:t>
      </w:r>
      <w:r>
        <w:t xml:space="preserve"> PLINK-equivalent clumping of §2.6 (K = strict instrument count). The BMD→fracture positive control yields OR = 1.40 (total) and 1.42 (femoral neck) per 1 SD </w:t>
      </w:r>
      <w:r>
        <w:rPr>
          <w:i/>
        </w:rPr>
        <w:t>lower</w:t>
      </w:r>
      <w:r>
        <w:t xml:space="preserve"> BMD, matching the independent GEFOS benchmark of 1.55 (§3.7).</w:t>
      </w:r>
    </w:p>
    <w:p>
      <w:pPr>
        <w:pStyle w:val="Heading1"/>
      </w:pPr>
      <w:r>
        <w:t>References</w:t>
      </w:r>
    </w:p>
    <w:p>
      <w:r>
        <w:t xml:space="preserve">1. Hatzikotoulas K, Southam L, Stefansdottir L, et al. Translational genomics of osteoarthritis in 1,962,069 individuals. </w:t>
      </w:r>
      <w:r>
        <w:rPr>
          <w:i/>
        </w:rPr>
        <w:t>Nature</w:t>
      </w:r>
      <w:r>
        <w:t>. 2025;641(8065):1217–1224. doi:10.1038/s41586-025-08771-z. PMID 40205036.</w:t>
      </w:r>
    </w:p>
    <w:p>
      <w:r>
        <w:t xml:space="preserve">2. Qian Y, Xia J, Wang P, et al. Genome-wide Association Studies of over 30,000 Samples with Bone Mineral Density at Multiple Skeletal Sites and Its Clinical Relevance. </w:t>
      </w:r>
      <w:r>
        <w:rPr>
          <w:i/>
        </w:rPr>
        <w:t>Genomics Proteomics Bioinformatics</w:t>
      </w:r>
      <w:r>
        <w:t>. 2025;23(5):qzaf097. doi:10.1093/gpbjnl/qzaf097. PMID 41206123.</w:t>
      </w:r>
    </w:p>
    <w:p>
      <w:r>
        <w:t xml:space="preserve">3. Elsworth B, Lyon M, Alexander T, et al. The MRC-IEU UK Biobank GWAS pipeline. </w:t>
      </w:r>
      <w:r>
        <w:rPr>
          <w:i/>
        </w:rPr>
        <w:t>bioRxiv</w:t>
      </w:r>
      <w:r>
        <w:t xml:space="preserve">. 2018. doi:10.1101/340232. (Self-reported OA accessed as </w:t>
      </w:r>
      <w:r>
        <w:rPr>
          <w:rFonts w:ascii="Consolas" w:hAnsi="Consolas"/>
          <w:sz w:val="18"/>
        </w:rPr>
        <w:t>ukb-b-14486</w:t>
      </w:r>
      <w:r>
        <w:t xml:space="preserve"> via OpenGWAS, https://gwas.mrcieu.ac.uk/datasets/ukb-b-14486/.)</w:t>
      </w:r>
    </w:p>
    <w:p>
      <w:r>
        <w:t xml:space="preserve">4. Hackinger S, Trajanoska K, Styrkarsdottir U, et al. Evaluation of shared genetic aetiology between osteoarthritis and bone mineral density identifies SMAD3 as a novel osteoarthritis risk locus. </w:t>
      </w:r>
      <w:r>
        <w:rPr>
          <w:i/>
        </w:rPr>
        <w:t>Hum Mol Genet</w:t>
      </w:r>
      <w:r>
        <w:t>. 2017;26(19):3850–3858. doi:10.1093/hmg/ddx285.</w:t>
      </w:r>
    </w:p>
    <w:p>
      <w:r>
        <w:t xml:space="preserve">5. Zhou J, Na J, Jiang Z, et al. Deciphering the shared genetic structure between hip osteoarthritis and femoral neck bone mineral density. </w:t>
      </w:r>
      <w:r>
        <w:rPr>
          <w:i/>
        </w:rPr>
        <w:t>Front Genet</w:t>
      </w:r>
      <w:r>
        <w:t>. 2025;16:1597005. doi:10.3389/fgene.2025.1597005.</w:t>
      </w:r>
    </w:p>
    <w:p>
      <w:r>
        <w:t xml:space="preserve">6. Bulik-Sullivan BJ, et al. LD Score regression distinguishes confounding from polygenicity in genome-wide association studies. </w:t>
      </w:r>
      <w:r>
        <w:rPr>
          <w:i/>
        </w:rPr>
        <w:t>Nat Genet</w:t>
      </w:r>
      <w:r>
        <w:t>. 2015;47(3):291–295. doi:10.1038/ng.3211.</w:t>
      </w:r>
    </w:p>
    <w:p>
      <w:r>
        <w:t xml:space="preserve">7. Bowden J, Davey Smith G, Haycock PC, Burgess S. Consistent estimation of the causal effect in Mendelian randomization with some invalid instruments using a weighted median estimator. </w:t>
      </w:r>
      <w:r>
        <w:rPr>
          <w:i/>
        </w:rPr>
        <w:t>Genet Epidemiol</w:t>
      </w:r>
      <w:r>
        <w:t>. 2016;40(4):304–314. doi:10.1002/gepi.21965.</w:t>
      </w:r>
    </w:p>
    <w:p>
      <w:r>
        <w:t xml:space="preserve">8. Verbanck M, Chen CY, Neale B, Do R. Detection of widespread horizontal pleiotropy in causal relationships inferred from Mendelian randomization between complex traits. </w:t>
      </w:r>
      <w:r>
        <w:rPr>
          <w:i/>
        </w:rPr>
        <w:t>Nat Genet</w:t>
      </w:r>
      <w:r>
        <w:t>. 2018;50(5):693–698. doi:10.1038/s41588-018-0099-7.</w:t>
      </w:r>
    </w:p>
    <w:p>
      <w:r>
        <w:t xml:space="preserve">9. Lee SH, Wray NR, Goddard ME, Visscher PM. Estimating missing heritability for disease from genome-wide association studies. </w:t>
      </w:r>
      <w:r>
        <w:rPr>
          <w:i/>
        </w:rPr>
        <w:t>Am J Hum Genet</w:t>
      </w:r>
      <w:r>
        <w:t>. 2011;88(3):294–305. doi:10.1016/j.ajhg.2011.02.002.</w:t>
      </w:r>
    </w:p>
    <w:p>
      <w:r>
        <w:t xml:space="preserve">10. Trajanoska K, Morris JA, Kaptoge S, et al., for the GEFOS consortium. Genome wide association analysis of risk of fracture and its association with bone mineral density: a meta-analysis of genome-wide association studies applied to the UK Biobank. </w:t>
      </w:r>
      <w:r>
        <w:rPr>
          <w:i/>
        </w:rPr>
        <w:t>BMJ</w:t>
      </w:r>
      <w:r>
        <w:t>. 2018;362:k3225. doi:10.1136/bmj.k3225. PMID 30158200.</w:t>
      </w:r>
    </w:p>
    <w:p>
      <w:r>
        <w:t xml:space="preserve">11. Foss MV, Byers PD. Bone density, osteoarthrosis of the hip, and fracture. </w:t>
      </w:r>
      <w:r>
        <w:rPr>
          <w:i/>
        </w:rPr>
        <w:t>Ann Rheum Dis</w:t>
      </w:r>
      <w:r>
        <w:t>. 1972;31(3):259–264.</w:t>
      </w:r>
    </w:p>
    <w:p/>
    <w:p>
      <w:pPr>
        <w:pStyle w:val="Heading2"/>
      </w:pPr>
      <w:r>
        <w:t>Data availability</w:t>
      </w:r>
    </w:p>
    <w:p>
      <w:r>
        <w:t>Summary statistics are from publicly published GWAS (Refs 1–3) and were not redistributed; see `docs/10_参考文献与原始GWAS来源.md` for provenance and accessions, and `code/README.md` for the analysis repository and reproducibility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