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sz w:val="22"/>
        </w:rPr>
        <w:t>17 September 2026</w:t>
      </w:r>
    </w:p>
    <w:p>
      <w:pPr>
        <w:spacing w:after="120"/>
      </w:pPr>
      <w:r>
        <w:rPr>
          <w:b w:val="0"/>
          <w:sz w:val="22"/>
        </w:rPr>
      </w:r>
    </w:p>
    <w:p>
      <w:pPr>
        <w:spacing w:after="120"/>
      </w:pPr>
      <w:r>
        <w:rPr>
          <w:b w:val="0"/>
          <w:sz w:val="22"/>
        </w:rPr>
        <w:t>Editor-in-Chief, Bone</w:t>
      </w:r>
    </w:p>
    <w:p>
      <w:pPr>
        <w:spacing w:after="120"/>
      </w:pPr>
      <w:r>
        <w:rPr>
          <w:b w:val="0"/>
          <w:sz w:val="22"/>
        </w:rPr>
        <w:t>Bone Editorial Office</w:t>
      </w:r>
    </w:p>
    <w:p>
      <w:pPr>
        <w:spacing w:after="120"/>
      </w:pPr>
      <w:r>
        <w:rPr>
          <w:b w:val="0"/>
          <w:sz w:val="22"/>
        </w:rPr>
      </w:r>
    </w:p>
    <w:p>
      <w:pPr>
        <w:spacing w:after="120"/>
      </w:pPr>
      <w:r>
        <w:rPr>
          <w:b w:val="0"/>
          <w:sz w:val="22"/>
        </w:rPr>
        <w:t>Dear Editor,</w:t>
      </w:r>
    </w:p>
    <w:p>
      <w:pPr>
        <w:spacing w:after="120"/>
      </w:pPr>
      <w:r>
        <w:rPr>
          <w:b w:val="0"/>
          <w:sz w:val="22"/>
        </w:rPr>
      </w:r>
    </w:p>
    <w:p>
      <w:pPr>
        <w:spacing w:after="120"/>
      </w:pPr>
      <w:r>
        <w:rPr>
          <w:b/>
          <w:sz w:val="22"/>
        </w:rPr>
        <w:t>Re: Submission of original research: "Bone Mineral Density and Osteoarthritis Share Genetic Architecture but Not Causal Pathways to Fracture: A Cross-Trait Analysis of 13 Skeletal Phenotypes"</w:t>
      </w:r>
    </w:p>
    <w:p>
      <w:pPr>
        <w:spacing w:after="120"/>
      </w:pPr>
      <w:r>
        <w:rPr>
          <w:b w:val="0"/>
          <w:sz w:val="22"/>
        </w:rPr>
      </w:r>
    </w:p>
    <w:p>
      <w:pPr>
        <w:spacing w:after="120"/>
      </w:pPr>
      <w:r>
        <w:rPr>
          <w:b w:val="0"/>
          <w:sz w:val="22"/>
        </w:rPr>
        <w:t>We submit the above original research article for consideration for publication in Bone. The work is not under consideration elsewhere, and all authors have approved the manuscript and its submission.</w:t>
      </w:r>
    </w:p>
    <w:p>
      <w:pPr>
        <w:spacing w:after="120"/>
      </w:pPr>
      <w:r>
        <w:rPr>
          <w:b w:val="0"/>
          <w:sz w:val="22"/>
        </w:rPr>
      </w:r>
    </w:p>
    <w:p>
      <w:pPr>
        <w:spacing w:after="120"/>
      </w:pPr>
      <w:r>
        <w:rPr>
          <w:b w:val="0"/>
          <w:sz w:val="22"/>
        </w:rPr>
        <w:t>People with osteoarthritis (OA) tend to have higher bone mineral density (BMD), yet whether this reflects shared genetic aetiology, causal direction, or confounding has remained unresolved. We addressed this in 13 skeletal phenotypes (two OA definitions, ten regional BMD sites, and any-fracture), using LDSC across all 78 phenotype pairs on a common SNP set, two-sample Mendelian randomisation for causal direction with an internal positive control (BMD→fracture), and reverse MR to distinguish BMD→OA from OA→BMD. Instruments were selected by strict PLINK-equivalent clumping (r²&lt;0.001 over 10 Mb, 1000G Phase 3 EUR), and the MR-PRESSO distortion test was applied to all pairs.</w:t>
      </w:r>
    </w:p>
    <w:p>
      <w:pPr>
        <w:spacing w:after="120"/>
      </w:pPr>
      <w:r>
        <w:rPr>
          <w:b w:val="0"/>
          <w:sz w:val="22"/>
        </w:rPr>
      </w:r>
    </w:p>
    <w:p>
      <w:pPr>
        <w:spacing w:after="120"/>
      </w:pPr>
      <w:r>
        <w:rPr>
          <w:b w:val="0"/>
          <w:sz w:val="22"/>
        </w:rPr>
        <w:t>Our principal findings are: (1) a three-block genetic architecture (BMD sites strongly inter-correlated; OA positively correlated with all BMD sites; fracture negatively correlated with all BMD sites, replicating the established relationship and validating the pipeline); (2) genetically higher BMD raises knee OA risk, whereas OA does not raise BMD and has no causal effect on fracture; and (3) the BMD→fracture MR estimate (OR 1.40–1.42 per SD lower BMD) falls within about 10% of the independent GEFOS consortium benchmark (OR 1.55). These results resolve the long-standing OA–BMD paradox, and they argue for site-specific assessment of OA outcomes when bone mass is increased.</w:t>
      </w:r>
    </w:p>
    <w:p>
      <w:pPr>
        <w:spacing w:after="120"/>
      </w:pPr>
      <w:r>
        <w:rPr>
          <w:b w:val="0"/>
          <w:sz w:val="22"/>
        </w:rPr>
      </w:r>
    </w:p>
    <w:p>
      <w:pPr>
        <w:spacing w:after="120"/>
      </w:pPr>
      <w:r>
        <w:rPr>
          <w:b w:val="0"/>
          <w:sz w:val="22"/>
        </w:rPr>
        <w:t>This manuscript fits Bone because it centres on the genetics of bone density and fracture and their skeletal comorbidity with OA, and because it independently reproduces the established BMD–fracture relationship and extends it to OA causality. All summary statistics come from publicly published, consortium-approved GWAS and were not redistributed; full provenance, accessions and reproducibility commands are provided in the Data availability statement and Supplementary material.</w:t>
      </w:r>
    </w:p>
    <w:p>
      <w:pPr>
        <w:spacing w:after="120"/>
      </w:pPr>
      <w:r>
        <w:rPr>
          <w:b w:val="0"/>
          <w:sz w:val="22"/>
        </w:rPr>
      </w:r>
    </w:p>
    <w:p>
      <w:pPr>
        <w:spacing w:after="120"/>
      </w:pPr>
      <w:r>
        <w:rPr>
          <w:b w:val="0"/>
          <w:sz w:val="22"/>
        </w:rPr>
        <w:t>Funding: None. Competing interests: The authors declare no competing interests. Ethics: analyses used only published summary-level data; no new human-subject research was conducted.</w:t>
      </w:r>
    </w:p>
    <w:p>
      <w:pPr>
        <w:spacing w:after="120"/>
      </w:pPr>
      <w:r>
        <w:rPr>
          <w:b w:val="0"/>
          <w:sz w:val="22"/>
        </w:rPr>
      </w:r>
    </w:p>
    <w:p>
      <w:pPr>
        <w:spacing w:after="120"/>
      </w:pPr>
      <w:r>
        <w:rPr>
          <w:b w:val="0"/>
          <w:sz w:val="22"/>
        </w:rPr>
        <w:t>We hope the manuscript can be assessed for publication in Bone.</w:t>
      </w:r>
    </w:p>
    <w:p>
      <w:pPr>
        <w:spacing w:after="120"/>
      </w:pPr>
      <w:r>
        <w:rPr>
          <w:b w:val="0"/>
          <w:sz w:val="22"/>
        </w:rPr>
      </w:r>
    </w:p>
    <w:p>
      <w:pPr>
        <w:spacing w:after="120"/>
      </w:pPr>
      <w:r>
        <w:rPr>
          <w:b w:val="0"/>
          <w:sz w:val="22"/>
        </w:rPr>
        <w:t>Sincerely,</w:t>
      </w:r>
    </w:p>
    <w:p>
      <w:pPr>
        <w:spacing w:after="120"/>
      </w:pPr>
      <w:r>
        <w:rPr>
          <w:b w:val="0"/>
          <w:sz w:val="22"/>
        </w:rPr>
      </w:r>
    </w:p>
    <w:p>
      <w:pPr>
        <w:spacing w:after="120"/>
      </w:pPr>
      <w:r>
        <w:rPr>
          <w:b w:val="0"/>
          <w:sz w:val="22"/>
        </w:rPr>
        <w:t>Huricha Bao, MD (baohuricha@126.com)</w:t>
      </w:r>
    </w:p>
    <w:p>
      <w:pPr>
        <w:spacing w:after="120"/>
      </w:pPr>
      <w:r>
        <w:rPr>
          <w:b w:val="0"/>
          <w:sz w:val="22"/>
        </w:rPr>
        <w:t>Qiuyan Jiang, MD (after9951023@gmail.com)</w:t>
      </w:r>
    </w:p>
    <w:p>
      <w:pPr>
        <w:spacing w:after="120"/>
      </w:pPr>
      <w:r>
        <w:rPr>
          <w:b w:val="0"/>
          <w:sz w:val="22"/>
        </w:rPr>
        <w:t>Joint corresponding authors</w:t>
      </w:r>
    </w:p>
    <w:p>
      <w:pPr>
        <w:spacing w:after="120"/>
      </w:pPr>
      <w:r>
        <w:rPr>
          <w:b w:val="0"/>
          <w:sz w:val="20"/>
        </w:rPr>
        <w:t>On behalf of all authors: Zhenxin Zheng#, Song Chen#, Shenbo Huang, Chao Qian, Hang Yuan, Huricha Bao*, Qiuyan Jiang*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