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Bone Mineral Density and Osteoarthritis Share Genetic Architecture but Not Causal Pathways to Fracture: A Cross-Trait Analysis of 13 Skeletal Phenotypes</w:t>
      </w:r>
    </w:p>
    <w:p>
      <w:pPr>
        <w:jc w:val="center"/>
      </w:pPr>
      <w:r>
        <w:rPr>
          <w:sz w:val="22"/>
        </w:rPr>
        <w:t>Zhenxin Zheng¹#, Song Chen¹#, Shenbo Huang¹, Chao Qian¹, Hang Yuan¹, Huricha Bao¹*, Qiuyan Jiang²*</w:t>
      </w:r>
    </w:p>
    <w:p>
      <w:pPr>
        <w:jc w:val="center"/>
      </w:pPr>
      <w:r>
        <w:rPr>
          <w:sz w:val="18"/>
        </w:rPr>
        <w:t>¹ Department of Orthopedics, The Quzhou Affiliated Hospital of Wenzhou Medical University, Quzhou People's Hospital, Quzhou, Zhejiang Province, 324000, China</w:t>
      </w:r>
    </w:p>
    <w:p>
      <w:pPr>
        <w:jc w:val="center"/>
      </w:pPr>
      <w:r>
        <w:rPr>
          <w:sz w:val="18"/>
        </w:rPr>
        <w:t>² Department of Surgery, The Quzhou Affiliated Hospital of Wenzhou Medical University, Quzhou People's Hospital, Quzhou, Zhejiang Province, 324000, China</w:t>
      </w:r>
    </w:p>
    <w:p>
      <w:pPr>
        <w:jc w:val="center"/>
      </w:pPr>
      <w:r>
        <w:rPr>
          <w:i/>
          <w:sz w:val="18"/>
        </w:rPr>
        <w:t># Zhenxin Zheng and Song Chen contributed equally to this work.</w:t>
      </w:r>
    </w:p>
    <w:p>
      <w:pPr>
        <w:jc w:val="center"/>
      </w:pPr>
      <w:r>
        <w:rPr>
          <w:sz w:val="18"/>
        </w:rPr>
        <w:t>* Corresponding authors: Huricha Bao, MD (baohuricha@126.com) and Qiuyan Jiang, MD (after9951023@gmail.com).</w:t>
      </w:r>
    </w:p>
    <w:p>
      <w:pPr>
        <w:jc w:val="center"/>
      </w:pPr>
      <w:r>
        <w:rPr>
          <w:sz w:val="18"/>
        </w:rPr>
        <w:t>Funding: None.   Competing interests: The authors declare no competing interests.</w:t>
      </w:r>
    </w:p>
    <w:p>
      <w:pPr>
        <w:jc w:val="center"/>
      </w:pPr>
      <w:r>
        <w:rPr>
          <w:i/>
          <w:sz w:val="18"/>
        </w:rPr>
        <w:t>Running title: BMD and OA genetics: shared architecture, divergent fracture causality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