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STROBE-MR Checklist</w:t>
      </w:r>
    </w:p>
    <w:p>
      <w:r>
        <w:rPr>
          <w:b/>
          <w:sz w:val="21"/>
        </w:rPr>
        <w:t>Study: Genetically higher bone mineral density raises knee osteoarthritis but protects against fracture: Mendelian randomisation of 13 skeletal phenotypes</w:t>
      </w:r>
    </w:p>
    <w:p>
      <w:r>
        <w:t>Reporting guideline: STROBE-MR (Skrivankova et al., BMJ 2021;372:n223).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4176"/>
          </w:tcPr>
          <w:p>
            <w:r>
              <w:rPr>
                <w:b/>
              </w:rPr>
              <w:t>STROBE-MR item</w:t>
            </w:r>
          </w:p>
        </w:tc>
        <w:tc>
          <w:tcPr>
            <w:tcW w:type="dxa" w:w="129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744"/>
          </w:tcPr>
          <w:p>
            <w:r>
              <w:rPr>
                <w:b/>
              </w:rPr>
              <w:t>Location in manuscript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4176"/>
          </w:tcPr>
          <w:p>
            <w:r>
              <w:t>Title — identifies the report as a Mendelian randomisation study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Title: "…Mendelian randomisation of 13 skeletal phenotypes"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4176"/>
          </w:tcPr>
          <w:p>
            <w:r>
              <w:t>Abstract — follows STROBE-MR abstract structure (background, objectives, methods, results, conclusions)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Abstract: background/objectives/methods/results/conclusions present (unstructured per OAC)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4176"/>
          </w:tcPr>
          <w:p>
            <w:r>
              <w:t>Introduction – Background: rationale for the MR investigation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§1 Introduction (Foss &amp; Byers 1972 → present debate; why MR)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4176"/>
          </w:tcPr>
          <w:p>
            <w:r>
              <w:t>Introduction – Objectives: specific objectives/hypotheses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§1 final paragraph (three open questions; 13-phenotype design)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4176"/>
          </w:tcPr>
          <w:p>
            <w:r>
              <w:t>Methods – Data sources: GWAS provenance, search, eligibility, date accessed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§2 Data sources (13 GWAS; Refs 1–3,10; accessions)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4176"/>
          </w:tcPr>
          <w:p>
            <w:r>
              <w:t>Methods – GWAS description: phenotype definition, participants, QC, effect allele, units, population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§2 Data sources; Table 1 (h², N, intercepts); §3 heritability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4176"/>
          </w:tcPr>
          <w:p>
            <w:r>
              <w:t>Methods – Exposure instrument: selection, number, pruning/clumping, population, proxies, palindromes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§2 MR (p&lt;5×10⁻⁸; r²&lt;0.001/10 Mb; 20–35 per BMD; 116 knee OA; HapMap3 EUR)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4176"/>
          </w:tcPr>
          <w:p>
            <w:r>
              <w:t>Methods – Outcome instrument / outcome GWAS: same detail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§2 Data sources (knee-OA GO 2025 N≈1.21M; self-rep IEU ukb-b-14486; fracture GEFOS)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4176"/>
          </w:tcPr>
          <w:p>
            <w:r>
              <w:t>Methods – Assumption 1 (relevance): instrument–exposure association strength (F, R²)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§2 MR (instrument counts; Table 3; S9 conditional F ≥10); §2 Effect-scale reconstruction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4176"/>
          </w:tcPr>
          <w:p>
            <w:r>
              <w:t>Methods – Assumption 2 (independence): pleiotropy assessment plan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§2 MR (MR-Egger intercept, MR-PRESSO, leave-one-out); §3 robustness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4176"/>
          </w:tcPr>
          <w:p>
            <w:r>
              <w:t>Methods – Assumption 3 (exclusion restriction): no confounders of instrument–outcome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§2 Sample overlap (Burgess bound); §2 MRlap; §4 limitations (residual overlap)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4176"/>
          </w:tcPr>
          <w:p>
            <w:r>
              <w:t>Methods – Statistical analysis: MR estimators, heterogeneity, sensitivity, software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§2 MR/LDSC/Colocalisation/MVMR (IVW, MR-Egger, weighted median, MR-PRESSO, LOO; Python 3.13; MRlap R 4.6.1)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4176"/>
          </w:tcPr>
          <w:p>
            <w:r>
              <w:t>Methods – Sample overlap: assessment and handling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§2 Sample overlap (Burgess approximation; bound 2.6% BMD→OA, 12% BMD→fracture; MRlap)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4176"/>
          </w:tcPr>
          <w:p>
            <w:r>
              <w:t>Results – GWAS descriptives: N, cases, h², intercept, population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Table 1; §3 Genetic-correlation architecture (intercepts 1.01–1.07)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4176"/>
          </w:tcPr>
          <w:p>
            <w:r>
              <w:t>Results – Exposure instrument: SNPs, F-statistic, R²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§2 MR (counts); Table 3 (n_snp); S9 (Fc≥10)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4176"/>
          </w:tcPr>
          <w:p>
            <w:r>
              <w:t>Results – Outcome instrument: same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Table 3 (knee OA 69 SNPs); §2 Data sources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4176"/>
          </w:tcPr>
          <w:p>
            <w:r>
              <w:t>Results – Assumption testing: heterogeneity (Cochran Q/I²), pleiotropy (MR-Egger, MR-PRESSO), sensitivity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§3 (I² 68–86%; MR-Egger intercept p&gt;0.24; MR-PRESSO 9/10 significant, 0–3 outliers); Table 3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4176"/>
          </w:tcPr>
          <w:p>
            <w:r>
              <w:t>Results – Main MR estimates: with CIs, p-values, direction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Table 3 (IVW β, SE, p, random-effects p, Egger, weighted median, I², LOO); §3</w:t>
            </w:r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4176"/>
          </w:tcPr>
          <w:p>
            <w:r>
              <w:t>Results – Supplementary/stratified analyses: MVMR, coloc, reverse, MRlap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§3 (positive control, reverse MR, coloc, MVMR S9, MRlap Fig 10); S8, S9, S10</w:t>
            </w:r>
          </w:p>
        </w:tc>
      </w:tr>
      <w:tr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4176"/>
          </w:tcPr>
          <w:p>
            <w:r>
              <w:t>Results – Sample overlap results: empirical overlap diagnostics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§3 (Fig 9 ρ_GE; §2 MRlap median +20.5% away from null)</w:t>
            </w:r>
          </w:p>
        </w:tc>
      </w:tr>
      <w:tr>
        <w:tc>
          <w:tcPr>
            <w:tcW w:type="dxa" w:w="576"/>
          </w:tcPr>
          <w:p>
            <w:r>
              <w:t>21</w:t>
            </w:r>
          </w:p>
        </w:tc>
        <w:tc>
          <w:tcPr>
            <w:tcW w:type="dxa" w:w="4176"/>
          </w:tcPr>
          <w:p>
            <w:r>
              <w:t>Discussion – Key results: interpreted in context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§4 Principal findings; Resolving the OA–BMD paradox; Site and direction</w:t>
            </w:r>
          </w:p>
        </w:tc>
      </w:tr>
      <w:tr>
        <w:tc>
          <w:tcPr>
            <w:tcW w:type="dxa" w:w="576"/>
          </w:tcPr>
          <w:p>
            <w:r>
              <w:t>22</w:t>
            </w:r>
          </w:p>
        </w:tc>
        <w:tc>
          <w:tcPr>
            <w:tcW w:type="dxa" w:w="4176"/>
          </w:tcPr>
          <w:p>
            <w:r>
              <w:t>Discussion – Limitations, interpretation, generalisability, conclusions, funding, ethics</w:t>
            </w:r>
          </w:p>
        </w:tc>
        <w:tc>
          <w:tcPr>
            <w:tcW w:type="dxa" w:w="1296"/>
          </w:tcPr>
          <w:p>
            <w:r>
              <w:t>Reported</w:t>
            </w:r>
          </w:p>
        </w:tc>
        <w:tc>
          <w:tcPr>
            <w:tcW w:type="dxa" w:w="3744"/>
          </w:tcPr>
          <w:p>
            <w:r>
              <w:t>§4 Strengths and limitations; Conclusion; Declarations (Funding: None; Competing interests: none); Data availability</w:t>
            </w:r>
          </w:p>
        </w:tc>
      </w:tr>
    </w:tbl>
    <w:p/>
    <w:p>
      <w:r>
        <w:rPr>
          <w:i/>
        </w:rPr>
        <w:t>Overall: all 22 STROBE-MR items are addressed in the main manuscript and accompanying supplementary files. No item is Not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